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2024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October 25, 2024</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227,431,688</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2024</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As of September 30, 2024 and December 31, 2023</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2023</w:t>
            </w:r>
          </w:p>
        </w:tc>
      </w:tr>
      <w:tr>
        <w:trPr>
          <w:trHeight w:val="189"/>
        </w:trPr>
        <w:tc>
          <w:tcPr>
            <w:tcW w:w="6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179,639,743</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226,435,019</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20,462,581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14,356,476</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356,338,008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321,809,868</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449,311,020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402,473,028</w:t>
            </w: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39,932,866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32,663,762</w:t>
            </w: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1,045,684,218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997,738,153</w:t>
            </w:r>
          </w:p>
        </w:tc>
      </w:tr>
      <w:tr>
        <w:trPr>
          <w:trHeight w:val="229"/>
        </w:trPr>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EQUIPMENT—NET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703,583,489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652,877,672</w:t>
            </w:r>
          </w:p>
        </w:tc>
      </w:tr>
      <w:tr>
        <w:trPr>
          <w:trHeight w:val="229"/>
        </w:trPr>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340,105,631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340,105,631</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325,561,578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299,080,876</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201,604,035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214,005,910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50,192,359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41,113,759</w:t>
            </w: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Patents and other assets,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68,565,533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66,515,551</w:t>
            </w: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986,029,136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960,821,727</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2,735,296,843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2,611,437,552</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6"/>
        </w:trPr>
        <w:tc>
          <w:tcPr>
            <w:tcW w:w="6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182,606,296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184,398,820</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100,558,357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87,210,156</w:t>
            </w: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283,164,653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271,608,976</w:t>
            </w:r>
          </w:p>
        </w:tc>
      </w:tr>
      <w:tr>
        <w:trPr>
          <w:trHeight w:val="270"/>
        </w:trPr>
        <w:tc>
          <w:tcPr>
            <w:tcW w:w="6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34,504,848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27,311,507</w:t>
            </w:r>
          </w:p>
        </w:tc>
      </w:tr>
      <w:tr>
        <w:trPr>
          <w:trHeight w:val="210"/>
        </w:trPr>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317,669,501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298,920,483</w:t>
            </w:r>
          </w:p>
        </w:tc>
      </w:tr>
      <w:tr>
        <w:trPr>
          <w:trHeight w:val="230"/>
        </w:trPr>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13,646,597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13,887,326</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1,000,948,512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968,245,875</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1,405,918,157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1,336,940,990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(2,885,924)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(6,557,122)</w:t>
            </w:r>
          </w:p>
        </w:tc>
      </w:tr>
      <w:tr>
        <w:trPr>
          <w:trHeight w:val="223"/>
        </w:trPr>
        <w:tc>
          <w:tcPr>
            <w:tcW w:w="6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investment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2,417,627,342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2,312,517,069</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2,735,296,843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2,611,437,552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86" w:lineRule="auto"/>
        <w:rPr>
          <w:sz w:val="20"/>
          <w:szCs w:val="20"/>
          <w:color w:val="auto"/>
        </w:rPr>
      </w:pPr>
      <w:r>
        <w:rPr>
          <w:rFonts w:ascii="Arial" w:cs="Arial" w:eastAsia="Arial" w:hAnsi="Arial"/>
          <w:sz w:val="13"/>
          <w:szCs w:val="13"/>
          <w:color w:val="auto"/>
        </w:rPr>
        <w:t>Note: The condensed consolidated balance sheet at December 31,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Nine Months Ended September 30, 2024 and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31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608,525,777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575,848,490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1,771,676,766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1,710,082,647</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404,462,142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384,407,857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1,176,812,215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1,150,821,744</w:t>
            </w:r>
          </w:p>
        </w:tc>
        <w:tc>
          <w:tcPr>
            <w:tcW w:w="0" w:type="dxa"/>
            <w:vAlign w:val="bottom"/>
          </w:tcPr>
          <w:p>
            <w:pPr>
              <w:spacing w:after="0"/>
              <w:rPr>
                <w:sz w:val="1"/>
                <w:szCs w:val="1"/>
                <w:color w:val="auto"/>
              </w:rPr>
            </w:pPr>
          </w:p>
        </w:tc>
      </w:tr>
      <w:tr>
        <w:trPr>
          <w:trHeight w:val="223"/>
        </w:trPr>
        <w:tc>
          <w:tcPr>
            <w:tcW w:w="440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204,063,635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191,440,633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594,864,551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559,260,903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48,225,968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134,411,948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112,825,054</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30,109,515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28,826,587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90,494,117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83,479,285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78,335,483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69,024,104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224,906,065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196,304,339</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125,728,152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122,416,529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369,958,486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362,956,564</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Investment income,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18,982,629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3,851,967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3,220,333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9,682,096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(1,788,335)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1,255,438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(3,559,613)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19,727,198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4,475,771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6,122,483</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3" w:lineRule="exact"/>
              <w:rPr>
                <w:sz w:val="20"/>
                <w:szCs w:val="20"/>
                <w:color w:val="auto"/>
              </w:rPr>
            </w:pPr>
            <w:r>
              <w:rPr>
                <w:rFonts w:ascii="Arial" w:cs="Arial" w:eastAsia="Arial" w:hAnsi="Arial"/>
                <w:sz w:val="18"/>
                <w:szCs w:val="18"/>
                <w:color w:val="auto"/>
              </w:rPr>
              <w:t>INCOME BEFORE PROVISION FOR INCOME</w:t>
            </w:r>
          </w:p>
        </w:tc>
        <w:tc>
          <w:tcPr>
            <w:tcW w:w="2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145,455,350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124,480,161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374,434,257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369,079,047</w:t>
            </w:r>
          </w:p>
        </w:tc>
        <w:tc>
          <w:tcPr>
            <w:tcW w:w="0" w:type="dxa"/>
            <w:vAlign w:val="bottom"/>
          </w:tcPr>
          <w:p>
            <w:pPr>
              <w:spacing w:after="0"/>
              <w:rPr>
                <w:sz w:val="1"/>
                <w:szCs w:val="1"/>
                <w:color w:val="auto"/>
              </w:rPr>
            </w:pPr>
          </w:p>
        </w:tc>
      </w:tr>
      <w:tr>
        <w:trPr>
          <w:trHeight w:val="235"/>
        </w:trPr>
        <w:tc>
          <w:tcPr>
            <w:tcW w:w="4400" w:type="dxa"/>
            <w:vAlign w:val="bottom"/>
          </w:tcPr>
          <w:p>
            <w:pPr>
              <w:ind w:left="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22,906,309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19,754,749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57,614,063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57,619,971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122,549,041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104,725,412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316,820,194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311,459,076</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0.360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Nine Months Ended September 30, 2024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7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122,549,041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316,820,194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311,459,076</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1,776,813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317,059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(2,295,001)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on debt securities,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4,245,746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3,500,247</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4,562,805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1,205,246</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impact related to components of other comprehensive</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880,649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891,607</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735,052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5,089,729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3,671,198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470,194</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127,638,770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104,295,440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320,491,392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311,929,270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2024 and 2023</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2024</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2024</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6"/>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rPr>
              <w:t>Common</w:t>
            </w:r>
          </w:p>
        </w:tc>
        <w:tc>
          <w:tcPr>
            <w:tcW w:w="130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6"/>
              <w:spacing w:after="0"/>
              <w:rPr>
                <w:sz w:val="20"/>
                <w:szCs w:val="20"/>
                <w:color w:val="auto"/>
              </w:rPr>
            </w:pPr>
            <w:r>
              <w:rPr>
                <w:rFonts w:ascii="Arial" w:cs="Arial" w:eastAsia="Arial" w:hAnsi="Arial"/>
                <w:sz w:val="16"/>
                <w:szCs w:val="16"/>
                <w:b w:val="1"/>
                <w:bCs w:val="1"/>
                <w:color w:val="auto"/>
              </w:rPr>
              <w:t>Accumulated</w:t>
            </w:r>
          </w:p>
        </w:tc>
        <w:tc>
          <w:tcPr>
            <w:tcW w:w="1220" w:type="dxa"/>
            <w:vAlign w:val="bottom"/>
            <w:vMerge w:val="restart"/>
          </w:tcPr>
          <w:p>
            <w:pPr>
              <w:jc w:val="right"/>
              <w:ind w:right="32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restart"/>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06"/>
              <w:spacing w:after="0" w:line="162"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1300" w:type="dxa"/>
            <w:vAlign w:val="bottom"/>
          </w:tcPr>
          <w:p>
            <w:pPr>
              <w:ind w:left="380"/>
              <w:spacing w:after="0" w:line="162" w:lineRule="exact"/>
              <w:rPr>
                <w:sz w:val="20"/>
                <w:szCs w:val="20"/>
                <w:color w:val="auto"/>
              </w:rPr>
            </w:pPr>
            <w:r>
              <w:rPr>
                <w:rFonts w:ascii="Arial" w:cs="Arial" w:eastAsia="Arial" w:hAnsi="Arial"/>
                <w:sz w:val="16"/>
                <w:szCs w:val="16"/>
                <w:b w:val="1"/>
                <w:bCs w:val="1"/>
                <w:color w:val="auto"/>
              </w:rPr>
              <w:t>Paid-In</w:t>
            </w:r>
          </w:p>
        </w:tc>
        <w:tc>
          <w:tcPr>
            <w:tcW w:w="1280" w:type="dxa"/>
            <w:vAlign w:val="bottom"/>
            <w:vMerge w:val="continue"/>
          </w:tcPr>
          <w:p>
            <w:pPr>
              <w:spacing w:after="0"/>
              <w:rPr>
                <w:sz w:val="14"/>
                <w:szCs w:val="14"/>
                <w:color w:val="auto"/>
              </w:rPr>
            </w:pP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jc w:val="center"/>
              <w:ind w:right="6"/>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Amount</w:t>
            </w: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Capital</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rPr>
              <w:t>Income (Loss)</w:t>
            </w: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230,229,539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13,813,772</w:t>
            </w:r>
          </w:p>
        </w:tc>
        <w:tc>
          <w:tcPr>
            <w:tcW w:w="1300" w:type="dxa"/>
            <w:vAlign w:val="bottom"/>
          </w:tcPr>
          <w:p>
            <w:pPr>
              <w:jc w:val="right"/>
              <w:ind w:right="86"/>
              <w:spacing w:after="0"/>
              <w:rPr>
                <w:sz w:val="20"/>
                <w:szCs w:val="20"/>
                <w:color w:val="auto"/>
              </w:rPr>
            </w:pPr>
            <w:r>
              <w:rPr>
                <w:rFonts w:ascii="Arial" w:cs="Arial" w:eastAsia="Arial" w:hAnsi="Arial"/>
                <w:sz w:val="14"/>
                <w:szCs w:val="14"/>
                <w:color w:val="auto"/>
              </w:rPr>
              <w:t>$ 1,000,014,813</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$ 1,394,446,595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(7,975,653)</w:t>
            </w:r>
          </w:p>
        </w:tc>
        <w:tc>
          <w:tcPr>
            <w:tcW w:w="1220" w:type="dxa"/>
            <w:vAlign w:val="bottom"/>
          </w:tcPr>
          <w:p>
            <w:pPr>
              <w:jc w:val="right"/>
              <w:spacing w:after="0"/>
              <w:rPr>
                <w:sz w:val="20"/>
                <w:szCs w:val="20"/>
                <w:color w:val="auto"/>
              </w:rPr>
            </w:pPr>
            <w:r>
              <w:rPr>
                <w:rFonts w:ascii="Arial" w:cs="Arial" w:eastAsia="Arial" w:hAnsi="Arial"/>
                <w:sz w:val="14"/>
                <w:szCs w:val="14"/>
                <w:color w:val="auto"/>
              </w:rPr>
              <w:t>$ 2,400,299,527</w:t>
            </w:r>
          </w:p>
        </w:tc>
        <w:tc>
          <w:tcPr>
            <w:tcW w:w="0" w:type="dxa"/>
            <w:vAlign w:val="bottom"/>
          </w:tcPr>
          <w:p>
            <w:pPr>
              <w:spacing w:after="0"/>
              <w:rPr>
                <w:sz w:val="1"/>
                <w:szCs w:val="1"/>
                <w:color w:val="auto"/>
              </w:rPr>
            </w:pPr>
          </w:p>
        </w:tc>
      </w:tr>
      <w:tr>
        <w:trPr>
          <w:trHeight w:val="37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408,566</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24,514</w:t>
            </w:r>
          </w:p>
        </w:tc>
        <w:tc>
          <w:tcPr>
            <w:tcW w:w="1300" w:type="dxa"/>
            <w:vAlign w:val="bottom"/>
          </w:tcPr>
          <w:p>
            <w:pPr>
              <w:jc w:val="right"/>
              <w:ind w:right="86"/>
              <w:spacing w:after="0"/>
              <w:rPr>
                <w:sz w:val="20"/>
                <w:szCs w:val="20"/>
                <w:color w:val="auto"/>
              </w:rPr>
            </w:pPr>
            <w:r>
              <w:rPr>
                <w:rFonts w:ascii="Arial" w:cs="Arial" w:eastAsia="Arial" w:hAnsi="Arial"/>
                <w:sz w:val="14"/>
                <w:szCs w:val="14"/>
                <w:color w:val="auto"/>
              </w:rPr>
              <w:t>3,757,530</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3,782,044</w:t>
            </w:r>
          </w:p>
        </w:tc>
        <w:tc>
          <w:tcPr>
            <w:tcW w:w="0" w:type="dxa"/>
            <w:vAlign w:val="bottom"/>
          </w:tcPr>
          <w:p>
            <w:pPr>
              <w:spacing w:after="0"/>
              <w:rPr>
                <w:sz w:val="1"/>
                <w:szCs w:val="1"/>
                <w:color w:val="auto"/>
              </w:rPr>
            </w:pPr>
          </w:p>
        </w:tc>
      </w:tr>
      <w:tr>
        <w:trPr>
          <w:trHeight w:val="216"/>
        </w:trPr>
        <w:tc>
          <w:tcPr>
            <w:tcW w:w="1220" w:type="dxa"/>
            <w:vAlign w:val="bottom"/>
          </w:tcPr>
          <w:p>
            <w:pPr>
              <w:jc w:val="right"/>
              <w:ind w:right="26"/>
              <w:spacing w:after="0"/>
              <w:rPr>
                <w:sz w:val="20"/>
                <w:szCs w:val="20"/>
                <w:color w:val="auto"/>
              </w:rPr>
            </w:pPr>
            <w:r>
              <w:rPr>
                <w:rFonts w:ascii="Arial" w:cs="Arial" w:eastAsia="Arial" w:hAnsi="Arial"/>
                <w:sz w:val="14"/>
                <w:szCs w:val="14"/>
                <w:color w:val="auto"/>
              </w:rPr>
              <w:t>(3,194,815)</w:t>
            </w:r>
          </w:p>
        </w:tc>
        <w:tc>
          <w:tcPr>
            <w:tcW w:w="24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4"/>
                <w:szCs w:val="14"/>
                <w:color w:val="auto"/>
              </w:rPr>
              <w:t>(191,689)</w:t>
            </w:r>
          </w:p>
        </w:tc>
        <w:tc>
          <w:tcPr>
            <w:tcW w:w="1300" w:type="dxa"/>
            <w:vAlign w:val="bottom"/>
          </w:tcPr>
          <w:p>
            <w:pPr>
              <w:ind w:left="380"/>
              <w:spacing w:after="0"/>
              <w:rPr>
                <w:sz w:val="20"/>
                <w:szCs w:val="20"/>
                <w:color w:val="auto"/>
              </w:rPr>
            </w:pPr>
            <w:r>
              <w:rPr>
                <w:rFonts w:ascii="Arial" w:cs="Arial" w:eastAsia="Arial" w:hAnsi="Arial"/>
                <w:sz w:val="14"/>
                <w:szCs w:val="14"/>
                <w:color w:val="auto"/>
              </w:rPr>
              <w:t>(12,363,936)</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(83,784,324)</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(96,339,949)</w:t>
            </w:r>
          </w:p>
        </w:tc>
        <w:tc>
          <w:tcPr>
            <w:tcW w:w="0" w:type="dxa"/>
            <w:vAlign w:val="bottom"/>
          </w:tcPr>
          <w:p>
            <w:pPr>
              <w:spacing w:after="0"/>
              <w:rPr>
                <w:sz w:val="1"/>
                <w:szCs w:val="1"/>
                <w:color w:val="auto"/>
              </w:rPr>
            </w:pPr>
          </w:p>
        </w:tc>
      </w:tr>
      <w:tr>
        <w:trPr>
          <w:trHeight w:val="540"/>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6"/>
              <w:spacing w:after="0"/>
              <w:rPr>
                <w:sz w:val="20"/>
                <w:szCs w:val="20"/>
                <w:color w:val="auto"/>
              </w:rPr>
            </w:pPr>
            <w:r>
              <w:rPr>
                <w:rFonts w:ascii="Arial" w:cs="Arial" w:eastAsia="Arial" w:hAnsi="Arial"/>
                <w:sz w:val="14"/>
                <w:szCs w:val="14"/>
                <w:color w:val="auto"/>
              </w:rPr>
              <w:t>9,540,105</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9,540,105</w:t>
            </w:r>
          </w:p>
        </w:tc>
        <w:tc>
          <w:tcPr>
            <w:tcW w:w="0" w:type="dxa"/>
            <w:vAlign w:val="bottom"/>
          </w:tcPr>
          <w:p>
            <w:pPr>
              <w:spacing w:after="0"/>
              <w:rPr>
                <w:sz w:val="1"/>
                <w:szCs w:val="1"/>
                <w:color w:val="auto"/>
              </w:rPr>
            </w:pPr>
          </w:p>
        </w:tc>
      </w:tr>
      <w:tr>
        <w:trPr>
          <w:trHeight w:val="243"/>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(27,293,155)</w:t>
            </w:r>
          </w:p>
        </w:tc>
        <w:tc>
          <w:tcPr>
            <w:tcW w:w="200" w:type="dxa"/>
            <w:vAlign w:val="bottom"/>
          </w:tcPr>
          <w:p>
            <w:pPr>
              <w:spacing w:after="0"/>
              <w:rPr>
                <w:sz w:val="21"/>
                <w:szCs w:val="21"/>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(27,293,155)</w:t>
            </w:r>
          </w:p>
        </w:tc>
        <w:tc>
          <w:tcPr>
            <w:tcW w:w="0" w:type="dxa"/>
            <w:vAlign w:val="bottom"/>
          </w:tcPr>
          <w:p>
            <w:pPr>
              <w:spacing w:after="0"/>
              <w:rPr>
                <w:sz w:val="1"/>
                <w:szCs w:val="1"/>
                <w:color w:val="auto"/>
              </w:rPr>
            </w:pPr>
          </w:p>
        </w:tc>
      </w:tr>
      <w:tr>
        <w:trPr>
          <w:trHeight w:val="216"/>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122,549,041</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122,549,041</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5,089,729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5,089,729</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227,443,290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13,646,597</w:t>
            </w:r>
          </w:p>
        </w:tc>
        <w:tc>
          <w:tcPr>
            <w:tcW w:w="13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$ 1,000,948,512</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$ 1,405,918,157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(2,885,924)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$ 2,417,627,342</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-1456690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2023</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233,429,994</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14,005,799</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942,660,764</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$ 1,252,525,531</w:t>
            </w: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(13,242,768)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$ 2,195,949,326</w:t>
            </w: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605,637</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36,338</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10,385,712</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10,422,050</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(776,488)</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(46,589)</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(2,795,358)</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(22,327,431)</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(25,169,378)</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10,948,031</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10,948,031</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(27,991,662)</w:t>
            </w:r>
          </w:p>
        </w:tc>
        <w:tc>
          <w:tcPr>
            <w:tcW w:w="40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(27,991,662)</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104,725,412</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104,725,412</w:t>
            </w: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(429,972)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(429,972)</w:t>
            </w: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233,259,143</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13,995,548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961,199,149</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$ 1,306,931,850</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(13,672,740)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$ 2,268,453,807</w:t>
            </w:r>
          </w:p>
        </w:tc>
      </w:tr>
      <w:tr>
        <w:trPr>
          <w:trHeight w:val="25"/>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-942340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Nine Months Ended September 30, 2024 and 2023</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2024</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2024</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2023</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Issuance of common stock related to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04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Additional</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68"/>
              <w:spacing w:after="0"/>
              <w:rPr>
                <w:sz w:val="20"/>
                <w:szCs w:val="20"/>
                <w:color w:val="auto"/>
              </w:rPr>
            </w:pPr>
            <w:r>
              <w:rPr>
                <w:rFonts w:ascii="Arial" w:cs="Arial" w:eastAsia="Arial" w:hAnsi="Arial"/>
                <w:sz w:val="14"/>
                <w:szCs w:val="14"/>
                <w:b w:val="1"/>
                <w:bCs w:val="1"/>
                <w:color w:val="auto"/>
              </w:rPr>
              <w:t>Accumulated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3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Other</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2"/>
                <w:szCs w:val="12"/>
                <w:color w:val="auto"/>
              </w:rPr>
            </w:pPr>
          </w:p>
        </w:tc>
        <w:tc>
          <w:tcPr>
            <w:tcW w:w="110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Comprehensive</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Capital</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Loss</w:t>
            </w:r>
          </w:p>
        </w:tc>
        <w:tc>
          <w:tcPr>
            <w:tcW w:w="12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231,455,443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13,887,326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968,245,875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$ 1,336,940,990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(6,557,122)</w:t>
            </w:r>
          </w:p>
        </w:tc>
        <w:tc>
          <w:tcPr>
            <w:tcW w:w="1220" w:type="dxa"/>
            <w:vAlign w:val="bottom"/>
          </w:tcPr>
          <w:p>
            <w:pPr>
              <w:jc w:val="right"/>
              <w:spacing w:after="0"/>
              <w:rPr>
                <w:sz w:val="20"/>
                <w:szCs w:val="20"/>
                <w:color w:val="auto"/>
              </w:rPr>
            </w:pPr>
            <w:r>
              <w:rPr>
                <w:rFonts w:ascii="Arial" w:cs="Arial" w:eastAsia="Arial" w:hAnsi="Arial"/>
                <w:sz w:val="14"/>
                <w:szCs w:val="14"/>
                <w:color w:val="auto"/>
              </w:rPr>
              <w:t>$ 2,312,517,069</w:t>
            </w:r>
          </w:p>
        </w:tc>
        <w:tc>
          <w:tcPr>
            <w:tcW w:w="0" w:type="dxa"/>
            <w:vAlign w:val="bottom"/>
          </w:tcPr>
          <w:p>
            <w:pPr>
              <w:spacing w:after="0"/>
              <w:rPr>
                <w:sz w:val="1"/>
                <w:szCs w:val="1"/>
                <w:color w:val="auto"/>
              </w:rPr>
            </w:pP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1,786,232</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107,174</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23,917,179</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24,024,353</w:t>
            </w:r>
          </w:p>
        </w:tc>
        <w:tc>
          <w:tcPr>
            <w:tcW w:w="0" w:type="dxa"/>
            <w:vAlign w:val="bottom"/>
          </w:tcPr>
          <w:p>
            <w:pPr>
              <w:spacing w:after="0"/>
              <w:rPr>
                <w:sz w:val="1"/>
                <w:szCs w:val="1"/>
                <w:color w:val="auto"/>
              </w:rPr>
            </w:pPr>
          </w:p>
        </w:tc>
      </w:tr>
      <w:tr>
        <w:trPr>
          <w:trHeight w:val="216"/>
        </w:trPr>
        <w:tc>
          <w:tcPr>
            <w:tcW w:w="1220" w:type="dxa"/>
            <w:vAlign w:val="bottom"/>
          </w:tcPr>
          <w:p>
            <w:pPr>
              <w:ind w:left="380"/>
              <w:spacing w:after="0"/>
              <w:rPr>
                <w:sz w:val="20"/>
                <w:szCs w:val="20"/>
                <w:color w:val="auto"/>
              </w:rPr>
            </w:pPr>
            <w:r>
              <w:rPr>
                <w:rFonts w:ascii="Arial" w:cs="Arial" w:eastAsia="Arial" w:hAnsi="Arial"/>
                <w:sz w:val="14"/>
                <w:szCs w:val="14"/>
                <w:color w:val="auto"/>
              </w:rPr>
              <w:t>(5,798,385)</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(347,903)</w:t>
            </w:r>
          </w:p>
        </w:tc>
        <w:tc>
          <w:tcPr>
            <w:tcW w:w="2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(22,151,437)</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(165,179,271)</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(187,678,611)</w:t>
            </w:r>
          </w:p>
        </w:tc>
        <w:tc>
          <w:tcPr>
            <w:tcW w:w="0" w:type="dxa"/>
            <w:vAlign w:val="bottom"/>
          </w:tcPr>
          <w:p>
            <w:pPr>
              <w:spacing w:after="0"/>
              <w:rPr>
                <w:sz w:val="1"/>
                <w:szCs w:val="1"/>
                <w:color w:val="auto"/>
              </w:rPr>
            </w:pP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30,936,895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30,936,895</w:t>
            </w:r>
          </w:p>
        </w:tc>
        <w:tc>
          <w:tcPr>
            <w:tcW w:w="0" w:type="dxa"/>
            <w:vAlign w:val="bottom"/>
          </w:tcPr>
          <w:p>
            <w:pPr>
              <w:spacing w:after="0"/>
              <w:rPr>
                <w:sz w:val="1"/>
                <w:szCs w:val="1"/>
                <w:color w:val="auto"/>
              </w:rPr>
            </w:pP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(82,663,756)</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(82,663,756)</w:t>
            </w:r>
          </w:p>
        </w:tc>
        <w:tc>
          <w:tcPr>
            <w:tcW w:w="0" w:type="dxa"/>
            <w:vAlign w:val="bottom"/>
          </w:tcPr>
          <w:p>
            <w:pPr>
              <w:spacing w:after="0"/>
              <w:rPr>
                <w:sz w:val="1"/>
                <w:szCs w:val="1"/>
                <w:color w:val="auto"/>
              </w:rPr>
            </w:pP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316,820,194</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316,820,194</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3,671,198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3,671,198</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227,443,290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13,646,597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1,000,948,512</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$ 1,405,918,157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(2,885,924)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$ 2,417,627,342</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234,169,335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14,050,160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917,499,323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$ 1,148,386,272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(14,142,934)</w:t>
            </w:r>
          </w:p>
        </w:tc>
        <w:tc>
          <w:tcPr>
            <w:tcW w:w="1220" w:type="dxa"/>
            <w:vAlign w:val="bottom"/>
          </w:tcPr>
          <w:p>
            <w:pPr>
              <w:jc w:val="right"/>
              <w:spacing w:after="0"/>
              <w:rPr>
                <w:sz w:val="20"/>
                <w:szCs w:val="20"/>
                <w:color w:val="auto"/>
              </w:rPr>
            </w:pPr>
            <w:r>
              <w:rPr>
                <w:rFonts w:ascii="Arial" w:cs="Arial" w:eastAsia="Arial" w:hAnsi="Arial"/>
                <w:sz w:val="14"/>
                <w:szCs w:val="14"/>
                <w:color w:val="auto"/>
              </w:rPr>
              <w:t>$ 2,065,792,821</w:t>
            </w:r>
          </w:p>
        </w:tc>
        <w:tc>
          <w:tcPr>
            <w:tcW w:w="0" w:type="dxa"/>
            <w:vAlign w:val="bottom"/>
          </w:tcPr>
          <w:p>
            <w:pPr>
              <w:spacing w:after="0"/>
              <w:rPr>
                <w:sz w:val="1"/>
                <w:szCs w:val="1"/>
                <w:color w:val="auto"/>
              </w:rPr>
            </w:pP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1,833,596</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110,016</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24,194,845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24,304,861</w:t>
            </w:r>
          </w:p>
        </w:tc>
        <w:tc>
          <w:tcPr>
            <w:tcW w:w="0" w:type="dxa"/>
            <w:vAlign w:val="bottom"/>
          </w:tcPr>
          <w:p>
            <w:pPr>
              <w:spacing w:after="0"/>
              <w:rPr>
                <w:sz w:val="1"/>
                <w:szCs w:val="1"/>
                <w:color w:val="auto"/>
              </w:rPr>
            </w:pP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220" w:type="dxa"/>
            <w:vAlign w:val="bottom"/>
          </w:tcPr>
          <w:p>
            <w:pPr>
              <w:ind w:left="380"/>
              <w:spacing w:after="0"/>
              <w:rPr>
                <w:sz w:val="20"/>
                <w:szCs w:val="20"/>
                <w:color w:val="auto"/>
              </w:rPr>
            </w:pPr>
            <w:r>
              <w:rPr>
                <w:rFonts w:ascii="Arial" w:cs="Arial" w:eastAsia="Arial" w:hAnsi="Arial"/>
                <w:sz w:val="14"/>
                <w:szCs w:val="14"/>
                <w:color w:val="auto"/>
              </w:rPr>
              <w:t>(2,743,788)</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(164,628)</w:t>
            </w:r>
          </w:p>
        </w:tc>
        <w:tc>
          <w:tcPr>
            <w:tcW w:w="2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(9,707,255)</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(68,863,618)</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(78,735,501)</w:t>
            </w:r>
          </w:p>
        </w:tc>
        <w:tc>
          <w:tcPr>
            <w:tcW w:w="0" w:type="dxa"/>
            <w:vAlign w:val="bottom"/>
          </w:tcPr>
          <w:p>
            <w:pPr>
              <w:spacing w:after="0"/>
              <w:rPr>
                <w:sz w:val="1"/>
                <w:szCs w:val="1"/>
                <w:color w:val="auto"/>
              </w:rPr>
            </w:pP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29,212,236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29,212,236</w:t>
            </w:r>
          </w:p>
        </w:tc>
        <w:tc>
          <w:tcPr>
            <w:tcW w:w="0" w:type="dxa"/>
            <w:vAlign w:val="bottom"/>
          </w:tcPr>
          <w:p>
            <w:pPr>
              <w:spacing w:after="0"/>
              <w:rPr>
                <w:sz w:val="1"/>
                <w:szCs w:val="1"/>
                <w:color w:val="auto"/>
              </w:rPr>
            </w:pP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(84,049,880)</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(84,049,880)</w:t>
            </w:r>
          </w:p>
        </w:tc>
        <w:tc>
          <w:tcPr>
            <w:tcW w:w="0" w:type="dxa"/>
            <w:vAlign w:val="bottom"/>
          </w:tcPr>
          <w:p>
            <w:pPr>
              <w:spacing w:after="0"/>
              <w:rPr>
                <w:sz w:val="1"/>
                <w:szCs w:val="1"/>
                <w:color w:val="auto"/>
              </w:rPr>
            </w:pP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311,459,076</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311,459,076</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470,194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470,194</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233,259,143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13,995,548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961,199,149</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$ 1,306,931,850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(13,672,740)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$ 2,268,453,807</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-3308350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-2931160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-2451100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-2159635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-1868170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-1559560</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7" w:name="page8"/>
    <w:bookmarkEnd w:id="7"/>
    <w:p>
      <w:pPr>
        <w:jc w:val="center"/>
        <w:ind w:left="340" w:right="23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Nine Months Ended September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2024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316,820,194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311,459,076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70,887,294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71,001,177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(1,279,049)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sale of investments and technology investment income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(4,736,312)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(2,747,586)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technology investment losses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14,839,974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6,840,692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Deferred tax expense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(9,970,207)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(11,870,944)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30,936,895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29,212,236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(34,528,140)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(74,648,395)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(46,837,992)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8,907,490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(2,616,370)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(8,976,998)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27,451,773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19,229,845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7,500,486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343,817,752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367,668,306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investments: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35,059,971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32,839,883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14,435,000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(83,764,695)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(112,608,739)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(102,966,564)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(121,393,801)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142,400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185,610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other assets</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(5,614,129)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(146,883,017)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(189,075,734)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24,024,353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24,304,861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(83,145,216)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(84,159,105)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(184,609,148)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(76,859,341)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(243,730,011)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(136,713,585)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(46,795,276)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41,878,987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226,435,019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218,754,638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179,639,743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260,633,625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SUPPLEMENTAL CASH FLOW DATA</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360" w:type="dxa"/>
            <w:vAlign w:val="bottom"/>
          </w:tcPr>
          <w:p>
            <w:pPr>
              <w:ind w:left="200"/>
              <w:spacing w:after="0" w:line="176" w:lineRule="exact"/>
              <w:rPr>
                <w:sz w:val="20"/>
                <w:szCs w:val="20"/>
                <w:color w:val="auto"/>
              </w:rPr>
            </w:pPr>
            <w:r>
              <w:rPr>
                <w:rFonts w:ascii="Arial" w:cs="Arial" w:eastAsia="Arial" w:hAnsi="Arial"/>
                <w:sz w:val="18"/>
                <w:szCs w:val="18"/>
                <w:color w:val="auto"/>
              </w:rPr>
              <w:t>Change in property and equipment in accounts payable and accrued expenses and other</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(4,115,011)</w:t>
            </w:r>
          </w:p>
        </w:tc>
        <w:tc>
          <w:tcPr>
            <w:tcW w:w="40" w:type="dxa"/>
            <w:vAlign w:val="bottom"/>
          </w:tcPr>
          <w:p>
            <w:pPr>
              <w:spacing w:after="0"/>
              <w:rPr>
                <w:sz w:val="15"/>
                <w:szCs w:val="15"/>
                <w:color w:val="auto"/>
              </w:rPr>
            </w:pPr>
          </w:p>
        </w:tc>
        <w:tc>
          <w:tcPr>
            <w:tcW w:w="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9,708,125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2023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2024,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Standards</w:t>
      </w:r>
    </w:p>
    <w:p>
      <w:pPr>
        <w:spacing w:after="0" w:line="252"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updates reportable segment disclosure requirements by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will likely include additional disclosures when this ASU is adopted by the Company. The Company is currently evaluating the provisions of this ASU and expects to adopt the ASU for the year ending December 31, 2024.</w:t>
      </w:r>
    </w:p>
    <w:p>
      <w:pPr>
        <w:spacing w:after="0" w:line="21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pacing w:after="0" w:line="20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2020; $0.2 million as part of the acquisition of Air-Craftglass Production BV ("Air-Craftglass") in 2020; $1.0 million as a part of the acquisition of Argil, Inc. ("Argil") in 2020; $2.0 million as part of the acquisition of Guardian Optical Technologies ("Guardian") in 2021; and $26.7 million as part of the acquisition of eSight in the fourth quarter of 2023. The carrying value of Goodwill as of both September 30, 2024 and December 31, 2023 was $340.1 million</w:t>
      </w:r>
      <w:r>
        <w:rPr>
          <w:rFonts w:ascii="Arial" w:cs="Arial" w:eastAsia="Arial" w:hAnsi="Arial"/>
          <w:sz w:val="18"/>
          <w:szCs w:val="18"/>
          <w:color w:val="FAAC16"/>
        </w:rPr>
        <w:t>,</w:t>
      </w:r>
      <w:r>
        <w:rPr>
          <w:rFonts w:ascii="Arial" w:cs="Arial" w:eastAsia="Arial" w:hAnsi="Arial"/>
          <w:sz w:val="18"/>
          <w:szCs w:val="18"/>
          <w:color w:val="auto"/>
        </w:rPr>
        <w:t xml:space="preserv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80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Balance as of December 31, 2023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340,105,631</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2024</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340,105,631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were observed in the third quarter of 2024 and, as such, nothing indicated the need for interim impairment testing.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80" w:type="dxa"/>
            <w:vAlign w:val="bottom"/>
          </w:tcPr>
          <w:p>
            <w:pPr>
              <w:spacing w:after="0"/>
              <w:rPr>
                <w:sz w:val="14"/>
                <w:szCs w:val="14"/>
                <w:color w:val="auto"/>
              </w:rPr>
            </w:pPr>
          </w:p>
        </w:tc>
        <w:tc>
          <w:tcPr>
            <w:tcW w:w="12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39,198,259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(27,882,575)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11,315,684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(916,667)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11,083,333</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803,542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Technology</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6,658,333</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(209,151,875)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201,604,035</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449,954,169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(237,034,450)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212,919,719</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2023:</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39,199,107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(27,769,803)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11,429,304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line="22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(196,750,000)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214,005,910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449,955,017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(224,519,803)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225,435,214</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on patents and intangible assets was approximately $4.5 million and $13.4 million during the three and nine</w:t>
      </w:r>
    </w:p>
    <w:p>
      <w:pPr>
        <w:spacing w:after="0" w:line="5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months ended September 30, 2024, respectively, compared to approximately $5.2 million and $15.6 million for the same periods ended September 30, 2023, respectively.</w:t>
      </w:r>
    </w:p>
    <w:p>
      <w:pPr>
        <w:spacing w:after="0" w:line="18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2024 to be approximately $ 18 million, for the year ending December 31, 2025 to be approximately $14 million, and for each of the years ending December 31, 2026, December 31, 2027, and December 31, 2028 to be approximately $3 million.</w:t>
      </w:r>
    </w:p>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Available for sale securities</w:t>
      </w:r>
    </w:p>
    <w:p>
      <w:pPr>
        <w:spacing w:after="0" w:line="15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00" w:lineRule="exact"/>
        <w:rPr>
          <w:sz w:val="20"/>
          <w:szCs w:val="20"/>
          <w:color w:val="auto"/>
        </w:rPr>
      </w:pPr>
    </w:p>
    <w:p>
      <w:pPr>
        <w:spacing w:after="0" w:line="33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4, 2023, the Company entered into a Stock Purchase Agreement to acquire up to 3,137,500 shares of VOXX International Corporation ("VOXX") Class A Common Stock for investment purposes. The Company agreed to purchase the shares in two tranches: (1) on October 6, 2023, the Company purchased 1,568,750 shares of Class A Common Stock at a price of $ 10 per share, and (2) on January 5, 2024, the Company purchased 1,568,750 shares of Class A Common Stock at a price of $10 per share. On August 23, 2024, the Company entered into another Stock Purchase Agreement and acquired an additional 3,152,500 shares of Class A Common Stock on that date at $5 per share for investment purposes. The VOXX shares held by the Company are publicly traded and have a readily determinable fair market value and are considered Level 1 assets. The Company has the intention and current ability to hold the VOXX investment, and therefore has recorded the investment within Long-term Investments in the consolidated balance sheet.</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September 30, 2024, the Company holds a total of 6,463,808 shares of VOXX. As a result of the August 2024 purchase, the Company began accounting for the VOXX investment in accordance with ASC 323 – </w:t>
      </w:r>
      <w:r>
        <w:rPr>
          <w:rFonts w:ascii="Arial" w:cs="Arial" w:eastAsia="Arial" w:hAnsi="Arial"/>
          <w:sz w:val="18"/>
          <w:szCs w:val="18"/>
          <w:i w:val="1"/>
          <w:iCs w:val="1"/>
          <w:color w:val="auto"/>
        </w:rPr>
        <w:t>Investments – 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w:t>
      </w:r>
      <w:r>
        <w:rPr>
          <w:rFonts w:ascii="Arial" w:cs="Arial" w:eastAsia="Arial" w:hAnsi="Arial"/>
          <w:sz w:val="18"/>
          <w:szCs w:val="18"/>
          <w:color w:val="auto"/>
        </w:rPr>
        <w:t>, with the election to use the Fair Value Option under ASC 825 -</w:t>
      </w:r>
      <w:r>
        <w:rPr>
          <w:rFonts w:ascii="Arial" w:cs="Arial" w:eastAsia="Arial" w:hAnsi="Arial"/>
          <w:sz w:val="18"/>
          <w:szCs w:val="18"/>
          <w:i w:val="1"/>
          <w:iCs w:val="1"/>
          <w:color w:val="auto"/>
        </w:rPr>
        <w:t xml:space="preserve"> Fair Value</w:t>
      </w:r>
      <w:r>
        <w:rPr>
          <w:rFonts w:ascii="Arial" w:cs="Arial" w:eastAsia="Arial" w:hAnsi="Arial"/>
          <w:sz w:val="18"/>
          <w:szCs w:val="18"/>
          <w:color w:val="auto"/>
        </w:rPr>
        <w:t>. As a result of this election,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are recorded in Investment income, net in the condensed consolidated statements of income. The Company recorded $14.9 million of gain during the three months ended September 30, 2024, and $9.0 million of loss during the nine months ended September 30, 2024 relating to mark to market adjustments in investment income related to VOXX.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Investments</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also periodically makes strategic investments in the non-marketable debt or equity securities of other non-consolidated third parties ("Technology Investments"). Such Technology Investments totaled approximately $149.9 million as of September 30, 2024, of which $144.9 million and $5.0 million are recorded in long-term investments and short-term investments, respectively, on the consolidated balance sheet, and $128.0 million as of December 31, 2023, of which $124.6 million and $3.4 million are recorded in long-term investments and short-term investments, respectively, on the consolidated balance sheet. Depending on the form of investment, and the degree of influence the Company has over the investee, the Company primarily accounts for the Technology Investments in accordance with ASC 321, </w:t>
      </w:r>
      <w:r>
        <w:rPr>
          <w:rFonts w:ascii="Arial" w:cs="Arial" w:eastAsia="Arial" w:hAnsi="Arial"/>
          <w:sz w:val="17"/>
          <w:szCs w:val="17"/>
          <w:i w:val="1"/>
          <w:iCs w:val="1"/>
          <w:color w:val="auto"/>
        </w:rPr>
        <w:t>Investments- Equity Securities</w:t>
      </w:r>
      <w:r>
        <w:rPr>
          <w:rFonts w:ascii="Arial" w:cs="Arial" w:eastAsia="Arial" w:hAnsi="Arial"/>
          <w:sz w:val="17"/>
          <w:szCs w:val="17"/>
          <w:color w:val="auto"/>
        </w:rPr>
        <w:t xml:space="preserve"> or ASC 323 – </w:t>
      </w:r>
      <w:r>
        <w:rPr>
          <w:rFonts w:ascii="Arial" w:cs="Arial" w:eastAsia="Arial" w:hAnsi="Arial"/>
          <w:sz w:val="17"/>
          <w:szCs w:val="17"/>
          <w:i w:val="1"/>
          <w:iCs w:val="1"/>
          <w:color w:val="auto"/>
        </w:rPr>
        <w:t>Investments –</w:t>
      </w:r>
      <w:r>
        <w:rPr>
          <w:rFonts w:ascii="Arial" w:cs="Arial" w:eastAsia="Arial" w:hAnsi="Arial"/>
          <w:sz w:val="17"/>
          <w:szCs w:val="17"/>
          <w:color w:val="auto"/>
        </w:rPr>
        <w:t xml:space="preserve"> </w:t>
      </w:r>
      <w:r>
        <w:rPr>
          <w:rFonts w:ascii="Arial" w:cs="Arial" w:eastAsia="Arial" w:hAnsi="Arial"/>
          <w:sz w:val="17"/>
          <w:szCs w:val="17"/>
          <w:i w:val="1"/>
          <w:iCs w:val="1"/>
          <w:color w:val="auto"/>
        </w:rPr>
        <w:t>Equity Method and Joint Venture</w:t>
      </w:r>
      <w:r>
        <w:rPr>
          <w:rFonts w:ascii="Arial" w:cs="Arial" w:eastAsia="Arial" w:hAnsi="Arial"/>
          <w:sz w:val="17"/>
          <w:szCs w:val="17"/>
          <w:color w:val="auto"/>
        </w:rPr>
        <w:t>. The Company accounts for equity securities in non-controlled affiliates through which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exercises significant influence but do not have control over the investee under the equity method, with the Company’s share of the earnings or losses of non-controlled affiliates recognized within Other income (loss), net in the Company's condensed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Assets or liabilities that have recurring fair value measurements are shown below as of September 30, 2024 and December 31,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3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7"/>
                <w:szCs w:val="17"/>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179,639,743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179,639,743</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2,784,681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752,133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752,133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3,960,920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2,479,975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2,479,975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4,380,400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1,073,419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1,073,419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40,069,030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40,069,030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57,754,563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57,754,563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1,671,215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1,671,215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41,083,645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41,109,820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41,109,820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376,759,544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222,575,115</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154,184,429</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40"/>
              <w:spacing w:after="0" w:line="143"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3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7"/>
                <w:szCs w:val="17"/>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226,435,019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226,435,019</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1,943,886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1,943,886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1,726,658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1,726,658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27,146,504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748,358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65,404,340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65,404,340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6,227,129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6,227,129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56,336,921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18,610,519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18,610,519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411,798,242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248,253,297</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163,544,945</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Unrealized</w:t>
            </w: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5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2,834,713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2,784,681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4,019,696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3,960,920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2,474,160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4,393,568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4,380,400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39,109,728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40,069,030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56,889,910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1,273,030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(408,377)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57,754,563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41,175,200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918,479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(1,010,034)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41,083,645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151,489,527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3,300,912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(1,565,139)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153,225,300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3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Unrealized</w:t>
            </w: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ind w:left="3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(5,987)</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994,013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(32,309)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4,754,495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(16,129)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4,759,507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1,465,388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1,465,388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26,923,803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331,847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(109,146)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27,146,504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66,214,398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748,471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(1,558,529)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65,404,340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6,217,774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6,227,129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58,261,615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(2,735,822)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56,336,921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17,324,886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(42,813)</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18,610,519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186,637,592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3,251,708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(4,526,077)</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185,363,223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September 30, 2024,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7,363,296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46,320,380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53,683,676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available-for-sale securities as of December 31, 2023, are as follows:</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13,449,592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76,966,258</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90,415,850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r>
              <w:rPr>
                <w:rFonts w:ascii="Arial" w:cs="Arial" w:eastAsia="Arial" w:hAnsi="Arial"/>
                <w:sz w:val="18"/>
                <w:szCs w:val="18"/>
                <w:color w:val="auto"/>
              </w:rPr>
              <w:t>Fixed</w:t>
            </w:r>
          </w:p>
        </w:tc>
        <w:tc>
          <w:tcPr>
            <w:tcW w:w="10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4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460" w:type="dxa"/>
            <w:vAlign w:val="bottom"/>
          </w:tcPr>
          <w:p>
            <w:pPr>
              <w:ind w:left="100"/>
              <w:spacing w:after="0"/>
              <w:rPr>
                <w:sz w:val="20"/>
                <w:szCs w:val="20"/>
                <w:color w:val="auto"/>
              </w:rPr>
            </w:pPr>
            <w:r>
              <w:rPr>
                <w:rFonts w:ascii="Arial" w:cs="Arial" w:eastAsia="Arial" w:hAnsi="Arial"/>
                <w:sz w:val="18"/>
                <w:szCs w:val="18"/>
                <w:color w:val="auto"/>
              </w:rPr>
              <w:t>as</w:t>
            </w:r>
          </w:p>
        </w:tc>
        <w:tc>
          <w:tcPr>
            <w:tcW w:w="480" w:type="dxa"/>
            <w:vAlign w:val="bottom"/>
          </w:tcPr>
          <w:p>
            <w:pPr>
              <w:ind w:left="160"/>
              <w:spacing w:after="0"/>
              <w:rPr>
                <w:sz w:val="20"/>
                <w:szCs w:val="20"/>
                <w:color w:val="auto"/>
              </w:rPr>
            </w:pPr>
            <w:r>
              <w:rPr>
                <w:rFonts w:ascii="Arial" w:cs="Arial" w:eastAsia="Arial" w:hAnsi="Arial"/>
                <w:sz w:val="18"/>
                <w:szCs w:val="18"/>
                <w:color w:val="auto"/>
              </w:rPr>
              <w:t>of</w:t>
            </w:r>
          </w:p>
        </w:tc>
        <w:tc>
          <w:tcPr>
            <w:tcW w:w="1220" w:type="dxa"/>
            <w:vAlign w:val="bottom"/>
          </w:tcPr>
          <w:p>
            <w:pPr>
              <w:ind w:left="180"/>
              <w:spacing w:after="0"/>
              <w:rPr>
                <w:sz w:val="20"/>
                <w:szCs w:val="20"/>
                <w:color w:val="auto"/>
              </w:rPr>
            </w:pPr>
            <w:r>
              <w:rPr>
                <w:rFonts w:ascii="Arial" w:cs="Arial" w:eastAsia="Arial" w:hAnsi="Arial"/>
                <w:sz w:val="18"/>
                <w:szCs w:val="18"/>
                <w:color w:val="auto"/>
              </w:rPr>
              <w:t>September</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2024</w:t>
            </w:r>
          </w:p>
        </w:tc>
        <w:tc>
          <w:tcPr>
            <w:tcW w:w="720" w:type="dxa"/>
            <w:vAlign w:val="bottom"/>
          </w:tcPr>
          <w:p>
            <w:pPr>
              <w:ind w:left="160"/>
              <w:spacing w:after="0"/>
              <w:rPr>
                <w:sz w:val="20"/>
                <w:szCs w:val="20"/>
                <w:color w:val="auto"/>
              </w:rPr>
            </w:pPr>
            <w:r>
              <w:rPr>
                <w:rFonts w:ascii="Arial" w:cs="Arial" w:eastAsia="Arial" w:hAnsi="Arial"/>
                <w:sz w:val="18"/>
                <w:szCs w:val="18"/>
                <w:color w:val="auto"/>
              </w:rPr>
              <w:t>have</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contractual</w:t>
            </w:r>
          </w:p>
        </w:tc>
        <w:tc>
          <w:tcPr>
            <w:tcW w:w="110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follows:</w:t>
            </w:r>
          </w:p>
        </w:tc>
      </w:tr>
      <w:tr>
        <w:trPr>
          <w:trHeight w:val="23"/>
        </w:trPr>
        <w:tc>
          <w:tcPr>
            <w:tcW w:w="16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14,358,108</w:t>
            </w:r>
          </w:p>
        </w:tc>
        <w:tc>
          <w:tcPr>
            <w:tcW w:w="740" w:type="dxa"/>
            <w:vAlign w:val="bottom"/>
          </w:tcPr>
          <w:p>
            <w:pPr>
              <w:spacing w:after="0"/>
              <w:rPr>
                <w:sz w:val="19"/>
                <w:szCs w:val="19"/>
                <w:color w:val="auto"/>
              </w:rPr>
            </w:pPr>
          </w:p>
        </w:tc>
      </w:tr>
      <w:tr>
        <w:trPr>
          <w:trHeight w:val="230"/>
        </w:trPr>
        <w:tc>
          <w:tcPr>
            <w:tcW w:w="270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76,534,624</w:t>
            </w:r>
          </w:p>
        </w:tc>
        <w:tc>
          <w:tcPr>
            <w:tcW w:w="740" w:type="dxa"/>
            <w:vAlign w:val="bottom"/>
          </w:tcPr>
          <w:p>
            <w:pPr>
              <w:spacing w:after="0"/>
              <w:rPr>
                <w:sz w:val="19"/>
                <w:szCs w:val="19"/>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64,043,830</w:t>
            </w:r>
          </w:p>
        </w:tc>
        <w:tc>
          <w:tcPr>
            <w:tcW w:w="74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154,936,562</w:t>
            </w:r>
          </w:p>
        </w:tc>
        <w:tc>
          <w:tcPr>
            <w:tcW w:w="7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Inventories, net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317,505,698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283,126,566</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47,856,981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46,343,955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83,948,341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73,002,507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449,311,020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402,473,028</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nine months ended September 30, 2024 and September 30, 2023:</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6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122,549,041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104,725,412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316,820,194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311,459,076</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1,604,095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1,537,105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4,418,133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4,636,523</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allocated to participating securities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120,944,946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103,188,307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312,402,061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306,822,553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226,002,347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230,047,014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226,646,541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229,866,008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Allocation of Net Income used in basic</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120,944,946</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103,188,307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312,402,061</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306,822,553</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1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156"/>
        </w:trPr>
        <w:tc>
          <w:tcPr>
            <w:tcW w:w="4040" w:type="dxa"/>
            <w:vAlign w:val="bottom"/>
          </w:tcPr>
          <w:p>
            <w:pPr>
              <w:ind w:left="240"/>
              <w:spacing w:after="0" w:line="156" w:lineRule="exact"/>
              <w:rPr>
                <w:sz w:val="20"/>
                <w:szCs w:val="20"/>
                <w:color w:val="auto"/>
              </w:rPr>
            </w:pPr>
            <w:r>
              <w:rPr>
                <w:rFonts w:ascii="Arial" w:cs="Arial" w:eastAsia="Arial" w:hAnsi="Arial"/>
                <w:sz w:val="18"/>
                <w:szCs w:val="18"/>
                <w:color w:val="auto"/>
              </w:rPr>
              <w:t>Net Income available to common shareholders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120,946,234</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103,190,285</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312,407,244</w:t>
            </w: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306,827,130</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 Diluted</w:t>
            </w:r>
          </w:p>
        </w:tc>
        <w:tc>
          <w:tcPr>
            <w:tcW w:w="1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900"/>
        <w:spacing w:after="0"/>
        <w:rPr>
          <w:sz w:val="20"/>
          <w:szCs w:val="20"/>
          <w:color w:val="auto"/>
        </w:rPr>
      </w:pPr>
      <w:r>
        <w:rPr>
          <w:rFonts w:ascii="Arial" w:cs="Arial" w:eastAsia="Arial" w:hAnsi="Arial"/>
          <w:sz w:val="18"/>
          <w:szCs w:val="18"/>
          <w:color w:val="auto"/>
        </w:rPr>
        <w:t>Number of shares used in basic computation</w:t>
      </w:r>
    </w:p>
    <w:p>
      <w:pPr>
        <w:spacing w:after="0" w:line="27" w:lineRule="exact"/>
        <w:rPr>
          <w:sz w:val="20"/>
          <w:szCs w:val="20"/>
          <w:color w:val="auto"/>
        </w:rPr>
      </w:pPr>
    </w:p>
    <w:p>
      <w:pPr>
        <w:ind w:left="1000"/>
        <w:spacing w:after="0" w:line="234"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20" w:type="dxa"/>
            <w:vAlign w:val="bottom"/>
          </w:tcPr>
          <w:p>
            <w:pPr>
              <w:jc w:val="right"/>
              <w:ind w:right="130"/>
              <w:spacing w:after="0"/>
              <w:rPr>
                <w:sz w:val="20"/>
                <w:szCs w:val="20"/>
                <w:color w:val="auto"/>
              </w:rPr>
            </w:pPr>
            <w:r>
              <w:rPr>
                <w:rFonts w:ascii="Arial" w:cs="Arial" w:eastAsia="Arial" w:hAnsi="Arial"/>
                <w:sz w:val="18"/>
                <w:szCs w:val="18"/>
                <w:color w:val="auto"/>
              </w:rPr>
              <w:t>226,002,347</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230,047,014</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226,646,541</w:t>
            </w:r>
          </w:p>
        </w:tc>
        <w:tc>
          <w:tcPr>
            <w:tcW w:w="1300" w:type="dxa"/>
            <w:vAlign w:val="bottom"/>
          </w:tcPr>
          <w:p>
            <w:pPr>
              <w:jc w:val="right"/>
              <w:spacing w:after="0"/>
              <w:rPr>
                <w:sz w:val="20"/>
                <w:szCs w:val="20"/>
                <w:color w:val="auto"/>
              </w:rPr>
            </w:pPr>
            <w:r>
              <w:rPr>
                <w:rFonts w:ascii="Arial" w:cs="Arial" w:eastAsia="Arial" w:hAnsi="Arial"/>
                <w:sz w:val="18"/>
                <w:szCs w:val="18"/>
                <w:color w:val="auto"/>
              </w:rPr>
              <w:t>229,866,008</w:t>
            </w:r>
          </w:p>
        </w:tc>
      </w:tr>
      <w:tr>
        <w:trPr>
          <w:trHeight w:val="409"/>
        </w:trPr>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239,337</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410,397</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363,391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315,666</w:t>
            </w:r>
          </w:p>
        </w:tc>
      </w:tr>
      <w:tr>
        <w:trPr>
          <w:trHeight w:val="223"/>
        </w:trPr>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226,241,684</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230,457,411</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227,009,932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230,181,674</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-453390</wp:posOffset>
            </wp:positionV>
            <wp:extent cx="624078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078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00" w:space="100"/>
            <w:col w:w="6540"/>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3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tcPr>
          <w:p>
            <w:pPr>
              <w:ind w:left="20"/>
              <w:spacing w:after="0" w:line="183" w:lineRule="exact"/>
              <w:rPr>
                <w:sz w:val="20"/>
                <w:szCs w:val="20"/>
                <w:color w:val="auto"/>
              </w:rPr>
            </w:pPr>
            <w:r>
              <w:rPr>
                <w:rFonts w:ascii="Arial" w:cs="Arial" w:eastAsia="Arial" w:hAnsi="Arial"/>
                <w:sz w:val="18"/>
                <w:szCs w:val="18"/>
                <w:color w:val="auto"/>
              </w:rPr>
              <w:t>diluted average common shares outstanding</w:t>
            </w:r>
          </w:p>
        </w:tc>
        <w:tc>
          <w:tcPr>
            <w:tcW w:w="5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1,619,446</w:t>
            </w:r>
          </w:p>
        </w:tc>
        <w:tc>
          <w:tcPr>
            <w:tcW w:w="40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1,384,066</w:t>
            </w:r>
          </w:p>
        </w:tc>
        <w:tc>
          <w:tcPr>
            <w:tcW w:w="46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625,410</w:t>
            </w: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1,410,341</w:t>
            </w:r>
          </w:p>
        </w:tc>
        <w:tc>
          <w:tcPr>
            <w:tcW w:w="0" w:type="dxa"/>
            <w:vAlign w:val="bottom"/>
          </w:tcPr>
          <w:p>
            <w:pPr>
              <w:spacing w:after="0"/>
              <w:rPr>
                <w:sz w:val="1"/>
                <w:szCs w:val="1"/>
                <w:color w:val="auto"/>
              </w:rPr>
            </w:pPr>
          </w:p>
        </w:tc>
      </w:tr>
      <w:tr>
        <w:trPr>
          <w:trHeight w:val="239"/>
        </w:trPr>
        <w:tc>
          <w:tcPr>
            <w:tcW w:w="380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5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As of September 30, 2024,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2023, for additional information related to the Prior Plans.</w:t>
      </w:r>
    </w:p>
    <w:p>
      <w:pPr>
        <w:spacing w:after="0" w:line="72"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The Company recognized total compensation expense for share-based payments of $9,590,588 and $31,042,268 for the three and nine months ended September 30, 2024, respectively. The Company recognized compensation expense for share-based payments of $10,948,031 and $29,212,236 for the three and nine months ended September 30, 2023, respectively. A portion of the compensation cost for share based payment awards is capitalized as part of inventory.</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September 30, 2024, 11,109,647 share awards have been made under the Plan, resulting in 29,672,008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5,043,516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5,043,516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5,049,480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20,500,889</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1,016,651</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4,127,603</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11,109,647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29,672,008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September 30, 2024, there was $5,834,690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22"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328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3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24"/>
        </w:trPr>
        <w:tc>
          <w:tcPr>
            <w:tcW w:w="3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27.92 %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28.66 %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28.89 %</w:t>
            </w: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bl>
    <w:p>
      <w:pPr>
        <w:spacing w:after="0" w:line="56"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260" w:hanging="324"/>
        <w:spacing w:after="0" w:line="213"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324" w:hanging="324"/>
        <w:spacing w:after="0"/>
        <w:tabs>
          <w:tab w:leader="none" w:pos="324"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U.S. Treasury yield over the expected term of the option grant.</w:t>
      </w:r>
    </w:p>
    <w:p>
      <w:pPr>
        <w:spacing w:after="0" w:line="14" w:lineRule="exact"/>
        <w:rPr>
          <w:rFonts w:ascii="Arial" w:cs="Arial" w:eastAsia="Arial" w:hAnsi="Arial"/>
          <w:sz w:val="9"/>
          <w:szCs w:val="9"/>
          <w:color w:val="auto"/>
        </w:rPr>
      </w:pPr>
    </w:p>
    <w:p>
      <w:pPr>
        <w:ind w:left="324" w:right="20" w:hanging="324"/>
        <w:spacing w:after="0" w:line="222"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0" w:lineRule="exact"/>
        <w:rPr>
          <w:sz w:val="20"/>
          <w:szCs w:val="20"/>
          <w:color w:val="auto"/>
        </w:rPr>
      </w:pP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17" w:name="page18"/>
    <w:bookmarkEnd w:id="17"/>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2024, the Company had unearned stock-based compensation of $52,836,541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in the three and nine months ended September 30, 2024 was $5,915,930 and $19,487,110, respectively. Compensation expense from restricted stock grants in the three and nine months ended September 30, 2023 was $6,369,348 and $18,178,157,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2024, the Company had unearned stock-based compensation of $15,768,739 associated with these performance share grants. The unearned stock-based compensation related to these grants is being amortized to compensation expense over the applicable performance periods. Compensation expense related to these performance share grants in the three and nine months ended September 30, 2024 was $1,573,201 and $5,369,466, respectively. Compensation expense related to these performance share grants in the three and nine months ended September 30, 2023 was $2,463,158 and $4,600,386, respectively.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in the three and nine months ended September 30, 2024 was $ 453,393 and $ 1,342,032, respectively. Compensation expense related to these retention grants in the three and nine months ended September 30, 2023 was $441,115 and $1,082,333,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September 30,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issued 1,624,122 shares under this prior plan.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September 30, 2024, the Company has issued 442,718 shares under this plan.</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198"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(5,994,473)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(5,609,783)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(4,534,719)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(4,032,239)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1,776,813</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317,059</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(2,295,001)</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1,776,813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317,059</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(2,295,001)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(4,217,660)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(4,217,660)</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(6,327,240)</w:t>
            </w:r>
          </w:p>
        </w:tc>
        <w:tc>
          <w:tcPr>
            <w:tcW w:w="0" w:type="dxa"/>
            <w:vAlign w:val="bottom"/>
          </w:tcPr>
          <w:p>
            <w:pPr>
              <w:spacing w:after="0"/>
              <w:rPr>
                <w:sz w:val="1"/>
                <w:szCs w:val="1"/>
                <w:color w:val="auto"/>
              </w:rPr>
            </w:pPr>
          </w:p>
        </w:tc>
      </w:tr>
      <w:tr>
        <w:trPr>
          <w:trHeight w:val="88"/>
        </w:trPr>
        <w:tc>
          <w:tcPr>
            <w:tcW w:w="4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Unrealized (losses) gains on available-for-sale debt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(1,981,180)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(7,632,985)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(2,022,403)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(10,110,695)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 before</w:t>
            </w: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3,294,853</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(1,293,419)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2,465,099</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(468,359)</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6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18,063</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1,580,904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889,040</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3,233,554</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3,312,916</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3,354,139</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2,765,195</w:t>
            </w:r>
          </w:p>
        </w:tc>
        <w:tc>
          <w:tcPr>
            <w:tcW w:w="0" w:type="dxa"/>
            <w:vAlign w:val="bottom"/>
          </w:tcPr>
          <w:p>
            <w:pPr>
              <w:spacing w:after="0"/>
              <w:rPr>
                <w:sz w:val="1"/>
                <w:szCs w:val="1"/>
                <w:color w:val="auto"/>
              </w:rPr>
            </w:pPr>
          </w:p>
        </w:tc>
      </w:tr>
      <w:tr>
        <w:trPr>
          <w:trHeight w:val="262"/>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1,331,736</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(7,345,500)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1,331,736</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(7,345,500)</w:t>
            </w: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end of period $</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(2,885,924)</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(13,672,740)</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(2,885,924)</w:t>
            </w:r>
          </w:p>
        </w:tc>
        <w:tc>
          <w:tcPr>
            <w:tcW w:w="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(13,672,740)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nine months ended September 30, 2024 and 2023:</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8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rPr>
              <w:t>Details about Accumulated Other</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tcPr>
          <w:p>
            <w:pPr>
              <w:ind w:left="140"/>
              <w:spacing w:after="0"/>
              <w:rPr>
                <w:sz w:val="20"/>
                <w:szCs w:val="20"/>
                <w:color w:val="auto"/>
              </w:rPr>
            </w:pPr>
            <w:r>
              <w:rPr>
                <w:rFonts w:ascii="Arial" w:cs="Arial" w:eastAsia="Arial" w:hAnsi="Arial"/>
                <w:sz w:val="16"/>
                <w:szCs w:val="16"/>
                <w:b w:val="1"/>
                <w:bCs w:val="1"/>
                <w:color w:val="auto"/>
              </w:rPr>
              <w:t>Affected Line item in</w:t>
            </w: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jc w:val="center"/>
              <w:ind w:left="35"/>
              <w:spacing w:after="0" w:line="162" w:lineRule="exact"/>
              <w:rPr>
                <w:sz w:val="20"/>
                <w:szCs w:val="20"/>
                <w:color w:val="auto"/>
              </w:rPr>
            </w:pPr>
            <w:r>
              <w:rPr>
                <w:rFonts w:ascii="Arial" w:cs="Arial" w:eastAsia="Arial" w:hAnsi="Arial"/>
                <w:sz w:val="16"/>
                <w:szCs w:val="16"/>
                <w:b w:val="1"/>
                <w:bCs w:val="1"/>
                <w:color w:val="auto"/>
              </w:rPr>
              <w:t>the Consolidated</w:t>
            </w:r>
          </w:p>
        </w:tc>
        <w:tc>
          <w:tcPr>
            <w:tcW w:w="0" w:type="dxa"/>
            <w:vAlign w:val="bottom"/>
          </w:tcPr>
          <w:p>
            <w:pPr>
              <w:spacing w:after="0"/>
              <w:rPr>
                <w:sz w:val="1"/>
                <w:szCs w:val="1"/>
                <w:color w:val="auto"/>
              </w:rPr>
            </w:pPr>
          </w:p>
        </w:tc>
      </w:tr>
      <w:tr>
        <w:trPr>
          <w:trHeight w:val="162"/>
        </w:trPr>
        <w:tc>
          <w:tcPr>
            <w:tcW w:w="28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rPr>
              <w:t>Comprehensive Loss</w:t>
            </w:r>
          </w:p>
        </w:tc>
        <w:tc>
          <w:tcPr>
            <w:tcW w:w="300" w:type="dxa"/>
            <w:vAlign w:val="bottom"/>
          </w:tcPr>
          <w:p>
            <w:pPr>
              <w:spacing w:after="0"/>
              <w:rPr>
                <w:sz w:val="14"/>
                <w:szCs w:val="14"/>
                <w:color w:val="auto"/>
              </w:rPr>
            </w:pPr>
          </w:p>
        </w:tc>
        <w:tc>
          <w:tcPr>
            <w:tcW w:w="4960" w:type="dxa"/>
            <w:vAlign w:val="bottom"/>
            <w:gridSpan w:val="8"/>
            <w:vMerge w:val="restart"/>
          </w:tcPr>
          <w:p>
            <w:pPr>
              <w:ind w:left="200"/>
              <w:spacing w:after="0"/>
              <w:rPr>
                <w:sz w:val="20"/>
                <w:szCs w:val="20"/>
                <w:color w:val="auto"/>
              </w:rPr>
            </w:pPr>
            <w:r>
              <w:rPr>
                <w:rFonts w:ascii="Arial" w:cs="Arial" w:eastAsia="Arial" w:hAnsi="Arial"/>
                <w:sz w:val="16"/>
                <w:szCs w:val="16"/>
                <w:b w:val="1"/>
                <w:bCs w:val="1"/>
                <w:color w:val="auto"/>
              </w:rPr>
              <w:t>Amounts Reclassified from Other Comprehensive Loss</w:t>
            </w:r>
          </w:p>
        </w:tc>
        <w:tc>
          <w:tcPr>
            <w:tcW w:w="1760" w:type="dxa"/>
            <w:vAlign w:val="bottom"/>
          </w:tcPr>
          <w:p>
            <w:pPr>
              <w:jc w:val="center"/>
              <w:ind w:left="15"/>
              <w:spacing w:after="0" w:line="162" w:lineRule="exact"/>
              <w:rPr>
                <w:sz w:val="20"/>
                <w:szCs w:val="20"/>
                <w:color w:val="auto"/>
              </w:rPr>
            </w:pPr>
            <w:r>
              <w:rPr>
                <w:rFonts w:ascii="Arial" w:cs="Arial" w:eastAsia="Arial" w:hAnsi="Arial"/>
                <w:sz w:val="16"/>
                <w:szCs w:val="16"/>
                <w:b w:val="1"/>
                <w:bCs w:val="1"/>
                <w:color w:val="auto"/>
              </w:rPr>
              <w:t>Statements of</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rPr>
              <w:t>Components</w:t>
            </w:r>
          </w:p>
        </w:tc>
        <w:tc>
          <w:tcPr>
            <w:tcW w:w="30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8"/>
            <w:vMerge w:val="continue"/>
          </w:tcPr>
          <w:p>
            <w:pPr>
              <w:spacing w:after="0"/>
              <w:rPr>
                <w:sz w:val="18"/>
                <w:szCs w:val="18"/>
                <w:color w:val="auto"/>
              </w:rPr>
            </w:pPr>
          </w:p>
        </w:tc>
        <w:tc>
          <w:tcPr>
            <w:tcW w:w="1760" w:type="dxa"/>
            <w:vAlign w:val="bottom"/>
            <w:tcBorders>
              <w:bottom w:val="single" w:sz="8" w:color="auto"/>
            </w:tcBorders>
          </w:tcPr>
          <w:p>
            <w:pPr>
              <w:jc w:val="center"/>
              <w:ind w:left="35"/>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Unrealized gains (losses) on</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rPr>
              <w:t>Realized (loss) on sale of</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tcPr>
          <w:p>
            <w:pPr>
              <w:ind w:left="120"/>
              <w:spacing w:after="0" w:line="176" w:lineRule="exact"/>
              <w:rPr>
                <w:sz w:val="20"/>
                <w:szCs w:val="20"/>
                <w:color w:val="auto"/>
              </w:rPr>
            </w:pPr>
            <w:r>
              <w:rPr>
                <w:rFonts w:ascii="Arial" w:cs="Arial" w:eastAsia="Arial" w:hAnsi="Arial"/>
                <w:sz w:val="18"/>
                <w:szCs w:val="18"/>
                <w:color w:val="auto"/>
                <w:w w:val="99"/>
              </w:rPr>
              <w:t>Other income (loss),</w:t>
            </w:r>
          </w:p>
        </w:tc>
        <w:tc>
          <w:tcPr>
            <w:tcW w:w="0" w:type="dxa"/>
            <w:vAlign w:val="bottom"/>
          </w:tcPr>
          <w:p>
            <w:pPr>
              <w:spacing w:after="0"/>
              <w:rPr>
                <w:sz w:val="1"/>
                <w:szCs w:val="1"/>
                <w:color w:val="auto"/>
              </w:rPr>
            </w:pPr>
          </w:p>
        </w:tc>
      </w:tr>
      <w:tr>
        <w:trPr>
          <w:trHeight w:val="242"/>
        </w:trPr>
        <w:tc>
          <w:tcPr>
            <w:tcW w:w="2800" w:type="dxa"/>
            <w:vAlign w:val="bottom"/>
          </w:tcPr>
          <w:p>
            <w:pPr>
              <w:ind w:left="240"/>
              <w:spacing w:after="0"/>
              <w:rPr>
                <w:sz w:val="20"/>
                <w:szCs w:val="20"/>
                <w:color w:val="auto"/>
              </w:rPr>
            </w:pPr>
            <w:r>
              <w:rPr>
                <w:rFonts w:ascii="Arial" w:cs="Arial" w:eastAsia="Arial" w:hAnsi="Arial"/>
                <w:sz w:val="18"/>
                <w:szCs w:val="18"/>
                <w:color w:val="auto"/>
              </w:rPr>
              <w:t>securities</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(22,864)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(2,001,144)</w:t>
            </w:r>
          </w:p>
        </w:tc>
        <w:tc>
          <w:tcPr>
            <w:tcW w:w="140" w:type="dxa"/>
            <w:vAlign w:val="bottom"/>
          </w:tcPr>
          <w:p>
            <w:pPr>
              <w:spacing w:after="0"/>
              <w:rPr>
                <w:sz w:val="21"/>
                <w:szCs w:val="21"/>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(1,125,367)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(4,093,106)</w:t>
            </w:r>
          </w:p>
        </w:tc>
        <w:tc>
          <w:tcPr>
            <w:tcW w:w="1760" w:type="dxa"/>
            <w:vAlign w:val="bottom"/>
          </w:tcPr>
          <w:p>
            <w:pPr>
              <w:ind w:left="1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77"/>
        </w:trPr>
        <w:tc>
          <w:tcPr>
            <w:tcW w:w="28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7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Provision for</w:t>
            </w:r>
          </w:p>
        </w:tc>
        <w:tc>
          <w:tcPr>
            <w:tcW w:w="0" w:type="dxa"/>
            <w:vAlign w:val="bottom"/>
          </w:tcPr>
          <w:p>
            <w:pPr>
              <w:spacing w:after="0"/>
              <w:rPr>
                <w:sz w:val="1"/>
                <w:szCs w:val="1"/>
                <w:color w:val="auto"/>
              </w:rPr>
            </w:pPr>
          </w:p>
        </w:tc>
      </w:tr>
      <w:tr>
        <w:trPr>
          <w:trHeight w:val="243"/>
        </w:trPr>
        <w:tc>
          <w:tcPr>
            <w:tcW w:w="2800" w:type="dxa"/>
            <w:vAlign w:val="bottom"/>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4,801</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420,240</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236,327</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859,552</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line="156" w:lineRule="exact"/>
              <w:rPr>
                <w:sz w:val="20"/>
                <w:szCs w:val="20"/>
                <w:color w:val="auto"/>
              </w:rPr>
            </w:pPr>
            <w:r>
              <w:rPr>
                <w:rFonts w:ascii="Arial" w:cs="Arial" w:eastAsia="Arial" w:hAnsi="Arial"/>
                <w:sz w:val="18"/>
                <w:szCs w:val="18"/>
                <w:color w:val="auto"/>
              </w:rPr>
              <w:t>Total net reclassifications for the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period</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(1,580,904)</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(889,040)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(3,233,554)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On October 15, 2018, the Company entered into a credit agreement with PNC as the administrative agent and sole lender, which has now been amended and restated as discussed below.</w:t>
      </w:r>
    </w:p>
    <w:p>
      <w:pPr>
        <w:spacing w:after="0" w:line="1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February 21, 2023, as previously disclosed, the Company entered into an amended and restated credit agreement ("Credit Agreement") that provides for, among other things, a three-year unsecured revolving credit facility with a borrowing capacity of up to $250.0 million ("Revolver") that matures on February 21, 2026, replacing in its entirety the Company's above referenced prior $150.0 million revolving credit facility scheduled to mature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September 30, 2024, there was no outstanding balance on the Revolver.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2024,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nine months ended September 30, 2024, was primarily due to the repurchases of 5.8 million shares, partially offset by the issuance of 1.8 million shares of the Company’s common stock, net of cancellations, under the Company’s stock-based compensation plans. The total net decrease was 4.0 million shares.</w:t>
      </w:r>
    </w:p>
    <w:p>
      <w:pPr>
        <w:spacing w:after="0" w:line="198"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 Company recorded a cash dividend of $0.120 per share during the third quarter of 2024 as compared to a cash dividend of $0.120 per share during the third quarter of 2023. The third quarter 2024 dividend of $27.3 million was declared on August 30, 2024 and was paid on October 23, 2024.</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for example,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In 2023, the Company acquired certain technology assets from eSight, which provides advanced and versatile low-vision smart glasses for those with visual impairments and is compatible with more than 20 eye conditions including Macular</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Degeneration, Diabetic Retinopathy, and Stargardt disease. These four non-automotive segments are combined into the "Other" segment as shown below.</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12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2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96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596,519,398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564,510,277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1,733,411,689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1,676,043,013</w:t>
            </w:r>
          </w:p>
        </w:tc>
      </w:tr>
      <w:tr>
        <w:trPr>
          <w:trHeight w:val="229"/>
        </w:trPr>
        <w:tc>
          <w:tcPr>
            <w:tcW w:w="2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11,338,213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38,265,077</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34,039,634</w:t>
            </w:r>
          </w:p>
        </w:tc>
      </w:tr>
      <w:tr>
        <w:trPr>
          <w:trHeight w:val="223"/>
        </w:trPr>
        <w:tc>
          <w:tcPr>
            <w:tcW w:w="296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608,525,777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575,848,490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1,771,676,766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1,710,082,647</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128,375,635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121,875,176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372,573,948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362,044,032</w:t>
            </w:r>
          </w:p>
        </w:tc>
      </w:tr>
      <w:tr>
        <w:trPr>
          <w:trHeight w:val="229"/>
        </w:trPr>
        <w:tc>
          <w:tcPr>
            <w:tcW w:w="2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(2,615,462)</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912,532</w:t>
            </w:r>
          </w:p>
        </w:tc>
      </w:tr>
      <w:tr>
        <w:trPr>
          <w:trHeight w:val="248"/>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125,728,152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122,416,529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369,958,486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362,956,564</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15.4% in the nine months ended September 30, 2024, compared to an effective tax rate of 15.6% for the same period in 2023.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nine month periods ended September 30, 2024 and September 30, 2023, respectively:</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16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r>
      <w:tr>
        <w:trPr>
          <w:trHeight w:val="224"/>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170,939,124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171,312,177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501,028,383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520,034,256</w:t>
            </w:r>
          </w:p>
        </w:tc>
      </w:tr>
      <w:tr>
        <w:trPr>
          <w:trHeight w:val="23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100,415,089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73,330,091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271,681,510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229,664,642</w:t>
            </w:r>
          </w:p>
        </w:tc>
      </w:tr>
      <w:tr>
        <w:trPr>
          <w:trHeight w:val="229"/>
        </w:trPr>
        <w:tc>
          <w:tcPr>
            <w:tcW w:w="2840" w:type="dxa"/>
            <w:vAlign w:val="bottom"/>
          </w:tcPr>
          <w:p>
            <w:pPr>
              <w:ind w:left="12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69,610,212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72,169,634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216,815,930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226,739,945</w:t>
            </w:r>
          </w:p>
        </w:tc>
      </w:tr>
      <w:tr>
        <w:trPr>
          <w:trHeight w:val="23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41,644,963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44,257,034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126,797,525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101,655,653</w:t>
            </w: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57,803,114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38,494,969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143,380,199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109,585,767</w:t>
            </w:r>
          </w:p>
        </w:tc>
      </w:tr>
      <w:tr>
        <w:trPr>
          <w:trHeight w:val="23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156,106,896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164,946,372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473,708,142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488,362,750</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596,519,398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564,510,277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1,733,411,689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1,676,043,013</w:t>
            </w: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 (U.S.)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12,006,379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11,338,213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38,265,077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34,039,634</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608,525,777</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575,848,490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1,771,676,766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1,710,082,647</w:t>
            </w:r>
          </w:p>
        </w:tc>
      </w:tr>
      <w:tr>
        <w:trPr>
          <w:trHeight w:val="20"/>
        </w:trPr>
        <w:tc>
          <w:tcPr>
            <w:tcW w:w="2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labor strikes, armed conflicts and acts of terrorism and war;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36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nine month periods ended September 30, 2024 and September 30, 2023:</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294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2"/>
        </w:trPr>
        <w:tc>
          <w:tcPr>
            <w:tcW w:w="34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559,477,924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531,423,832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1,640,221,054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1,577,792,206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37,041,474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33,086,445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93,190,635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98,250,807</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596,519,398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564,510,277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1,733,411,689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1,676,043,013</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21,114,450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20,471,868</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Arial" w:cs="Arial" w:eastAsia="Arial" w:hAnsi="Arial"/>
                <w:sz w:val="18"/>
                <w:szCs w:val="18"/>
                <w:color w:val="auto"/>
              </w:rPr>
              <w:t>Aerospace Products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6,186,428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16,329,426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13,567,766</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Medical Products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12,006,379</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11,338,213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38,265,077</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34,039,634</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September 30, 2024 was 4 years, with a weighted average discount rate of 6.0%.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September 30,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06490" cy="8890"/>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(excluding the nine months ended September 30, 2024)</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617,160</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1,913,864</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1,365,479</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1,018,929</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746,956</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86,923</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5,749,311</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(385,941)</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5,363,370</w:t>
            </w:r>
          </w:p>
        </w:tc>
        <w:tc>
          <w:tcPr>
            <w:tcW w:w="60" w:type="dxa"/>
            <w:vAlign w:val="bottom"/>
          </w:tcPr>
          <w:p>
            <w:pPr>
              <w:spacing w:after="0"/>
              <w:rPr>
                <w:sz w:val="19"/>
                <w:szCs w:val="19"/>
                <w:color w:val="auto"/>
              </w:rPr>
            </w:pPr>
          </w:p>
        </w:tc>
      </w:tr>
      <w:tr>
        <w:trPr>
          <w:trHeight w:val="364"/>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September 30, 2024</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2,079,966</w:t>
            </w:r>
          </w:p>
        </w:tc>
        <w:tc>
          <w:tcPr>
            <w:tcW w:w="60" w:type="dxa"/>
            <w:vAlign w:val="bottom"/>
            <w:shd w:val="clear" w:color="auto" w:fill="CCEEFF"/>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3,283,404</w:t>
            </w:r>
          </w:p>
        </w:tc>
        <w:tc>
          <w:tcPr>
            <w:tcW w:w="6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5,363,370</w:t>
            </w: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On November 2, 2023, the Company, in the ordinary course of business, acquired certain technology assets from eSight for approximately $18.9 million in cash, the assumption of a $9.4 million promissory note given in exchange for the 20% equity the Company previously held in the assets,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These assets are classified within the Company's Other segment.</w:t>
      </w:r>
    </w:p>
    <w:p>
      <w:pPr>
        <w:spacing w:after="0" w:line="21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valuation process was completed during the third quarter of 2024. Approximately $0.8 million of revenue of the business of eSight was included in the Company's consolidated statements of income and comprehensive income for the period ended September 30, 2024.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2, 2023:</w:t>
      </w: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68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441,228</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Personal Property</w:t>
            </w:r>
          </w:p>
        </w:tc>
        <w:tc>
          <w:tcPr>
            <w:tcW w:w="6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Right of Use Asset (Lease)</w:t>
            </w:r>
          </w:p>
        </w:tc>
        <w:tc>
          <w:tcPr>
            <w:tcW w:w="6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116,562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ESight Technology</w:t>
            </w:r>
          </w:p>
        </w:tc>
        <w:tc>
          <w:tcPr>
            <w:tcW w:w="6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6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870,000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26,696,012</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40,198,802</w:t>
            </w:r>
          </w:p>
        </w:tc>
      </w:tr>
      <w:tr>
        <w:trPr>
          <w:trHeight w:val="270"/>
        </w:trPr>
        <w:tc>
          <w:tcPr>
            <w:tcW w:w="68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116,562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Earn Out Liability</w:t>
            </w:r>
          </w:p>
        </w:tc>
        <w:tc>
          <w:tcPr>
            <w:tcW w:w="6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32"/>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12,116,562</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 QUARTER 2024 VERSUS THIRD QUARTER 2023</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third quarter of 2024 increased by $32.7 million or 6%, when compared with the third quarter of 2023.</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Automotive net sales for the third quarter of 2024 were $596.5 million, a 6% increase when compared with automotive net sales of $564.5 million in the third quarter of 2023. The 3% decrease in automotive mirror unit shipments in the third quarter of 2024 to 12.2 million units, compared with 12.6 million units in the third quarter of 2023, was driven by a 3% quarter over quarter decrease in interior auto-dimming mirror unit shipments, and a 4% quarter over quarter decrease in exterior auto-dimming mirror unit shipments.</w:t>
      </w:r>
    </w:p>
    <w:p>
      <w:pPr>
        <w:spacing w:after="0" w:line="203"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nine months ended September 30, 2024, and 2023 </w:t>
      </w: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3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(3)%</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6,899</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7,192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4,858</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5,033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3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11,757</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12,224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16,313</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17,099</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8,808</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8,918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23"/>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(3)%</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25,120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26,017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(3)%</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23,211</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24,291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(4)%</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13,665</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13,950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48"/>
        </w:trPr>
        <w:tc>
          <w:tcPr>
            <w:tcW w:w="3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36,877</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38,242</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Other net sales were $12.0 million in the third quarter of 2024, compared to $11.3 million in the third quarter of 2023. Fire protection sales increased to $6.9 million in the third quarter of 2024, compared to $5.2 million in the same quarter of last year. Dimmable aircraft sales decreased during the third quarter of 2024 to $4.3 million, compared to $6.2 million in the same quarter of last year. Additionally, in the third quarter of 2024, the Company recorded its first official sales of medical devices of $0.8 million from shipments of the previously acquired e-Sight Go product.</w:t>
      </w:r>
    </w:p>
    <w:p>
      <w:pPr>
        <w:spacing w:after="0" w:line="20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66.5% for the third quarter of 2024, versus 66.8%</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The quarter over quarter increase in the gross profit margin was primarily impacted by higher net sales levels and purchasing cost reductions, which were partially offset by unfavorable product mix. Purchasing cost reductions had a positive impact on gross margin on a quarter over quarter basis of approximately 200-250 basis points. On a quarter over quarter basis, product mix had a negative impact on gross margin of approximately 100-150 basis points.</w:t>
      </w:r>
    </w:p>
    <w:p>
      <w:pPr>
        <w:spacing w:after="0" w:line="112"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("E,R&amp;D") expenses for the third quarter of 2024 increased by $8.0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third quarter of 2023, primarily due to staffing and engineering related professional fees.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Selling, general and administrative ("S, G &amp; A") expenses increased by 4% or $1.3 million for the third quarter of 2024, compared to the third quarter of 2023, primarily due to increased staffing. S, G &amp; A expenses remained at approximately 5% of net sales in each of the third quarters of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8"/>
          <w:szCs w:val="18"/>
          <w:color w:val="auto"/>
        </w:rPr>
        <w:t>Total operating expenses were $78.3 million in the third quarter of 2024, an increase of 13% quarter over quarter or $9.3 million, compared to $69.0 million in the third quarter of 2023.</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third quarter of 2024 increased by $17.7 million, when compared with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2023, primarily driven by non-cash gains of $14.5 million and other market adjustments of certain holdings within the Company's tech investments during the quarter, as well as interest income from the Company's investment portfolio.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15.7% for, and an income tax expense of $ 22.9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2024, compared to an effective tax rate of 15.9% for, and an income tax expense of $19.8 million recorded in, the same quarter of 2023.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third quarter of 2024 was $122.5 million, up from a net income of $104.7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 increase in net income for the third quarter of 2024 was driven by the increased net sales, income from operations, and other income in the most recently completed quarter.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third quarter of 2024 of $0.53,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$0.45 for the third quarter of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2024 VERSUS NINE MONTHS ENDED SEPTEMBER 30, 2023</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nine months ended September 30, 2024 increased by $61.6 million or 4%,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2023.</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Automotive net sales for the first nine months of 2024 were $1.73 billion, up 3% compared with automotive net sales of $ 1.68 billion for the first nine months of 2023. Domestic automotive mirror shipments in the nine months ended September 30, 2024 decreased 4% to 11.8 million units, compared with 12.2 million units in the same period in 2023. International automotive mirror shipments in the nine months ended September 30, 2024 decreased 3% to 25.1 million units, compared with 26.0 million units in the same period in 2023.</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net sales were $38.3 million for the first nine months of 2024, compared to $34.0 million for the same period last year. This increase is primarily due to the 20% increase in dimmable window aircraft sales for the first nine months of 2024 to $16.3 million, from $13.6 million for the same period in 2023. Fire protection sales increased by 3% to $ 21.1 million for the first nine months of 2024, compared to $20.5 million in the same period of 2023. As previously mentioned, the Company also recorded its first official sales of medical devices in the nine months ended September 30, 2024, of $0.8 million from shipments of the previously acquired e-Sight Go product.</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66.4% for the first nine months of 2024,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67.3% in the same period last year. The period over period increase in the gross profit margin was primarily the result of purchasing cost reductions, improved fixed overhead leverage, and tariff cost reductions, which were partially offset by product mix and customer price reductions. Purchasing cost reductions had a positive impact on gross margin on a period over period basis of approximately 200-250 basis points, and fixed overhead leverage and tariff cost reductions each had a positive impact on the gross margin on a period over period basis of approximately 50-100 basis points. On a period over period basis, product mix had a negative impact on gross margin of approximately 150-200 basis points and customer price reductions had a negative impact on gross margin of approximately 50-100 basis points.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nine months ended September 30, 2024 were $134.4 million, compared with $112.8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last year. The 19% increase in E, R &amp; D expenses, in the first nine months of 2024 compared to the same period in 2023, was primarily due to additional staffing, professional fees, and new product development.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 G &amp; A expenses for the first nine months of 2024 increased $ 7.0 million to $90.5 million, when compared to $83.5 million for the same period in 2023. S, G &amp; A expenses were approximately 5% of net sales in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8"/>
          <w:szCs w:val="18"/>
          <w:color w:val="auto"/>
        </w:rPr>
        <w:t>first nine months of 2024 and approximately 5% of net sales in the same period in 2023. S, G, &amp; A expenses increased on a year over year basis primarily due to increased staffing.</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nine months ended September 30, 2024 was $4.5 million, compared with a total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$6.1 million for the same period last year.</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15.4% for the nine months ended September 30, 2024, compared to 15.6%</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of 2023. Generally, effective tax rates for the Company differ from statutory federal income tax rates, due to provisions for state and local income taxes, permanent tax differences, the foreign-derived intangible income tax deduction, and research and development tax credits.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nine months ended September 30, 2024 increased by $5.4 million or 2% to $316.8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$311.5 million in the same period last year. The increase in net income for the nine months ended September 30, 2024 was primarily the result of the increased net sales and income from operations, compared to the first nine months of 2023.</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nine months ended September 30, 2024 of $1.38,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$1.33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cash and cash equivalents as of September 30, 2024 were $179.6 million, a decrease of $46.8 million, compared to $226.4 million as of December 31, 2023. The decrease was primarily due to share repurchases, capital expenditures, investment purchases, and dividend payments during the nine months ended September 30, 2024, which was partially offset by cash flows from operations.</w:t>
      </w:r>
    </w:p>
    <w:p>
      <w:pPr>
        <w:spacing w:after="0" w:line="1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Short-term investments as of September 30, 2024 were $20.5 million, up from $14.4 million as of December 31, 2023, and long-term investments were $325.6 million as of September 30, 2024, up from $299.1 million as of December 31, 2023.</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as of September 30, 2024 increased approximately $34.5 million compared to December 31, 2023, primarily due to the increase in sales and timing thereof during the nine months ended September 30, 2024.</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Inventories as of September 30, 2024 were $449.3 million, compared to $402.5 million as of December 31, 2023, primarily due to increases in raw materials and finished goods.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Accounts payable as of September 30, 2024 decreased approximately $1.8 million to $182.6 million, when compared to December 31, 2023, primarily driven by timing of payments within the quarter.</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Accrued liabilities as of September 30, 2024 increased approximately $13.3 million compared to December 31, 2023, primarily due to increases in accrued salaries and wages.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flow from operating activities for the nine months ended September 30, 2024 decreased $23.9 million to $343.8 million, compared with $367.7 million during the same nine month period last year, primarily due to changes in working capital.</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Capital expenditures for the nine months ended September 30, 2024 were approximately $ 103.0 million, compared with approximately $121.4 million for the same period last year. The decrease was primarily due to timing of payments and a decrease in expenditures related to building and facility construction projects previously disclosed as certain manufacturing facility construction was completed, as further described below.</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2023, the Company completed construction on a 345,000 square-foot manufacturing facility located at a 140 acre site in Zeeland, Michigan. The total cost of the building project was approximately $85 million, which was funded with cash and cash equivalents on hand. The Company began construction on two building expansions during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began in the third quarter of 2024 as previously announced, with an expected completion date in 2025. The total cost of the building project is expected to be $15 - $20 million, which will also be funded with cash and cash equivalents on hand.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19 - 22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762,519,565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726,129,177</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Fixed Income Long-Term Investments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140,578,453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155,863,252</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903,098,018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881,992,429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three and nine months ended September 30, 2024, the Company repurchased 3,194,815 and 5,798,385 shares respectively. The Company has 10,052,794 shares remaining under the plan as of September 30, 2024,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third quarter of 2024, the Company reported net sales of $608.5 million, compared to net sales of $575.8 million in the third quarter of 2023, a 6% increase quarter over quarter. For the third quarter of 2024, global light vehicle production in North America, Europe, and Japan/Korea decreased approximately 6%, when compared to the third quarter of 2023.</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third quarter of 2024, the Company had 25 net new launches of interior and exterior auto-dimming mirrors and electronic features.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The People's Republic of China newly issued GB15084 and the related procedures, which allow for the Company's frameless inside mirrors to be used on vehicles in the China domestic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 -dimming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the third quarter of 2024,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nineteen different automaker customers and 124 vehicle nameplates. For more information regarding the full display mirror please go to https://www.fulldisplaymirror.com/. The Company remains confident that ongoing discussions with other customers may cause such customers to consider more fully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44"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8" w:name="page29"/>
    <w:bookmarkEnd w:id="28"/>
    <w:p>
      <w:pPr>
        <w:jc w:val="both"/>
        <w:spacing w:after="0" w:line="243" w:lineRule="auto"/>
        <w:rPr>
          <w:sz w:val="20"/>
          <w:szCs w:val="20"/>
          <w:color w:val="auto"/>
        </w:rPr>
      </w:pPr>
      <w:r>
        <w:rPr>
          <w:rFonts w:ascii="Arial" w:cs="Arial" w:eastAsia="Arial" w:hAnsi="Arial"/>
          <w:sz w:val="18"/>
          <w:szCs w:val="18"/>
          <w:color w:val="auto"/>
        </w:rPr>
        <w:t>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released an updated version of its GB15084, effective in 2023,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nineteen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all nineteen of these automaker customers on over 124 nameplates globally.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12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in 2020.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w:t>
      </w:r>
    </w:p>
    <w:p>
      <w:pPr>
        <w:spacing w:after="0" w:line="12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activating the appropriate devices,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29" w:name="page30"/>
    <w:bookmarkEnd w:id="29"/>
    <w:p>
      <w:pPr>
        <w:jc w:val="both"/>
        <w:spacing w:after="0" w:line="230" w:lineRule="auto"/>
        <w:rPr>
          <w:sz w:val="20"/>
          <w:szCs w:val="20"/>
          <w:color w:val="auto"/>
        </w:rPr>
      </w:pPr>
      <w:r>
        <w:rPr>
          <w:rFonts w:ascii="Arial" w:cs="Arial" w:eastAsia="Arial" w:hAnsi="Arial"/>
          <w:sz w:val="18"/>
          <w:szCs w:val="18"/>
          <w:color w:val="auto"/>
        </w:rPr>
        <w:t>including security systems, door locks, thermostats, lighting, and other home automation devices, providing comprehensive vehicle-to-home automation. The ability to prepare the home for arrival or departure can occur with one button press. For automakers, this functionality allows them to offer a customizable, yet proven solution without the engineering effort or security concerns associated with integrating third party software into the vehicle’s computer network. The Company also continues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other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still potentially represents another growth opportunity over the next several years.</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 Company previously announced its first OEM award of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Audi. Currently, the Company is shipping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on 11 Audi platforms, which are: the A4, A5, A6, A7, A8, Q5, Q5 Sportback, Q7, Q8, e-tron, and the e-tron Sportback. The Company expects further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nameplate launches with Audi throughout the remainder of 2024. The Company is also shipping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a second OEM customer, Mercedes, on the EQS model. In 2020, the Company was honored with an Automotive News PACE Award for its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which recognizes automotive suppliers for superior innovation, technological advancement, and business performance.</w:t>
      </w:r>
    </w:p>
    <w:p>
      <w:pPr>
        <w:spacing w:after="0" w:line="22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2020, the Company announced a partnership, in the ordinary course of business, with PayByCar™, to pursue compatibility between the Company's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30" w:name="page31"/>
    <w:bookmarkEnd w:id="30"/>
    <w:p>
      <w:pPr>
        <w:jc w:val="both"/>
        <w:spacing w:after="0" w:line="229" w:lineRule="auto"/>
        <w:rPr>
          <w:sz w:val="20"/>
          <w:szCs w:val="20"/>
          <w:color w:val="auto"/>
        </w:rPr>
      </w:pPr>
      <w:r>
        <w:rPr>
          <w:rFonts w:ascii="Arial" w:cs="Arial" w:eastAsia="Arial" w:hAnsi="Arial"/>
          <w:sz w:val="18"/>
          <w:szCs w:val="18"/>
          <w:color w:val="auto"/>
        </w:rPr>
        <w:t>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2019, the Company announced that its latest generation of dimmable aircraft windows will be offered as optional content on the new Boeing 777X.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2024, the Company continues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 2023, in the ordinary course of business, the Company acquired certain technology assets from eSight Corporation for approximately $18.9 million in cash, the assumption of a $9.4 million promissory note given in exchange for the 20% equity the Company previously held, as well as an earn out provision over a ten year period. The technology acquired from eSight provides the most advanced and versatile low-vision smart glasses available for those with visual impairments and is compatible with more than 20 eye conditions including Macular Degeneration, Diabetic Retinopathy, and Stargardt disease. In the third quarter of 2024, the Company recorded its first official sales of medical devices of $0.8 million from shipments of the previously acquired e-Sight Go product.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experience pricing pressure from automotive customers and competitors, in addition to raw material cost increases, labor cost increases, and logistics cost increases,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1" w:name="page32"/>
    <w:bookmarkEnd w:id="31"/>
    <w:p>
      <w:pPr>
        <w:jc w:val="both"/>
        <w:ind w:right="20"/>
        <w:spacing w:after="0" w:line="287" w:lineRule="auto"/>
        <w:rPr>
          <w:sz w:val="20"/>
          <w:szCs w:val="20"/>
          <w:color w:val="auto"/>
        </w:rPr>
      </w:pPr>
      <w:r>
        <w:rPr>
          <w:rFonts w:ascii="Arial" w:cs="Arial" w:eastAsia="Arial" w:hAnsi="Arial"/>
          <w:sz w:val="18"/>
          <w:szCs w:val="18"/>
          <w:color w:val="auto"/>
        </w:rPr>
        <w:t>can reduce demand for its products, including the current inflationary environment. The Company has been likewise affected by industry-wide parts shortages and global supply constraints and labor shortages.</w:t>
      </w:r>
    </w:p>
    <w:p>
      <w:pPr>
        <w:spacing w:after="0" w:line="18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current forecasts for light vehicle production for the fourth quarter of 2024, and full years 2024 and 2025, are based on the mid-October 2024 S&amp;P Global Mobility forecast for light vehicle production in North America, Europe, Japan/Korea, and China. Fourth quarter of 2024, and calendar years 2024 and 2025, forecasted light vehicle production volumes are shown below:</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Light Vehicle Production (per S&amp;P Global Mobility mid-October light vehicle production forecast)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tbl>
      <w:tblPr>
        <w:tblLayout w:type="fixed"/>
        <w:tblInd w:w="0" w:type="dxa"/>
        <w:tblCellMar>
          <w:top w:w="0" w:type="dxa"/>
          <w:left w:w="0" w:type="dxa"/>
          <w:bottom w:w="0" w:type="dxa"/>
          <w:right w:w="0" w:type="dxa"/>
        </w:tblCellMar>
      </w:tblPr>
      <w:tr>
        <w:trPr>
          <w:trHeight w:val="178"/>
        </w:trPr>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Region</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Q4 2024</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Q4 2023</w:t>
            </w: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Calendar</w:t>
            </w:r>
          </w:p>
        </w:tc>
        <w:tc>
          <w:tcPr>
            <w:tcW w:w="9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Calendar</w:t>
            </w:r>
          </w:p>
        </w:tc>
        <w:tc>
          <w:tcPr>
            <w:tcW w:w="106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99"/>
              </w:rPr>
              <w:t>Calendar</w:t>
            </w:r>
          </w:p>
        </w:tc>
        <w:tc>
          <w:tcPr>
            <w:tcW w:w="12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2025 vs 2024</w:t>
            </w:r>
          </w:p>
        </w:tc>
        <w:tc>
          <w:tcPr>
            <w:tcW w:w="122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2025</w:t>
            </w:r>
          </w:p>
        </w:tc>
        <w:tc>
          <w:tcPr>
            <w:tcW w:w="92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2024</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Year 2023</w:t>
            </w:r>
          </w:p>
        </w:tc>
        <w:tc>
          <w:tcPr>
            <w:tcW w:w="1220" w:type="dxa"/>
            <w:vAlign w:val="bottom"/>
          </w:tcPr>
          <w:p>
            <w:pPr>
              <w:jc w:val="right"/>
              <w:ind w:right="133"/>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Europe</w:t>
            </w: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17.00</w:t>
            </w:r>
          </w:p>
        </w:tc>
        <w:tc>
          <w:tcPr>
            <w:tcW w:w="920" w:type="dxa"/>
            <w:vAlign w:val="bottom"/>
          </w:tcPr>
          <w:p>
            <w:pPr>
              <w:jc w:val="right"/>
              <w:spacing w:after="0"/>
              <w:rPr>
                <w:sz w:val="20"/>
                <w:szCs w:val="20"/>
                <w:color w:val="auto"/>
              </w:rPr>
            </w:pPr>
            <w:r>
              <w:rPr>
                <w:rFonts w:ascii="Arial" w:cs="Arial" w:eastAsia="Arial" w:hAnsi="Arial"/>
                <w:sz w:val="18"/>
                <w:szCs w:val="18"/>
                <w:color w:val="auto"/>
              </w:rPr>
              <w:t>17.07</w:t>
            </w:r>
          </w:p>
        </w:tc>
        <w:tc>
          <w:tcPr>
            <w:tcW w:w="920" w:type="dxa"/>
            <w:vAlign w:val="bottom"/>
          </w:tcPr>
          <w:p>
            <w:pPr>
              <w:jc w:val="right"/>
              <w:spacing w:after="0"/>
              <w:rPr>
                <w:sz w:val="20"/>
                <w:szCs w:val="20"/>
                <w:color w:val="auto"/>
              </w:rPr>
            </w:pPr>
            <w:r>
              <w:rPr>
                <w:rFonts w:ascii="Arial" w:cs="Arial" w:eastAsia="Arial" w:hAnsi="Arial"/>
                <w:sz w:val="18"/>
                <w:szCs w:val="18"/>
                <w:color w:val="auto"/>
              </w:rPr>
              <w:t>17.97</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55"/>
        </w:trPr>
        <w:tc>
          <w:tcPr>
            <w:tcW w:w="1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 Vehicle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74.33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40" w:type="dxa"/>
            <w:vAlign w:val="bottom"/>
            <w:shd w:val="clear" w:color="auto" w:fill="CCEEFF"/>
          </w:tcPr>
          <w:p>
            <w:pPr>
              <w:spacing w:after="0"/>
              <w:rPr>
                <w:sz w:val="13"/>
                <w:szCs w:val="13"/>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actual results for the first nine months of 2024, the Company previously updated certain guidance for calendar year 2024 as shown below.</w:t>
      </w:r>
    </w:p>
    <w:p>
      <w:pPr>
        <w:spacing w:after="0" w:line="2"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is expected to be between $2.35 and $2.40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is expected to be between 33.5% and 34.0%</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$295 to $305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15.5%</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are expected to be between $150 and $175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$90 and $95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ongoing volatility in customer orders and vehicle production volumes, the Ukraine-Russia war, Israel-Hamas war, labor shortages, and overall economic uncertainty, the Company believes that revenue remains difficult to forecast for the remainder of the year and beyond. Ongoing uncertainties remain, including: light vehicle production levels;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etc., all of which are disrupting and could further disrupt shipments to these customers and make forecasting difficult.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September 30, 2024, the Company has 10.1 million shares remaining available for repurchase under the previously announced share repurchase plan.</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based on the Company’s current forecasts for light vehicle production for calendar year 2025, the Company expects calendar year 2025 revenue of approximately $2.45 to $2.55 billion. As noted above, continuing uncertainties make forecasting difficult.</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2023.</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 For the quarter ended September 30, 2024, any material changes in risk factors that were disclosed in the Company's report on Form 10-K for the year ended December 31, 2023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reduced,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September 30, 2024,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2024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July 17, 2024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2023. There have been no material changes to the risk factors previously disclosed in the Company’s report on Form 10-K for the year ended December 31, 2023,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nine months of 2024, the Company repurchased 5.8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After the Company repurchased 5,798,385 shares during the first nine months of 2024, the Company has 10,052,794 shares remaining under the plan as of September 30, 2024.</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nine month period ended September 30, 2024:</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494"/>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15,761,173</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February 2024</w:t>
            </w:r>
          </w:p>
        </w:tc>
        <w:tc>
          <w:tcPr>
            <w:tcW w:w="1800" w:type="dxa"/>
            <w:vAlign w:val="bottom"/>
          </w:tcPr>
          <w:p>
            <w:pPr>
              <w:jc w:val="right"/>
              <w:spacing w:after="0"/>
              <w:rPr>
                <w:sz w:val="20"/>
                <w:szCs w:val="20"/>
                <w:color w:val="auto"/>
              </w:rPr>
            </w:pPr>
            <w:r>
              <w:rPr>
                <w:rFonts w:ascii="Arial" w:cs="Arial" w:eastAsia="Arial" w:hAnsi="Arial"/>
                <w:sz w:val="18"/>
                <w:szCs w:val="18"/>
                <w:color w:val="auto"/>
              </w:rPr>
              <w:t>510,247</w:t>
            </w:r>
          </w:p>
        </w:tc>
        <w:tc>
          <w:tcPr>
            <w:tcW w:w="1440" w:type="dxa"/>
            <w:vAlign w:val="bottom"/>
          </w:tcPr>
          <w:p>
            <w:pPr>
              <w:jc w:val="right"/>
              <w:spacing w:after="0"/>
              <w:rPr>
                <w:sz w:val="20"/>
                <w:szCs w:val="20"/>
                <w:color w:val="auto"/>
              </w:rPr>
            </w:pPr>
            <w:r>
              <w:rPr>
                <w:rFonts w:ascii="Arial" w:cs="Arial" w:eastAsia="Arial" w:hAnsi="Arial"/>
                <w:sz w:val="18"/>
                <w:szCs w:val="18"/>
                <w:color w:val="auto"/>
              </w:rPr>
              <w:t>35.31</w:t>
            </w:r>
          </w:p>
        </w:tc>
        <w:tc>
          <w:tcPr>
            <w:tcW w:w="2060" w:type="dxa"/>
            <w:vAlign w:val="bottom"/>
          </w:tcPr>
          <w:p>
            <w:pPr>
              <w:jc w:val="right"/>
              <w:spacing w:after="0"/>
              <w:rPr>
                <w:sz w:val="20"/>
                <w:szCs w:val="20"/>
                <w:color w:val="auto"/>
              </w:rPr>
            </w:pPr>
            <w:r>
              <w:rPr>
                <w:rFonts w:ascii="Arial" w:cs="Arial" w:eastAsia="Arial" w:hAnsi="Arial"/>
                <w:sz w:val="18"/>
                <w:szCs w:val="18"/>
                <w:color w:val="auto"/>
              </w:rPr>
              <w:t>510,247</w:t>
            </w:r>
          </w:p>
        </w:tc>
        <w:tc>
          <w:tcPr>
            <w:tcW w:w="2060" w:type="dxa"/>
            <w:vAlign w:val="bottom"/>
          </w:tcPr>
          <w:p>
            <w:pPr>
              <w:jc w:val="right"/>
              <w:spacing w:after="0"/>
              <w:rPr>
                <w:sz w:val="20"/>
                <w:szCs w:val="20"/>
                <w:color w:val="auto"/>
              </w:rPr>
            </w:pPr>
            <w:r>
              <w:rPr>
                <w:rFonts w:ascii="Arial" w:cs="Arial" w:eastAsia="Arial" w:hAnsi="Arial"/>
                <w:sz w:val="18"/>
                <w:szCs w:val="18"/>
                <w:color w:val="auto"/>
              </w:rPr>
              <w:t>15,250,926</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600,650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14,650,276</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2024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1,200,903</w:t>
            </w:r>
          </w:p>
        </w:tc>
        <w:tc>
          <w:tcPr>
            <w:tcW w:w="1440" w:type="dxa"/>
            <w:vAlign w:val="bottom"/>
          </w:tcPr>
          <w:p>
            <w:pPr>
              <w:jc w:val="right"/>
              <w:spacing w:after="0"/>
              <w:rPr>
                <w:sz w:val="20"/>
                <w:szCs w:val="20"/>
                <w:color w:val="auto"/>
              </w:rPr>
            </w:pPr>
            <w:r>
              <w:rPr>
                <w:rFonts w:ascii="Arial" w:cs="Arial" w:eastAsia="Arial" w:hAnsi="Arial"/>
                <w:sz w:val="18"/>
                <w:szCs w:val="18"/>
                <w:color w:val="auto"/>
              </w:rPr>
              <w:t>35.84</w:t>
            </w:r>
          </w:p>
        </w:tc>
        <w:tc>
          <w:tcPr>
            <w:tcW w:w="2060" w:type="dxa"/>
            <w:vAlign w:val="bottom"/>
          </w:tcPr>
          <w:p>
            <w:pPr>
              <w:jc w:val="right"/>
              <w:spacing w:after="0"/>
              <w:rPr>
                <w:sz w:val="20"/>
                <w:szCs w:val="20"/>
                <w:color w:val="auto"/>
              </w:rPr>
            </w:pPr>
            <w:r>
              <w:rPr>
                <w:rFonts w:ascii="Arial" w:cs="Arial" w:eastAsia="Arial" w:hAnsi="Arial"/>
                <w:sz w:val="18"/>
                <w:szCs w:val="18"/>
                <w:color w:val="auto"/>
              </w:rPr>
              <w:t>1,200,903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April 2024</w:t>
            </w:r>
          </w:p>
        </w:tc>
        <w:tc>
          <w:tcPr>
            <w:tcW w:w="1800" w:type="dxa"/>
            <w:vAlign w:val="bottom"/>
          </w:tcPr>
          <w:p>
            <w:pPr>
              <w:jc w:val="right"/>
              <w:spacing w:after="0"/>
              <w:rPr>
                <w:sz w:val="20"/>
                <w:szCs w:val="20"/>
                <w:color w:val="auto"/>
              </w:rPr>
            </w:pPr>
            <w:r>
              <w:rPr>
                <w:rFonts w:ascii="Arial" w:cs="Arial" w:eastAsia="Arial" w:hAnsi="Arial"/>
                <w:sz w:val="18"/>
                <w:szCs w:val="18"/>
                <w:color w:val="auto"/>
              </w:rPr>
              <w:t>60,087</w:t>
            </w:r>
          </w:p>
        </w:tc>
        <w:tc>
          <w:tcPr>
            <w:tcW w:w="1440" w:type="dxa"/>
            <w:vAlign w:val="bottom"/>
          </w:tcPr>
          <w:p>
            <w:pPr>
              <w:jc w:val="right"/>
              <w:spacing w:after="0"/>
              <w:rPr>
                <w:sz w:val="20"/>
                <w:szCs w:val="20"/>
                <w:color w:val="auto"/>
              </w:rPr>
            </w:pPr>
            <w:r>
              <w:rPr>
                <w:rFonts w:ascii="Arial" w:cs="Arial" w:eastAsia="Arial" w:hAnsi="Arial"/>
                <w:sz w:val="18"/>
                <w:szCs w:val="18"/>
                <w:color w:val="auto"/>
              </w:rPr>
              <w:t>34.80</w:t>
            </w:r>
          </w:p>
        </w:tc>
        <w:tc>
          <w:tcPr>
            <w:tcW w:w="2060" w:type="dxa"/>
            <w:vAlign w:val="bottom"/>
          </w:tcPr>
          <w:p>
            <w:pPr>
              <w:jc w:val="right"/>
              <w:spacing w:after="0"/>
              <w:rPr>
                <w:sz w:val="20"/>
                <w:szCs w:val="20"/>
                <w:color w:val="auto"/>
              </w:rPr>
            </w:pPr>
            <w:r>
              <w:rPr>
                <w:rFonts w:ascii="Arial" w:cs="Arial" w:eastAsia="Arial" w:hAnsi="Arial"/>
                <w:sz w:val="18"/>
                <w:szCs w:val="18"/>
                <w:color w:val="auto"/>
              </w:rPr>
              <w:t>60,087</w:t>
            </w:r>
          </w:p>
        </w:tc>
        <w:tc>
          <w:tcPr>
            <w:tcW w:w="2060" w:type="dxa"/>
            <w:vAlign w:val="bottom"/>
          </w:tcPr>
          <w:p>
            <w:pPr>
              <w:jc w:val="right"/>
              <w:spacing w:after="0"/>
              <w:rPr>
                <w:sz w:val="20"/>
                <w:szCs w:val="20"/>
                <w:color w:val="auto"/>
              </w:rPr>
            </w:pPr>
            <w:r>
              <w:rPr>
                <w:rFonts w:ascii="Arial" w:cs="Arial" w:eastAsia="Arial" w:hAnsi="Arial"/>
                <w:sz w:val="18"/>
                <w:szCs w:val="18"/>
                <w:color w:val="auto"/>
              </w:rPr>
              <w:t>14,590,189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13,928,968</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2024</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681,359</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34.12</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681,359</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13,247,609</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2024 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1,402,667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1,402,667</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13,097,351</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August 2024</w:t>
            </w:r>
          </w:p>
        </w:tc>
        <w:tc>
          <w:tcPr>
            <w:tcW w:w="1800" w:type="dxa"/>
            <w:vAlign w:val="bottom"/>
          </w:tcPr>
          <w:p>
            <w:pPr>
              <w:jc w:val="right"/>
              <w:spacing w:after="0"/>
              <w:rPr>
                <w:sz w:val="20"/>
                <w:szCs w:val="20"/>
                <w:color w:val="auto"/>
              </w:rPr>
            </w:pPr>
            <w:r>
              <w:rPr>
                <w:rFonts w:ascii="Arial" w:cs="Arial" w:eastAsia="Arial" w:hAnsi="Arial"/>
                <w:sz w:val="18"/>
                <w:szCs w:val="18"/>
                <w:color w:val="auto"/>
              </w:rPr>
              <w:t>1,792,167</w:t>
            </w:r>
          </w:p>
        </w:tc>
        <w:tc>
          <w:tcPr>
            <w:tcW w:w="1440" w:type="dxa"/>
            <w:vAlign w:val="bottom"/>
          </w:tcPr>
          <w:p>
            <w:pPr>
              <w:jc w:val="right"/>
              <w:spacing w:after="0"/>
              <w:rPr>
                <w:sz w:val="20"/>
                <w:szCs w:val="20"/>
                <w:color w:val="auto"/>
              </w:rPr>
            </w:pPr>
            <w:r>
              <w:rPr>
                <w:rFonts w:ascii="Arial" w:cs="Arial" w:eastAsia="Arial" w:hAnsi="Arial"/>
                <w:sz w:val="18"/>
                <w:szCs w:val="18"/>
                <w:color w:val="auto"/>
              </w:rPr>
              <w:t>30.01</w:t>
            </w:r>
          </w:p>
        </w:tc>
        <w:tc>
          <w:tcPr>
            <w:tcW w:w="2060" w:type="dxa"/>
            <w:vAlign w:val="bottom"/>
          </w:tcPr>
          <w:p>
            <w:pPr>
              <w:jc w:val="right"/>
              <w:spacing w:after="0"/>
              <w:rPr>
                <w:sz w:val="20"/>
                <w:szCs w:val="20"/>
                <w:color w:val="auto"/>
              </w:rPr>
            </w:pPr>
            <w:r>
              <w:rPr>
                <w:rFonts w:ascii="Arial" w:cs="Arial" w:eastAsia="Arial" w:hAnsi="Arial"/>
                <w:sz w:val="18"/>
                <w:szCs w:val="18"/>
                <w:color w:val="auto"/>
              </w:rPr>
              <w:t>1,792,167</w:t>
            </w:r>
          </w:p>
        </w:tc>
        <w:tc>
          <w:tcPr>
            <w:tcW w:w="2060" w:type="dxa"/>
            <w:vAlign w:val="bottom"/>
          </w:tcPr>
          <w:p>
            <w:pPr>
              <w:jc w:val="right"/>
              <w:spacing w:after="0"/>
              <w:rPr>
                <w:sz w:val="20"/>
                <w:szCs w:val="20"/>
                <w:color w:val="auto"/>
              </w:rPr>
            </w:pPr>
            <w:r>
              <w:rPr>
                <w:rFonts w:ascii="Arial" w:cs="Arial" w:eastAsia="Arial" w:hAnsi="Arial"/>
                <w:sz w:val="18"/>
                <w:szCs w:val="18"/>
                <w:color w:val="auto"/>
              </w:rPr>
              <w:t>11,305,184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1,252,390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1,252,390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10,052,794</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3rd Quarter 2024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3,194,815</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30.16</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3,194,815</w:t>
            </w:r>
          </w:p>
        </w:tc>
        <w:tc>
          <w:tcPr>
            <w:tcW w:w="2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2024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5,798,385</w:t>
            </w:r>
          </w:p>
        </w:tc>
        <w:tc>
          <w:tcPr>
            <w:tcW w:w="144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5,798,385</w:t>
            </w:r>
          </w:p>
        </w:tc>
        <w:tc>
          <w:tcPr>
            <w:tcW w:w="2060" w:type="dxa"/>
            <w:vAlign w:val="bottom"/>
          </w:tcPr>
          <w:p>
            <w:pPr>
              <w:jc w:val="right"/>
              <w:spacing w:after="0"/>
              <w:rPr>
                <w:sz w:val="20"/>
                <w:szCs w:val="20"/>
                <w:color w:val="auto"/>
              </w:rPr>
            </w:pPr>
            <w:r>
              <w:rPr>
                <w:rFonts w:ascii="Arial" w:cs="Arial" w:eastAsia="Arial" w:hAnsi="Arial"/>
                <w:sz w:val="18"/>
                <w:szCs w:val="18"/>
                <w:color w:val="auto"/>
              </w:rPr>
              <w:t>10,052,794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440"/>
        <w:spacing w:after="0" w:line="287" w:lineRule="auto"/>
        <w:rPr>
          <w:sz w:val="20"/>
          <w:szCs w:val="20"/>
          <w:color w:val="auto"/>
        </w:rPr>
      </w:pPr>
      <w:r>
        <w:rPr>
          <w:rFonts w:ascii="Arial" w:cs="Arial" w:eastAsia="Arial" w:hAnsi="Arial"/>
          <w:sz w:val="18"/>
          <w:szCs w:val="18"/>
          <w:color w:val="auto"/>
        </w:rPr>
        <w:t>As of September 30, 2024, the Company has repurchased 161,946,934 shares at a total cost of $2,934,363,223 under its share repurchase plan or as otherwise previously disclosed.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6" w:name="page37"/>
    <w:bookmarkEnd w:id="36"/>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1, 2024</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30"/>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November 1, 2024</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9"/>
        </w:trPr>
        <w:tc>
          <w:tcPr>
            <w:tcW w:w="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300" w:hanging="1294"/>
        <w:spacing w:after="0" w:line="248"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2024,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right="20" w:hanging="232"/>
        <w:spacing w:after="0" w:line="287" w:lineRule="auto"/>
        <w:tabs>
          <w:tab w:leader="none" w:pos="2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2024,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16"/>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2024-11-01T12:28:09Z</dcterms:created>
  <dcterms:modified xsi:type="dcterms:W3CDTF">2024-11-01T12:28:09Z</dcterms:modified>
</cp:coreProperties>
</file>