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jc w:val="center"/>
        <w:ind w:right="-79"/>
        <w:spacing w:after="0"/>
        <w:rPr>
          <w:sz w:val="20"/>
          <w:szCs w:val="20"/>
          <w:color w:val="auto"/>
        </w:rPr>
      </w:pPr>
      <w:r>
        <w:rPr>
          <w:rFonts w:ascii="Arial" w:cs="Arial" w:eastAsia="Arial" w:hAnsi="Arial"/>
          <w:sz w:val="20"/>
          <w:szCs w:val="20"/>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ectPr>
          <w:pgSz w:w="11900" w:h="16838" w:orient="portrait"/>
          <w:cols w:equalWidth="0" w:num="1">
            <w:col w:w="11340"/>
          </w:cols>
          <w:pgMar w:left="240" w:top="742" w:right="319" w:bottom="1440" w:gutter="0" w:footer="0" w:header="0"/>
        </w:sectPr>
      </w:pPr>
    </w:p>
    <w:p>
      <w:pPr>
        <w:spacing w:after="0" w:line="153" w:lineRule="exact"/>
        <w:rPr>
          <w:sz w:val="24"/>
          <w:szCs w:val="24"/>
          <w:color w:val="auto"/>
        </w:rPr>
      </w:pPr>
    </w:p>
    <w:p>
      <w:pPr>
        <w:ind w:left="18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371"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ind w:left="180" w:right="1700"/>
        <w:spacing w:after="0" w:line="286" w:lineRule="auto"/>
        <w:rPr>
          <w:sz w:val="20"/>
          <w:szCs w:val="20"/>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6"/>
          <w:szCs w:val="16"/>
          <w:b w:val="1"/>
          <w:bCs w:val="1"/>
          <w:u w:val="single" w:color="auto"/>
          <w:color w:val="auto"/>
        </w:rPr>
        <w:t>December 31, 2018</w:t>
      </w:r>
      <w:r>
        <w:rPr>
          <w:rFonts w:ascii="Arial" w:cs="Arial" w:eastAsia="Arial" w:hAnsi="Arial"/>
          <w:sz w:val="16"/>
          <w:szCs w:val="16"/>
          <w:b w:val="1"/>
          <w:bCs w:val="1"/>
          <w:color w:val="auto"/>
        </w:rPr>
        <w:t xml:space="preserve"> or</w:t>
      </w:r>
    </w:p>
    <w:p>
      <w:pPr>
        <w:spacing w:after="0" w:line="385"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For the transition period from __________ to _________</w:t>
      </w:r>
    </w:p>
    <w:p>
      <w:pPr>
        <w:spacing w:after="0" w:line="120" w:lineRule="exact"/>
        <w:rPr>
          <w:sz w:val="24"/>
          <w:szCs w:val="24"/>
          <w:color w:val="auto"/>
        </w:rPr>
      </w:pPr>
    </w:p>
    <w:p>
      <w:pPr>
        <w:sectPr>
          <w:pgSz w:w="11900" w:h="16838" w:orient="portrait"/>
          <w:cols w:equalWidth="0" w:num="2">
            <w:col w:w="440" w:space="0"/>
            <w:col w:w="10900"/>
          </w:cols>
          <w:pgMar w:left="240" w:top="742" w:right="319" w:bottom="1440" w:gutter="0" w:footer="0" w:header="0"/>
          <w:type w:val="continuous"/>
        </w:sectPr>
      </w:pPr>
    </w:p>
    <w:p>
      <w:pPr>
        <w:spacing w:after="0"/>
        <w:rPr>
          <w:sz w:val="20"/>
          <w:szCs w:val="20"/>
          <w:color w:val="auto"/>
        </w:rPr>
      </w:pPr>
      <w:r>
        <w:rPr>
          <w:rFonts w:ascii="Arial" w:cs="Arial" w:eastAsia="Arial" w:hAnsi="Arial"/>
          <w:sz w:val="16"/>
          <w:szCs w:val="16"/>
          <w:color w:val="auto"/>
        </w:rPr>
        <w:t>Commission File No.</w:t>
      </w:r>
      <w:r>
        <w:rPr>
          <w:rFonts w:ascii="Arial" w:cs="Arial" w:eastAsia="Arial" w:hAnsi="Arial"/>
          <w:sz w:val="16"/>
          <w:szCs w:val="16"/>
          <w:b w:val="1"/>
          <w:bCs w:val="1"/>
          <w:color w:val="auto"/>
        </w:rPr>
        <w:t>: 0-10235</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740" w:type="dxa"/>
            <w:vAlign w:val="bottom"/>
          </w:tcPr>
          <w:p>
            <w:pPr>
              <w:spacing w:after="0"/>
              <w:rPr>
                <w:sz w:val="24"/>
                <w:szCs w:val="24"/>
                <w:color w:val="auto"/>
              </w:rPr>
            </w:pPr>
          </w:p>
        </w:tc>
        <w:tc>
          <w:tcPr>
            <w:tcW w:w="6100" w:type="dxa"/>
            <w:vAlign w:val="bottom"/>
            <w:gridSpan w:val="2"/>
          </w:tcPr>
          <w:p>
            <w:pPr>
              <w:jc w:val="center"/>
              <w:ind w:right="2068"/>
              <w:spacing w:after="0"/>
              <w:rPr>
                <w:sz w:val="20"/>
                <w:szCs w:val="20"/>
                <w:color w:val="auto"/>
              </w:rPr>
            </w:pPr>
            <w:r>
              <w:rPr>
                <w:rFonts w:ascii="Arial" w:cs="Arial" w:eastAsia="Arial" w:hAnsi="Arial"/>
                <w:sz w:val="22"/>
                <w:szCs w:val="22"/>
                <w:b w:val="1"/>
                <w:bCs w:val="1"/>
                <w:color w:val="auto"/>
                <w:w w:val="97"/>
              </w:rPr>
              <w:t>GENTEX CORPORATION</w:t>
            </w:r>
          </w:p>
        </w:tc>
      </w:tr>
      <w:tr>
        <w:trPr>
          <w:trHeight w:val="172"/>
        </w:trPr>
        <w:tc>
          <w:tcPr>
            <w:tcW w:w="3740" w:type="dxa"/>
            <w:vAlign w:val="bottom"/>
          </w:tcPr>
          <w:p>
            <w:pPr>
              <w:spacing w:after="0"/>
              <w:rPr>
                <w:sz w:val="14"/>
                <w:szCs w:val="14"/>
                <w:color w:val="auto"/>
              </w:rPr>
            </w:pPr>
          </w:p>
        </w:tc>
        <w:tc>
          <w:tcPr>
            <w:tcW w:w="6100" w:type="dxa"/>
            <w:vAlign w:val="bottom"/>
            <w:gridSpan w:val="2"/>
          </w:tcPr>
          <w:p>
            <w:pPr>
              <w:jc w:val="center"/>
              <w:ind w:right="2068"/>
              <w:spacing w:after="0"/>
              <w:rPr>
                <w:sz w:val="20"/>
                <w:szCs w:val="20"/>
                <w:color w:val="auto"/>
              </w:rPr>
            </w:pPr>
            <w:r>
              <w:rPr>
                <w:rFonts w:ascii="Arial" w:cs="Arial" w:eastAsia="Arial" w:hAnsi="Arial"/>
                <w:sz w:val="14"/>
                <w:szCs w:val="14"/>
                <w:color w:val="auto"/>
              </w:rPr>
              <w:t>(Exact name of registrant as specified in its charter)</w:t>
            </w:r>
          </w:p>
        </w:tc>
      </w:tr>
      <w:tr>
        <w:trPr>
          <w:trHeight w:val="344"/>
        </w:trPr>
        <w:tc>
          <w:tcPr>
            <w:tcW w:w="3740" w:type="dxa"/>
            <w:vAlign w:val="bottom"/>
          </w:tcPr>
          <w:p>
            <w:pPr>
              <w:jc w:val="center"/>
              <w:ind w:right="285"/>
              <w:spacing w:after="0"/>
              <w:rPr>
                <w:sz w:val="20"/>
                <w:szCs w:val="20"/>
                <w:color w:val="auto"/>
              </w:rPr>
            </w:pPr>
            <w:r>
              <w:rPr>
                <w:rFonts w:ascii="Arial" w:cs="Arial" w:eastAsia="Arial" w:hAnsi="Arial"/>
                <w:sz w:val="16"/>
                <w:szCs w:val="16"/>
                <w:b w:val="1"/>
                <w:bCs w:val="1"/>
                <w:color w:val="auto"/>
              </w:rPr>
              <w:t>Michigan</w:t>
            </w:r>
          </w:p>
        </w:tc>
        <w:tc>
          <w:tcPr>
            <w:tcW w:w="6100" w:type="dxa"/>
            <w:vAlign w:val="bottom"/>
            <w:gridSpan w:val="2"/>
          </w:tcPr>
          <w:p>
            <w:pPr>
              <w:jc w:val="right"/>
              <w:ind w:right="1108"/>
              <w:spacing w:after="0"/>
              <w:rPr>
                <w:sz w:val="20"/>
                <w:szCs w:val="20"/>
                <w:color w:val="auto"/>
              </w:rPr>
            </w:pPr>
            <w:r>
              <w:rPr>
                <w:rFonts w:ascii="Arial" w:cs="Arial" w:eastAsia="Arial" w:hAnsi="Arial"/>
                <w:sz w:val="16"/>
                <w:szCs w:val="16"/>
                <w:b w:val="1"/>
                <w:bCs w:val="1"/>
                <w:color w:val="auto"/>
              </w:rPr>
              <w:t>38-2030505</w:t>
            </w:r>
          </w:p>
        </w:tc>
      </w:tr>
      <w:tr>
        <w:trPr>
          <w:trHeight w:val="213"/>
        </w:trPr>
        <w:tc>
          <w:tcPr>
            <w:tcW w:w="3740" w:type="dxa"/>
            <w:vAlign w:val="bottom"/>
          </w:tcPr>
          <w:p>
            <w:pPr>
              <w:jc w:val="center"/>
              <w:ind w:right="305"/>
              <w:spacing w:after="0"/>
              <w:rPr>
                <w:sz w:val="20"/>
                <w:szCs w:val="20"/>
                <w:color w:val="auto"/>
              </w:rPr>
            </w:pPr>
            <w:r>
              <w:rPr>
                <w:rFonts w:ascii="Arial" w:cs="Arial" w:eastAsia="Arial" w:hAnsi="Arial"/>
                <w:sz w:val="14"/>
                <w:szCs w:val="14"/>
                <w:color w:val="auto"/>
              </w:rPr>
              <w:t>State or other jurisdiction of</w:t>
            </w:r>
          </w:p>
        </w:tc>
        <w:tc>
          <w:tcPr>
            <w:tcW w:w="2460" w:type="dxa"/>
            <w:vAlign w:val="bottom"/>
          </w:tcPr>
          <w:p>
            <w:pPr>
              <w:spacing w:after="0"/>
              <w:rPr>
                <w:sz w:val="18"/>
                <w:szCs w:val="18"/>
                <w:color w:val="auto"/>
              </w:rPr>
            </w:pPr>
          </w:p>
        </w:tc>
        <w:tc>
          <w:tcPr>
            <w:tcW w:w="3640" w:type="dxa"/>
            <w:vAlign w:val="bottom"/>
          </w:tcPr>
          <w:p>
            <w:pPr>
              <w:jc w:val="center"/>
              <w:ind w:left="348"/>
              <w:spacing w:after="0"/>
              <w:rPr>
                <w:sz w:val="20"/>
                <w:szCs w:val="20"/>
                <w:color w:val="auto"/>
              </w:rPr>
            </w:pPr>
            <w:r>
              <w:rPr>
                <w:rFonts w:ascii="Arial" w:cs="Arial" w:eastAsia="Arial" w:hAnsi="Arial"/>
                <w:sz w:val="14"/>
                <w:szCs w:val="14"/>
                <w:color w:val="auto"/>
              </w:rPr>
              <w:t>(I.R.S. Employer</w:t>
            </w:r>
          </w:p>
        </w:tc>
      </w:tr>
      <w:tr>
        <w:trPr>
          <w:trHeight w:val="172"/>
        </w:trPr>
        <w:tc>
          <w:tcPr>
            <w:tcW w:w="3740" w:type="dxa"/>
            <w:vAlign w:val="bottom"/>
          </w:tcPr>
          <w:p>
            <w:pPr>
              <w:jc w:val="center"/>
              <w:ind w:right="285"/>
              <w:spacing w:after="0"/>
              <w:rPr>
                <w:sz w:val="20"/>
                <w:szCs w:val="20"/>
                <w:color w:val="auto"/>
              </w:rPr>
            </w:pPr>
            <w:r>
              <w:rPr>
                <w:rFonts w:ascii="Arial" w:cs="Arial" w:eastAsia="Arial" w:hAnsi="Arial"/>
                <w:sz w:val="14"/>
                <w:szCs w:val="14"/>
                <w:color w:val="auto"/>
              </w:rPr>
              <w:t>incorporation or organization</w:t>
            </w:r>
          </w:p>
        </w:tc>
        <w:tc>
          <w:tcPr>
            <w:tcW w:w="2460" w:type="dxa"/>
            <w:vAlign w:val="bottom"/>
          </w:tcPr>
          <w:p>
            <w:pPr>
              <w:spacing w:after="0"/>
              <w:rPr>
                <w:sz w:val="14"/>
                <w:szCs w:val="14"/>
                <w:color w:val="auto"/>
              </w:rPr>
            </w:pPr>
          </w:p>
        </w:tc>
        <w:tc>
          <w:tcPr>
            <w:tcW w:w="3640" w:type="dxa"/>
            <w:vAlign w:val="bottom"/>
          </w:tcPr>
          <w:p>
            <w:pPr>
              <w:jc w:val="center"/>
              <w:ind w:left="368"/>
              <w:spacing w:after="0"/>
              <w:rPr>
                <w:sz w:val="20"/>
                <w:szCs w:val="20"/>
                <w:color w:val="auto"/>
              </w:rPr>
            </w:pPr>
            <w:r>
              <w:rPr>
                <w:rFonts w:ascii="Arial" w:cs="Arial" w:eastAsia="Arial" w:hAnsi="Arial"/>
                <w:sz w:val="14"/>
                <w:szCs w:val="14"/>
                <w:color w:val="auto"/>
              </w:rPr>
              <w:t>Identification No.)</w:t>
            </w:r>
          </w:p>
        </w:tc>
      </w:tr>
      <w:tr>
        <w:trPr>
          <w:trHeight w:val="332"/>
        </w:trPr>
        <w:tc>
          <w:tcPr>
            <w:tcW w:w="3740" w:type="dxa"/>
            <w:vAlign w:val="bottom"/>
          </w:tcPr>
          <w:p>
            <w:pPr>
              <w:jc w:val="center"/>
              <w:ind w:right="285"/>
              <w:spacing w:after="0"/>
              <w:rPr>
                <w:sz w:val="20"/>
                <w:szCs w:val="20"/>
                <w:color w:val="auto"/>
              </w:rPr>
            </w:pPr>
            <w:r>
              <w:rPr>
                <w:rFonts w:ascii="Arial" w:cs="Arial" w:eastAsia="Arial" w:hAnsi="Arial"/>
                <w:sz w:val="16"/>
                <w:szCs w:val="16"/>
                <w:b w:val="1"/>
                <w:bCs w:val="1"/>
                <w:color w:val="auto"/>
              </w:rPr>
              <w:t>600 N. Centennial Street,</w:t>
            </w:r>
          </w:p>
        </w:tc>
        <w:tc>
          <w:tcPr>
            <w:tcW w:w="24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5"/>
        </w:trPr>
        <w:tc>
          <w:tcPr>
            <w:tcW w:w="3740" w:type="dxa"/>
            <w:vAlign w:val="bottom"/>
          </w:tcPr>
          <w:p>
            <w:pPr>
              <w:jc w:val="center"/>
              <w:ind w:right="305"/>
              <w:spacing w:after="0"/>
              <w:rPr>
                <w:sz w:val="20"/>
                <w:szCs w:val="20"/>
                <w:color w:val="auto"/>
              </w:rPr>
            </w:pPr>
            <w:r>
              <w:rPr>
                <w:rFonts w:ascii="Arial" w:cs="Arial" w:eastAsia="Arial" w:hAnsi="Arial"/>
                <w:sz w:val="16"/>
                <w:szCs w:val="16"/>
                <w:b w:val="1"/>
                <w:bCs w:val="1"/>
                <w:color w:val="auto"/>
              </w:rPr>
              <w:t>Zeeland, Michigan</w:t>
            </w:r>
          </w:p>
        </w:tc>
        <w:tc>
          <w:tcPr>
            <w:tcW w:w="6100" w:type="dxa"/>
            <w:vAlign w:val="bottom"/>
            <w:gridSpan w:val="2"/>
          </w:tcPr>
          <w:p>
            <w:pPr>
              <w:jc w:val="right"/>
              <w:ind w:right="1308"/>
              <w:spacing w:after="0"/>
              <w:rPr>
                <w:sz w:val="20"/>
                <w:szCs w:val="20"/>
                <w:color w:val="auto"/>
              </w:rPr>
            </w:pPr>
            <w:r>
              <w:rPr>
                <w:rFonts w:ascii="Arial" w:cs="Arial" w:eastAsia="Arial" w:hAnsi="Arial"/>
                <w:sz w:val="16"/>
                <w:szCs w:val="16"/>
                <w:b w:val="1"/>
                <w:bCs w:val="1"/>
                <w:color w:val="auto"/>
              </w:rPr>
              <w:t>49464</w:t>
            </w:r>
          </w:p>
        </w:tc>
      </w:tr>
      <w:tr>
        <w:trPr>
          <w:trHeight w:val="222"/>
        </w:trPr>
        <w:tc>
          <w:tcPr>
            <w:tcW w:w="3740" w:type="dxa"/>
            <w:vAlign w:val="bottom"/>
          </w:tcPr>
          <w:p>
            <w:pPr>
              <w:jc w:val="center"/>
              <w:ind w:right="285"/>
              <w:spacing w:after="0"/>
              <w:rPr>
                <w:sz w:val="20"/>
                <w:szCs w:val="20"/>
                <w:color w:val="auto"/>
              </w:rPr>
            </w:pPr>
            <w:r>
              <w:rPr>
                <w:rFonts w:ascii="Arial" w:cs="Arial" w:eastAsia="Arial" w:hAnsi="Arial"/>
                <w:sz w:val="14"/>
                <w:szCs w:val="14"/>
                <w:color w:val="auto"/>
              </w:rPr>
              <w:t>(Address of principal executive offices)</w:t>
            </w:r>
          </w:p>
        </w:tc>
        <w:tc>
          <w:tcPr>
            <w:tcW w:w="2460" w:type="dxa"/>
            <w:vAlign w:val="bottom"/>
          </w:tcPr>
          <w:p>
            <w:pPr>
              <w:spacing w:after="0"/>
              <w:rPr>
                <w:sz w:val="19"/>
                <w:szCs w:val="19"/>
                <w:color w:val="auto"/>
              </w:rPr>
            </w:pPr>
          </w:p>
        </w:tc>
        <w:tc>
          <w:tcPr>
            <w:tcW w:w="3640" w:type="dxa"/>
            <w:vAlign w:val="bottom"/>
          </w:tcPr>
          <w:p>
            <w:pPr>
              <w:jc w:val="center"/>
              <w:ind w:left="368"/>
              <w:spacing w:after="0"/>
              <w:rPr>
                <w:sz w:val="20"/>
                <w:szCs w:val="20"/>
                <w:color w:val="auto"/>
              </w:rPr>
            </w:pPr>
            <w:r>
              <w:rPr>
                <w:rFonts w:ascii="Arial" w:cs="Arial" w:eastAsia="Arial" w:hAnsi="Arial"/>
                <w:sz w:val="14"/>
                <w:szCs w:val="14"/>
                <w:color w:val="auto"/>
              </w:rPr>
              <w:t>(Zip Code)</w:t>
            </w:r>
          </w:p>
        </w:tc>
      </w:tr>
      <w:tr>
        <w:trPr>
          <w:trHeight w:val="190"/>
        </w:trPr>
        <w:tc>
          <w:tcPr>
            <w:tcW w:w="9840" w:type="dxa"/>
            <w:vAlign w:val="bottom"/>
            <w:gridSpan w:val="3"/>
          </w:tcPr>
          <w:p>
            <w:pPr>
              <w:jc w:val="center"/>
              <w:ind w:left="1505"/>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 772-1800</w:t>
            </w:r>
          </w:p>
        </w:tc>
      </w:tr>
      <w:tr>
        <w:trPr>
          <w:trHeight w:val="324"/>
        </w:trPr>
        <w:tc>
          <w:tcPr>
            <w:tcW w:w="37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30"/>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246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04"/>
        </w:trPr>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Common Stock, par value $.06 per share</w:t>
            </w:r>
          </w:p>
        </w:tc>
        <w:tc>
          <w:tcPr>
            <w:tcW w:w="246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None</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(Title of Class)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6" w:lineRule="exact"/>
        <w:rPr>
          <w:sz w:val="24"/>
          <w:szCs w:val="24"/>
          <w:color w:val="auto"/>
        </w:rPr>
      </w:pPr>
    </w:p>
    <w:p>
      <w:pPr>
        <w:ind w:left="660"/>
        <w:spacing w:after="0" w:line="214"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ind w:left="660"/>
        <w:spacing w:after="0" w:line="207" w:lineRule="exact"/>
        <w:tabs>
          <w:tab w:leader="none" w:pos="1320" w:val="left"/>
          <w:tab w:leader="none" w:pos="1660" w:val="left"/>
        </w:tabs>
        <w:rPr>
          <w:sz w:val="20"/>
          <w:szCs w:val="20"/>
          <w:color w:val="auto"/>
        </w:rPr>
      </w:pPr>
      <w:r>
        <w:rPr>
          <w:rFonts w:ascii="Arial" w:cs="Arial" w:eastAsia="Arial" w:hAnsi="Arial"/>
          <w:sz w:val="14"/>
          <w:szCs w:val="14"/>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235" w:lineRule="exact"/>
        <w:rPr>
          <w:sz w:val="24"/>
          <w:szCs w:val="24"/>
          <w:color w:val="auto"/>
        </w:rPr>
      </w:pPr>
    </w:p>
    <w:p>
      <w:pPr>
        <w:ind w:right="200"/>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235" w:lineRule="exact"/>
        <w:rPr>
          <w:sz w:val="24"/>
          <w:szCs w:val="24"/>
          <w:color w:val="auto"/>
        </w:rPr>
      </w:pPr>
    </w:p>
    <w:p>
      <w:pPr>
        <w:ind w:right="60"/>
        <w:spacing w:after="0" w:line="23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660"/>
        <w:spacing w:after="0" w:line="207" w:lineRule="exact"/>
        <w:tabs>
          <w:tab w:leader="none" w:pos="13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Arial" w:cs="Arial" w:eastAsia="Arial" w:hAnsi="Arial"/>
          <w:sz w:val="18"/>
          <w:szCs w:val="18"/>
          <w:color w:val="auto"/>
        </w:rPr>
        <w:t>o</w:t>
      </w:r>
    </w:p>
    <w:p>
      <w:pPr>
        <w:spacing w:after="0" w:line="262" w:lineRule="exact"/>
        <w:rPr>
          <w:sz w:val="24"/>
          <w:szCs w:val="24"/>
          <w:color w:val="auto"/>
        </w:rPr>
      </w:pPr>
    </w:p>
    <w:p>
      <w:pPr>
        <w:ind w:right="140"/>
        <w:spacing w:after="0" w:line="277"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color w:val="auto"/>
        </w:rPr>
        <w:t>o</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23"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ü</w:t>
            </w:r>
          </w:p>
        </w:tc>
        <w:tc>
          <w:tcPr>
            <w:tcW w:w="5980" w:type="dxa"/>
            <w:vAlign w:val="bottom"/>
          </w:tcPr>
          <w:p>
            <w:pPr>
              <w:ind w:left="4260"/>
              <w:spacing w:after="0"/>
              <w:rPr>
                <w:sz w:val="20"/>
                <w:szCs w:val="20"/>
                <w:color w:val="auto"/>
              </w:rPr>
            </w:pPr>
            <w:r>
              <w:rPr>
                <w:rFonts w:ascii="Arial" w:cs="Arial" w:eastAsia="Arial" w:hAnsi="Arial"/>
                <w:sz w:val="14"/>
                <w:szCs w:val="14"/>
                <w:color w:val="auto"/>
              </w:rPr>
              <w:t>Accelerated filer</w:t>
            </w:r>
          </w:p>
        </w:tc>
      </w:tr>
      <w:tr>
        <w:trPr>
          <w:trHeight w:val="264"/>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 w:type="dxa"/>
            <w:vAlign w:val="bottom"/>
            <w:tcBorders>
              <w:bottom w:val="single" w:sz="8" w:color="auto"/>
            </w:tcBorders>
          </w:tcPr>
          <w:p>
            <w:pPr>
              <w:spacing w:after="0"/>
              <w:rPr>
                <w:sz w:val="22"/>
                <w:szCs w:val="22"/>
                <w:color w:val="auto"/>
              </w:rPr>
            </w:pPr>
          </w:p>
        </w:tc>
        <w:tc>
          <w:tcPr>
            <w:tcW w:w="5980" w:type="dxa"/>
            <w:vAlign w:val="bottom"/>
          </w:tcPr>
          <w:p>
            <w:pPr>
              <w:ind w:left="4260"/>
              <w:spacing w:after="0"/>
              <w:rPr>
                <w:sz w:val="20"/>
                <w:szCs w:val="20"/>
                <w:color w:val="auto"/>
              </w:rPr>
            </w:pPr>
            <w:r>
              <w:rPr>
                <w:rFonts w:ascii="Arial" w:cs="Arial" w:eastAsia="Arial" w:hAnsi="Arial"/>
                <w:sz w:val="14"/>
                <w:szCs w:val="14"/>
                <w:color w:val="auto"/>
              </w:rPr>
              <w:t>Smaller reporting company</w:t>
            </w:r>
          </w:p>
        </w:tc>
      </w:tr>
      <w:tr>
        <w:trPr>
          <w:trHeight w:val="258"/>
        </w:trPr>
        <w:tc>
          <w:tcPr>
            <w:tcW w:w="2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980" w:type="dxa"/>
            <w:vAlign w:val="bottom"/>
          </w:tcPr>
          <w:p>
            <w:pPr>
              <w:ind w:left="4260"/>
              <w:spacing w:after="0"/>
              <w:rPr>
                <w:sz w:val="20"/>
                <w:szCs w:val="20"/>
                <w:color w:val="auto"/>
              </w:rPr>
            </w:pPr>
            <w:r>
              <w:rPr>
                <w:rFonts w:ascii="Arial" w:cs="Arial" w:eastAsia="Arial" w:hAnsi="Arial"/>
                <w:sz w:val="14"/>
                <w:szCs w:val="14"/>
                <w:color w:val="auto"/>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6076950</wp:posOffset>
            </wp:positionH>
            <wp:positionV relativeFrom="paragraph">
              <wp:posOffset>7620</wp:posOffset>
            </wp:positionV>
            <wp:extent cx="180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-172085</wp:posOffset>
            </wp:positionV>
            <wp:extent cx="180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-351790</wp:posOffset>
            </wp:positionV>
            <wp:extent cx="180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37" w:lineRule="exact"/>
        <w:rPr>
          <w:sz w:val="24"/>
          <w:szCs w:val="24"/>
          <w:color w:val="auto"/>
        </w:rPr>
      </w:pPr>
    </w:p>
    <w:p>
      <w:pPr>
        <w:ind w:right="400"/>
        <w:spacing w:after="0" w:line="277"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64" w:lineRule="exact"/>
        <w:rPr>
          <w:sz w:val="24"/>
          <w:szCs w:val="24"/>
          <w:color w:val="auto"/>
        </w:rPr>
      </w:pPr>
    </w:p>
    <w:p>
      <w:pPr>
        <w:spacing w:after="0" w:line="207" w:lineRule="exact"/>
        <w:tabs>
          <w:tab w:leader="none" w:pos="6660" w:val="left"/>
          <w:tab w:leader="none" w:pos="734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196" w:lineRule="exact"/>
        <w:rPr>
          <w:sz w:val="24"/>
          <w:szCs w:val="24"/>
          <w:color w:val="auto"/>
        </w:rPr>
      </w:pPr>
    </w:p>
    <w:p>
      <w:pPr>
        <w:spacing w:after="0" w:line="250" w:lineRule="auto"/>
        <w:rPr>
          <w:sz w:val="20"/>
          <w:szCs w:val="20"/>
          <w:color w:val="auto"/>
        </w:rPr>
      </w:pPr>
      <w:r>
        <w:rPr>
          <w:rFonts w:ascii="Arial" w:cs="Arial" w:eastAsia="Arial" w:hAnsi="Arial"/>
          <w:sz w:val="14"/>
          <w:szCs w:val="14"/>
          <w:color w:val="auto"/>
        </w:rPr>
        <w:t>As of June 30, 2018 (the last business day of the registrant’s most recently completed second fiscal quarter), 268,923,121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$6,166,225,666 computed at the closing price on that date.</w:t>
      </w:r>
    </w:p>
    <w:p>
      <w:pPr>
        <w:spacing w:after="0" w:line="118" w:lineRule="exact"/>
        <w:rPr>
          <w:sz w:val="24"/>
          <w:szCs w:val="24"/>
          <w:color w:val="auto"/>
        </w:rPr>
      </w:pPr>
    </w:p>
    <w:p>
      <w:pPr>
        <w:ind w:right="3000"/>
        <w:spacing w:after="0" w:line="459" w:lineRule="auto"/>
        <w:rPr>
          <w:sz w:val="20"/>
          <w:szCs w:val="20"/>
          <w:color w:val="auto"/>
        </w:rPr>
      </w:pPr>
      <w:r>
        <w:rPr>
          <w:rFonts w:ascii="Arial" w:cs="Arial" w:eastAsia="Arial" w:hAnsi="Arial"/>
          <w:sz w:val="14"/>
          <w:szCs w:val="14"/>
          <w:color w:val="auto"/>
        </w:rPr>
        <w:t>As of February 1, 2019, 259,230,913 shares of the registrant’s common stock, par value $.06 per share, were outstanding, Portions of the Company’s Proxy Statement for its 2018 Annual Meeting of Shareholders are incorporated by reference into Part III.</w:t>
      </w:r>
    </w:p>
    <w:p>
      <w:pPr>
        <w:sectPr>
          <w:pgSz w:w="11900" w:h="16838" w:orient="portrait"/>
          <w:cols w:equalWidth="0" w:num="1">
            <w:col w:w="11340"/>
          </w:cols>
          <w:pgMar w:left="240" w:top="742"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2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w w:val="99"/>
              </w:rPr>
              <w:t>GENTEX CORPORATION AND SUBSIDIARIES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2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w w:val="99"/>
              </w:rPr>
              <w:t>For the Year Ended December 31, 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4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rPr>
              <w:t>FORM 10-K</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9"/>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4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w w:val="97"/>
              </w:rPr>
              <w:t>Index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631"/>
        </w:trPr>
        <w:tc>
          <w:tcPr>
            <w:tcW w:w="1020" w:type="dxa"/>
            <w:vAlign w:val="bottom"/>
            <w:gridSpan w:val="3"/>
          </w:tcPr>
          <w:p>
            <w:pPr>
              <w:spacing w:after="0"/>
              <w:rPr>
                <w:sz w:val="20"/>
                <w:szCs w:val="20"/>
                <w:color w:val="auto"/>
              </w:rPr>
            </w:pPr>
            <w:r>
              <w:rPr>
                <w:rFonts w:ascii="Arial" w:cs="Arial" w:eastAsia="Arial" w:hAnsi="Arial"/>
                <w:sz w:val="22"/>
                <w:szCs w:val="22"/>
                <w:b w:val="1"/>
                <w:bCs w:val="1"/>
                <w:color w:val="auto"/>
              </w:rPr>
              <w:t>Part I</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3"/>
          </w:tcPr>
          <w:p>
            <w:pPr>
              <w:ind w:left="420"/>
              <w:spacing w:after="0"/>
              <w:rPr>
                <w:sz w:val="20"/>
                <w:szCs w:val="20"/>
                <w:color w:val="auto"/>
              </w:rPr>
            </w:pPr>
            <w:r>
              <w:rPr>
                <w:rFonts w:ascii="Arial" w:cs="Arial" w:eastAsia="Arial" w:hAnsi="Arial"/>
                <w:sz w:val="22"/>
                <w:szCs w:val="22"/>
                <w:b w:val="1"/>
                <w:bCs w:val="1"/>
                <w:color w:val="auto"/>
                <w:w w:val="94"/>
              </w:rPr>
              <w:t>Page</w:t>
            </w:r>
          </w:p>
        </w:tc>
      </w:tr>
      <w:tr>
        <w:trPr>
          <w:trHeight w:val="220"/>
        </w:trPr>
        <w:tc>
          <w:tcPr>
            <w:tcW w:w="56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460" w:type="dxa"/>
            <w:vAlign w:val="bottom"/>
            <w:gridSpan w:val="2"/>
          </w:tcPr>
          <w:p>
            <w:pPr>
              <w:spacing w:after="0"/>
              <w:rPr>
                <w:sz w:val="19"/>
                <w:szCs w:val="19"/>
                <w:color w:val="auto"/>
              </w:rPr>
            </w:pPr>
          </w:p>
        </w:tc>
        <w:tc>
          <w:tcPr>
            <w:tcW w:w="74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Business</w:t>
              </w:r>
            </w:hyperlink>
          </w:p>
        </w:tc>
        <w:tc>
          <w:tcPr>
            <w:tcW w:w="8040" w:type="dxa"/>
            <w:vAlign w:val="bottom"/>
            <w:gridSpan w:val="20"/>
          </w:tcPr>
          <w:p>
            <w:pPr>
              <w:spacing w:after="0"/>
              <w:rPr>
                <w:sz w:val="19"/>
                <w:szCs w:val="19"/>
                <w:color w:val="auto"/>
              </w:rPr>
            </w:pPr>
          </w:p>
        </w:tc>
        <w:tc>
          <w:tcPr>
            <w:tcW w:w="740" w:type="dxa"/>
            <w:vAlign w:val="bottom"/>
            <w:gridSpan w:val="2"/>
          </w:tcPr>
          <w:p>
            <w:pPr>
              <w:jc w:val="center"/>
              <w:ind w:left="548"/>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200" w:type="dxa"/>
            <w:vAlign w:val="bottom"/>
          </w:tcPr>
          <w:p>
            <w:pPr>
              <w:spacing w:after="0"/>
              <w:rPr>
                <w:sz w:val="19"/>
                <w:szCs w:val="19"/>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Item 1A.</w:t>
              </w:r>
            </w:hyperlink>
          </w:p>
        </w:tc>
        <w:tc>
          <w:tcPr>
            <w:tcW w:w="360" w:type="dxa"/>
            <w:vAlign w:val="bottom"/>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40" w:type="dxa"/>
            <w:vAlign w:val="bottom"/>
            <w:gridSpan w:val="2"/>
          </w:tcPr>
          <w:p>
            <w:pPr>
              <w:jc w:val="center"/>
              <w:ind w:left="548"/>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200" w:type="dxa"/>
            <w:vAlign w:val="bottom"/>
          </w:tcPr>
          <w:p>
            <w:pPr>
              <w:spacing w:after="0"/>
              <w:rPr>
                <w:sz w:val="20"/>
                <w:szCs w:val="20"/>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Item 1B.</w:t>
              </w:r>
            </w:hyperlink>
          </w:p>
        </w:tc>
        <w:tc>
          <w:tcPr>
            <w:tcW w:w="360" w:type="dxa"/>
            <w:vAlign w:val="bottom"/>
          </w:tcPr>
          <w:p>
            <w:pPr>
              <w:spacing w:after="0"/>
              <w:rPr>
                <w:sz w:val="20"/>
                <w:szCs w:val="20"/>
                <w:color w:val="auto"/>
              </w:rPr>
            </w:pPr>
          </w:p>
        </w:tc>
        <w:tc>
          <w:tcPr>
            <w:tcW w:w="2260" w:type="dxa"/>
            <w:vAlign w:val="bottom"/>
            <w:gridSpan w:val="10"/>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Unresolved Staff Comments</w:t>
              </w:r>
            </w:hyperlink>
          </w:p>
        </w:tc>
        <w:tc>
          <w:tcPr>
            <w:tcW w:w="6520" w:type="dxa"/>
            <w:vAlign w:val="bottom"/>
            <w:gridSpan w:val="11"/>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4">
              <w:r>
                <w:rPr>
                  <w:rFonts w:ascii="Arial" w:cs="Arial" w:eastAsia="Arial" w:hAnsi="Arial"/>
                  <w:sz w:val="17"/>
                  <w:szCs w:val="17"/>
                  <w:color w:val="0000EE"/>
                  <w:w w:val="73"/>
                </w:rPr>
                <w:t>14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Item 2.</w:t>
              </w:r>
            </w:hyperlink>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1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6520" w:type="dxa"/>
            <w:vAlign w:val="bottom"/>
            <w:gridSpan w:val="11"/>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4">
              <w:r>
                <w:rPr>
                  <w:rFonts w:ascii="Arial" w:cs="Arial" w:eastAsia="Arial" w:hAnsi="Arial"/>
                  <w:sz w:val="17"/>
                  <w:szCs w:val="17"/>
                  <w:color w:val="0000EE"/>
                  <w:w w:val="73"/>
                </w:rPr>
                <w:t>14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3.</w:t>
              </w:r>
            </w:hyperlink>
          </w:p>
        </w:tc>
        <w:tc>
          <w:tcPr>
            <w:tcW w:w="460" w:type="dxa"/>
            <w:vAlign w:val="bottom"/>
            <w:gridSpan w:val="2"/>
          </w:tcPr>
          <w:p>
            <w:pPr>
              <w:spacing w:after="0"/>
              <w:rPr>
                <w:sz w:val="20"/>
                <w:szCs w:val="20"/>
                <w:color w:val="auto"/>
              </w:rPr>
            </w:pPr>
          </w:p>
        </w:tc>
        <w:tc>
          <w:tcPr>
            <w:tcW w:w="1500" w:type="dxa"/>
            <w:vAlign w:val="bottom"/>
            <w:gridSpan w:val="6"/>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Legal Proceedings</w:t>
              </w:r>
            </w:hyperlink>
          </w:p>
        </w:tc>
        <w:tc>
          <w:tcPr>
            <w:tcW w:w="7280" w:type="dxa"/>
            <w:vAlign w:val="bottom"/>
            <w:gridSpan w:val="15"/>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5">
              <w:r>
                <w:rPr>
                  <w:rFonts w:ascii="Arial" w:cs="Arial" w:eastAsia="Arial" w:hAnsi="Arial"/>
                  <w:sz w:val="17"/>
                  <w:szCs w:val="17"/>
                  <w:color w:val="0000EE"/>
                  <w:w w:val="73"/>
                </w:rPr>
                <w:t>15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4.</w:t>
              </w:r>
            </w:hyperlink>
          </w:p>
        </w:tc>
        <w:tc>
          <w:tcPr>
            <w:tcW w:w="460" w:type="dxa"/>
            <w:vAlign w:val="bottom"/>
            <w:gridSpan w:val="2"/>
          </w:tcPr>
          <w:p>
            <w:pPr>
              <w:spacing w:after="0"/>
              <w:rPr>
                <w:sz w:val="20"/>
                <w:szCs w:val="20"/>
                <w:color w:val="auto"/>
              </w:rPr>
            </w:pPr>
          </w:p>
        </w:tc>
        <w:tc>
          <w:tcPr>
            <w:tcW w:w="1900" w:type="dxa"/>
            <w:vAlign w:val="bottom"/>
            <w:gridSpan w:val="8"/>
          </w:tcPr>
          <w:p>
            <w:pPr>
              <w:spacing w:after="0"/>
              <w:rPr>
                <w:rFonts w:ascii="Arial" w:cs="Arial" w:eastAsia="Arial" w:hAnsi="Arial"/>
                <w:sz w:val="18"/>
                <w:szCs w:val="18"/>
                <w:color w:val="0000EE"/>
                <w:w w:val="96"/>
              </w:rPr>
            </w:pPr>
            <w:hyperlink w:anchor="page15">
              <w:r>
                <w:rPr>
                  <w:rFonts w:ascii="Arial" w:cs="Arial" w:eastAsia="Arial" w:hAnsi="Arial"/>
                  <w:sz w:val="18"/>
                  <w:szCs w:val="18"/>
                  <w:color w:val="0000EE"/>
                  <w:w w:val="96"/>
                </w:rPr>
                <w:t>Mine Safety Disclosures</w:t>
              </w:r>
            </w:hyperlink>
          </w:p>
        </w:tc>
        <w:tc>
          <w:tcPr>
            <w:tcW w:w="6880" w:type="dxa"/>
            <w:vAlign w:val="bottom"/>
            <w:gridSpan w:val="13"/>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15">
              <w:r>
                <w:rPr>
                  <w:rFonts w:ascii="Arial" w:cs="Arial" w:eastAsia="Arial" w:hAnsi="Arial"/>
                  <w:sz w:val="17"/>
                  <w:szCs w:val="17"/>
                  <w:color w:val="0000EE"/>
                  <w:w w:val="73"/>
                </w:rPr>
                <w:t>15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638"/>
        </w:trPr>
        <w:tc>
          <w:tcPr>
            <w:tcW w:w="1020" w:type="dxa"/>
            <w:vAlign w:val="bottom"/>
            <w:gridSpan w:val="3"/>
          </w:tcPr>
          <w:p>
            <w:pPr>
              <w:spacing w:after="0"/>
              <w:rPr>
                <w:sz w:val="20"/>
                <w:szCs w:val="20"/>
                <w:color w:val="auto"/>
              </w:rPr>
            </w:pPr>
            <w:r>
              <w:rPr>
                <w:rFonts w:ascii="Arial" w:cs="Arial" w:eastAsia="Arial" w:hAnsi="Arial"/>
                <w:sz w:val="22"/>
                <w:szCs w:val="22"/>
                <w:b w:val="1"/>
                <w:bCs w:val="1"/>
                <w:color w:val="auto"/>
              </w:rPr>
              <w:t>Part II</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560" w:type="dxa"/>
            <w:vAlign w:val="bottom"/>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Item 5.</w:t>
              </w:r>
            </w:hyperlink>
          </w:p>
        </w:tc>
        <w:tc>
          <w:tcPr>
            <w:tcW w:w="460" w:type="dxa"/>
            <w:vAlign w:val="bottom"/>
            <w:gridSpan w:val="2"/>
          </w:tcPr>
          <w:p>
            <w:pPr>
              <w:spacing w:after="0"/>
              <w:rPr>
                <w:sz w:val="19"/>
                <w:szCs w:val="19"/>
                <w:color w:val="auto"/>
              </w:rPr>
            </w:pPr>
          </w:p>
        </w:tc>
        <w:tc>
          <w:tcPr>
            <w:tcW w:w="878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for the Registrant’s Common Equity, Related Stockholder Matters and Issuer Purchases of Equity</w:t>
              </w:r>
            </w:hyperlink>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Borders>
              <w:top w:val="single" w:sz="8" w:color="0000EE"/>
            </w:tcBorders>
            <w:gridSpan w:val="2"/>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Securities</w:t>
              </w:r>
            </w:hyperlink>
          </w:p>
        </w:tc>
        <w:tc>
          <w:tcPr>
            <w:tcW w:w="7540" w:type="dxa"/>
            <w:vAlign w:val="bottom"/>
            <w:tcBorders>
              <w:top w:val="single" w:sz="8" w:color="0000EE"/>
            </w:tcBorders>
            <w:gridSpan w:val="18"/>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tcPr>
          <w:p>
            <w:pPr>
              <w:jc w:val="center"/>
              <w:ind w:right="160"/>
              <w:spacing w:after="0" w:line="183" w:lineRule="exact"/>
              <w:rPr>
                <w:rFonts w:ascii="Arial" w:cs="Arial" w:eastAsia="Arial" w:hAnsi="Arial"/>
                <w:sz w:val="17"/>
                <w:szCs w:val="17"/>
                <w:color w:val="0000EE"/>
                <w:w w:val="73"/>
              </w:rPr>
            </w:pPr>
            <w:hyperlink w:anchor="page16">
              <w:r>
                <w:rPr>
                  <w:rFonts w:ascii="Arial" w:cs="Arial" w:eastAsia="Arial" w:hAnsi="Arial"/>
                  <w:sz w:val="17"/>
                  <w:szCs w:val="17"/>
                  <w:color w:val="0000EE"/>
                  <w:w w:val="73"/>
                </w:rPr>
                <w:t>16</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Item 6.</w:t>
              </w:r>
            </w:hyperlink>
          </w:p>
        </w:tc>
        <w:tc>
          <w:tcPr>
            <w:tcW w:w="460" w:type="dxa"/>
            <w:vAlign w:val="bottom"/>
            <w:gridSpan w:val="2"/>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Selected Financial Data</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17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7.</w:t>
              </w:r>
            </w:hyperlink>
          </w:p>
        </w:tc>
        <w:tc>
          <w:tcPr>
            <w:tcW w:w="460" w:type="dxa"/>
            <w:vAlign w:val="bottom"/>
            <w:gridSpan w:val="2"/>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18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7A.</w:t>
              </w:r>
            </w:hyperlink>
          </w:p>
        </w:tc>
        <w:tc>
          <w:tcPr>
            <w:tcW w:w="360" w:type="dxa"/>
            <w:vAlign w:val="bottom"/>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Item 8.</w:t>
              </w:r>
            </w:hyperlink>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gridSpan w:val="13"/>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Financial Statements and Supplementary Data</w:t>
              </w:r>
            </w:hyperlink>
          </w:p>
        </w:tc>
        <w:tc>
          <w:tcPr>
            <w:tcW w:w="980" w:type="dxa"/>
            <w:vAlign w:val="bottom"/>
            <w:gridSpan w:val="2"/>
          </w:tcPr>
          <w:p>
            <w:pPr>
              <w:spacing w:after="0"/>
              <w:rPr>
                <w:sz w:val="20"/>
                <w:szCs w:val="20"/>
                <w:color w:val="auto"/>
              </w:rPr>
            </w:pPr>
          </w:p>
        </w:tc>
        <w:tc>
          <w:tcPr>
            <w:tcW w:w="4060" w:type="dxa"/>
            <w:vAlign w:val="bottom"/>
            <w:gridSpan w:val="6"/>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Item 9.</w:t>
              </w:r>
            </w:hyperlink>
          </w:p>
        </w:tc>
        <w:tc>
          <w:tcPr>
            <w:tcW w:w="460" w:type="dxa"/>
            <w:vAlign w:val="bottom"/>
            <w:gridSpan w:val="2"/>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Changes in and Disagreements with Accountants on Accounting and Financial Disclosure</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24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9A.</w:t>
              </w:r>
            </w:hyperlink>
          </w:p>
        </w:tc>
        <w:tc>
          <w:tcPr>
            <w:tcW w:w="360" w:type="dxa"/>
            <w:vAlign w:val="bottom"/>
          </w:tcPr>
          <w:p>
            <w:pPr>
              <w:spacing w:after="0"/>
              <w:rPr>
                <w:sz w:val="20"/>
                <w:szCs w:val="20"/>
                <w:color w:val="auto"/>
              </w:rPr>
            </w:pPr>
          </w:p>
        </w:tc>
        <w:tc>
          <w:tcPr>
            <w:tcW w:w="2000" w:type="dxa"/>
            <w:vAlign w:val="bottom"/>
            <w:gridSpan w:val="9"/>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Controls and Procedures</w:t>
              </w:r>
            </w:hyperlink>
          </w:p>
        </w:tc>
        <w:tc>
          <w:tcPr>
            <w:tcW w:w="6780" w:type="dxa"/>
            <w:vAlign w:val="bottom"/>
            <w:gridSpan w:val="12"/>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24</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9B.</w:t>
              </w:r>
            </w:hyperlink>
          </w:p>
        </w:tc>
        <w:tc>
          <w:tcPr>
            <w:tcW w:w="360" w:type="dxa"/>
            <w:vAlign w:val="bottom"/>
          </w:tcPr>
          <w:p>
            <w:pPr>
              <w:spacing w:after="0"/>
              <w:rPr>
                <w:sz w:val="20"/>
                <w:szCs w:val="20"/>
                <w:color w:val="auto"/>
              </w:rPr>
            </w:pPr>
          </w:p>
        </w:tc>
        <w:tc>
          <w:tcPr>
            <w:tcW w:w="2000" w:type="dxa"/>
            <w:vAlign w:val="bottom"/>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6780" w:type="dxa"/>
            <w:vAlign w:val="bottom"/>
            <w:gridSpan w:val="12"/>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25">
              <w:r>
                <w:rPr>
                  <w:rFonts w:ascii="Arial" w:cs="Arial" w:eastAsia="Arial" w:hAnsi="Arial"/>
                  <w:sz w:val="17"/>
                  <w:szCs w:val="17"/>
                  <w:color w:val="0000EE"/>
                  <w:w w:val="73"/>
                </w:rPr>
                <w:t>25</w:t>
              </w:r>
            </w:hyperlink>
          </w:p>
        </w:tc>
      </w:tr>
      <w:tr>
        <w:trPr>
          <w:trHeight w:val="638"/>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22"/>
                <w:szCs w:val="22"/>
                <w:b w:val="1"/>
                <w:bCs w:val="1"/>
                <w:color w:val="auto"/>
                <w:w w:val="92"/>
              </w:rPr>
              <w:t>Part III</w:t>
            </w:r>
          </w:p>
        </w:tc>
        <w:tc>
          <w:tcPr>
            <w:tcW w:w="3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660" w:type="dxa"/>
            <w:vAlign w:val="bottom"/>
            <w:gridSpan w:val="2"/>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Item 10.</w:t>
              </w:r>
            </w:hyperlink>
          </w:p>
        </w:tc>
        <w:tc>
          <w:tcPr>
            <w:tcW w:w="360" w:type="dxa"/>
            <w:vAlign w:val="bottom"/>
          </w:tcPr>
          <w:p>
            <w:pPr>
              <w:spacing w:after="0"/>
              <w:rPr>
                <w:sz w:val="19"/>
                <w:szCs w:val="19"/>
                <w:color w:val="auto"/>
              </w:rPr>
            </w:pPr>
          </w:p>
        </w:tc>
        <w:tc>
          <w:tcPr>
            <w:tcW w:w="878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Directors, Executive Officers and Corporate Governance</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26</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Item 11.</w:t>
              </w:r>
            </w:hyperlink>
          </w:p>
        </w:tc>
        <w:tc>
          <w:tcPr>
            <w:tcW w:w="360" w:type="dxa"/>
            <w:vAlign w:val="bottom"/>
          </w:tcPr>
          <w:p>
            <w:pPr>
              <w:spacing w:after="0"/>
              <w:rPr>
                <w:sz w:val="20"/>
                <w:szCs w:val="20"/>
                <w:color w:val="auto"/>
              </w:rPr>
            </w:pPr>
          </w:p>
        </w:tc>
        <w:tc>
          <w:tcPr>
            <w:tcW w:w="2000" w:type="dxa"/>
            <w:vAlign w:val="bottom"/>
            <w:gridSpan w:val="9"/>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Executive Compensation</w:t>
              </w:r>
            </w:hyperlink>
          </w:p>
        </w:tc>
        <w:tc>
          <w:tcPr>
            <w:tcW w:w="2500" w:type="dxa"/>
            <w:vAlign w:val="bottom"/>
            <w:gridSpan w:val="5"/>
          </w:tcPr>
          <w:p>
            <w:pPr>
              <w:spacing w:after="0"/>
              <w:rPr>
                <w:sz w:val="20"/>
                <w:szCs w:val="20"/>
                <w:color w:val="auto"/>
              </w:rPr>
            </w:pPr>
          </w:p>
        </w:tc>
        <w:tc>
          <w:tcPr>
            <w:tcW w:w="4280" w:type="dxa"/>
            <w:vAlign w:val="bottom"/>
            <w:gridSpan w:val="7"/>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12.</w:t>
              </w:r>
            </w:hyperlink>
          </w:p>
        </w:tc>
        <w:tc>
          <w:tcPr>
            <w:tcW w:w="360" w:type="dxa"/>
            <w:vAlign w:val="bottom"/>
          </w:tcPr>
          <w:p>
            <w:pPr>
              <w:spacing w:after="0"/>
              <w:rPr>
                <w:sz w:val="20"/>
                <w:szCs w:val="20"/>
                <w:color w:val="auto"/>
              </w:rPr>
            </w:pPr>
          </w:p>
        </w:tc>
        <w:tc>
          <w:tcPr>
            <w:tcW w:w="87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31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13.</w:t>
              </w:r>
            </w:hyperlink>
          </w:p>
        </w:tc>
        <w:tc>
          <w:tcPr>
            <w:tcW w:w="360" w:type="dxa"/>
            <w:vAlign w:val="bottom"/>
          </w:tcPr>
          <w:p>
            <w:pPr>
              <w:spacing w:after="0"/>
              <w:rPr>
                <w:sz w:val="20"/>
                <w:szCs w:val="20"/>
                <w:color w:val="auto"/>
              </w:rPr>
            </w:pPr>
          </w:p>
        </w:tc>
        <w:tc>
          <w:tcPr>
            <w:tcW w:w="802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76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31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14.</w:t>
              </w:r>
            </w:hyperlink>
          </w:p>
        </w:tc>
        <w:tc>
          <w:tcPr>
            <w:tcW w:w="360" w:type="dxa"/>
            <w:vAlign w:val="bottom"/>
          </w:tcPr>
          <w:p>
            <w:pPr>
              <w:spacing w:after="0"/>
              <w:rPr>
                <w:sz w:val="20"/>
                <w:szCs w:val="20"/>
                <w:color w:val="auto"/>
              </w:rPr>
            </w:pPr>
          </w:p>
        </w:tc>
        <w:tc>
          <w:tcPr>
            <w:tcW w:w="608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Principal Accounting Fee and Services</w:t>
              </w:r>
            </w:hyperlink>
          </w:p>
        </w:tc>
        <w:tc>
          <w:tcPr>
            <w:tcW w:w="2700" w:type="dxa"/>
            <w:vAlign w:val="bottom"/>
            <w:gridSpan w:val="5"/>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31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638"/>
        </w:trPr>
        <w:tc>
          <w:tcPr>
            <w:tcW w:w="1020" w:type="dxa"/>
            <w:vAlign w:val="bottom"/>
            <w:gridSpan w:val="3"/>
          </w:tcPr>
          <w:p>
            <w:pPr>
              <w:spacing w:after="0"/>
              <w:rPr>
                <w:sz w:val="20"/>
                <w:szCs w:val="20"/>
                <w:color w:val="auto"/>
              </w:rPr>
            </w:pPr>
            <w:r>
              <w:rPr>
                <w:rFonts w:ascii="Arial" w:cs="Arial" w:eastAsia="Arial" w:hAnsi="Arial"/>
                <w:sz w:val="22"/>
                <w:szCs w:val="22"/>
                <w:b w:val="1"/>
                <w:bCs w:val="1"/>
                <w:color w:val="auto"/>
              </w:rPr>
              <w:t>Part IV</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660" w:type="dxa"/>
            <w:vAlign w:val="bottom"/>
            <w:gridSpan w:val="2"/>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15.</w:t>
              </w:r>
            </w:hyperlink>
          </w:p>
        </w:tc>
        <w:tc>
          <w:tcPr>
            <w:tcW w:w="360" w:type="dxa"/>
            <w:vAlign w:val="bottom"/>
          </w:tcPr>
          <w:p>
            <w:pPr>
              <w:spacing w:after="0"/>
              <w:rPr>
                <w:sz w:val="19"/>
                <w:szCs w:val="19"/>
                <w:color w:val="auto"/>
              </w:rPr>
            </w:pPr>
          </w:p>
        </w:tc>
        <w:tc>
          <w:tcPr>
            <w:tcW w:w="87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 Financial Statement Schedules</w:t>
              </w:r>
            </w:hyperlink>
          </w:p>
        </w:tc>
        <w:tc>
          <w:tcPr>
            <w:tcW w:w="940" w:type="dxa"/>
            <w:vAlign w:val="bottom"/>
            <w:gridSpan w:val="3"/>
          </w:tcPr>
          <w:p>
            <w:pPr>
              <w:jc w:val="center"/>
              <w:ind w:left="328"/>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16.</w:t>
              </w:r>
            </w:hyperlink>
          </w:p>
        </w:tc>
        <w:tc>
          <w:tcPr>
            <w:tcW w:w="360" w:type="dxa"/>
            <w:vAlign w:val="bottom"/>
          </w:tcPr>
          <w:p>
            <w:pPr>
              <w:spacing w:after="0"/>
              <w:rPr>
                <w:sz w:val="20"/>
                <w:szCs w:val="20"/>
                <w:color w:val="auto"/>
              </w:rPr>
            </w:pPr>
          </w:p>
        </w:tc>
        <w:tc>
          <w:tcPr>
            <w:tcW w:w="1680" w:type="dxa"/>
            <w:vAlign w:val="bottom"/>
            <w:gridSpan w:val="7"/>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Form 10-K Summary</w:t>
              </w:r>
            </w:hyperlink>
          </w:p>
        </w:tc>
        <w:tc>
          <w:tcPr>
            <w:tcW w:w="1540" w:type="dxa"/>
            <w:vAlign w:val="bottom"/>
            <w:gridSpan w:val="5"/>
          </w:tcPr>
          <w:p>
            <w:pPr>
              <w:spacing w:after="0"/>
              <w:rPr>
                <w:sz w:val="20"/>
                <w:szCs w:val="20"/>
                <w:color w:val="auto"/>
              </w:rPr>
            </w:pPr>
          </w:p>
        </w:tc>
        <w:tc>
          <w:tcPr>
            <w:tcW w:w="5560" w:type="dxa"/>
            <w:vAlign w:val="bottom"/>
            <w:gridSpan w:val="9"/>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7100" w:type="dxa"/>
            <w:vAlign w:val="bottom"/>
            <w:gridSpan w:val="14"/>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7100" w:type="dxa"/>
            <w:vAlign w:val="bottom"/>
            <w:gridSpan w:val="14"/>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34">
              <w:r>
                <w:rPr>
                  <w:rFonts w:ascii="Arial" w:cs="Arial" w:eastAsia="Arial" w:hAnsi="Arial"/>
                  <w:sz w:val="17"/>
                  <w:szCs w:val="17"/>
                  <w:color w:val="0000EE"/>
                  <w:w w:val="73"/>
                </w:rPr>
                <w:t>34</w:t>
              </w:r>
            </w:hyperlink>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80" w:type="dxa"/>
            <w:vAlign w:val="bottom"/>
            <w:gridSpan w:val="17"/>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4"/>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Exhibit Index</w:t>
              </w:r>
            </w:hyperlink>
          </w:p>
        </w:tc>
        <w:tc>
          <w:tcPr>
            <w:tcW w:w="7780" w:type="dxa"/>
            <w:vAlign w:val="bottom"/>
            <w:gridSpan w:val="17"/>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gridSpan w:val="2"/>
          </w:tcPr>
          <w:p>
            <w:pPr>
              <w:jc w:val="center"/>
              <w:ind w:right="160"/>
              <w:spacing w:after="0"/>
              <w:rPr>
                <w:rFonts w:ascii="Arial" w:cs="Arial" w:eastAsia="Arial" w:hAnsi="Arial"/>
                <w:sz w:val="17"/>
                <w:szCs w:val="17"/>
                <w:color w:val="0000EE"/>
                <w:w w:val="73"/>
              </w:rPr>
            </w:pPr>
            <w:hyperlink w:anchor="page67">
              <w:r>
                <w:rPr>
                  <w:rFonts w:ascii="Arial" w:cs="Arial" w:eastAsia="Arial" w:hAnsi="Arial"/>
                  <w:sz w:val="17"/>
                  <w:szCs w:val="17"/>
                  <w:color w:val="0000EE"/>
                  <w:w w:val="73"/>
                </w:rPr>
                <w:t>67</w:t>
              </w:r>
            </w:hyperlink>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0740"/>
          </w:cols>
          <w:pgMar w:left="300" w:top="576"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Development of Business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Gentex Corporation (the "Company") designs and manufactures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was organized as a Michigan corporation in 1974 to manufacture smoke detectors, a product line that has since evolved to include a variety of fire protection products. In 1982, the Company introduced an interior electro-mechanical automatic-dimming rearview mirror as an alternative to the manual day/night rearview mirrors for automotive applications. In 1987, the Company introduced an interior electrochromic automatic-dimming rearview mirror for automotive applications. In 1991, the Company introduced an exterior electrochromic automatic-dimming rearview mirror for automotive applications. In 1997, the Company began making volume shipments of three new exterior mirror sub-assembly products: thin glass flat, convex and aspheric. In 2005, the Company began making volume shipments of its new bezel-free exterior automatic-dimming mirror. In 2005, the Company announced, and in 2010 began delivering electrochromic dimmable aircraft windows for the aviation industry. In 2013, the Company acquired HomeLink</w:t>
      </w:r>
      <w:r>
        <w:rPr>
          <w:rFonts w:ascii="Arial" w:cs="Arial" w:eastAsia="Arial" w:hAnsi="Arial"/>
          <w:sz w:val="21"/>
          <w:szCs w:val="21"/>
          <w:color w:val="auto"/>
          <w:vertAlign w:val="superscript"/>
        </w:rPr>
        <w:t>®</w:t>
      </w:r>
      <w:r>
        <w:rPr>
          <w:rFonts w:ascii="Arial" w:cs="Arial" w:eastAsia="Arial" w:hAnsi="Arial"/>
          <w:sz w:val="18"/>
          <w:szCs w:val="18"/>
          <w:color w:val="auto"/>
        </w:rPr>
        <w:t>,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had been, since 2003, integrating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into its interior automatic-dimming rearview mirrors. In 2015, the Company began making shipments of the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which is an on-demand, mirror-borne LCD display that streams live, panoramic video of the vehicle's rearward view in order to improve driver rear vision. Also in 2015, the Company signed an exclusive agreement in the ordinary course of business with TransCore LLP to integrate TransCore's toll module technology into the vehicle in a first-to-market application referred to as Integrated Toll Module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"ITM"</w:t>
      </w:r>
      <w:r>
        <w:rPr>
          <w:rFonts w:ascii="Arial" w:cs="Arial" w:eastAsia="Arial" w:hAnsi="Arial"/>
          <w:sz w:val="21"/>
          <w:szCs w:val="21"/>
          <w:color w:val="auto"/>
          <w:vertAlign w:val="superscript"/>
        </w:rPr>
        <w:t>®</w:t>
      </w:r>
      <w:r>
        <w:rPr>
          <w:rFonts w:ascii="Arial" w:cs="Arial" w:eastAsia="Arial" w:hAnsi="Arial"/>
          <w:sz w:val="18"/>
          <w:szCs w:val="18"/>
          <w:color w:val="auto"/>
        </w:rPr>
        <w:t>. The interior mirror is an optimal location for a vehicle-integrated toll transponder and it eliminates the need to affix multiple toll tags to the windshield.</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2017, the Company announced an agreement entered into during the ordinary course of business with VOXX to become the exclusive aftermarket distributor of the Gentex Aftermarket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("FDM"</w:t>
      </w:r>
      <w:r>
        <w:rPr>
          <w:rFonts w:ascii="Arial" w:cs="Arial" w:eastAsia="Arial" w:hAnsi="Arial"/>
          <w:sz w:val="21"/>
          <w:szCs w:val="21"/>
          <w:color w:val="auto"/>
          <w:vertAlign w:val="superscript"/>
        </w:rPr>
        <w:t>®</w:t>
      </w:r>
      <w:r>
        <w:rPr>
          <w:rFonts w:ascii="Arial" w:cs="Arial" w:eastAsia="Arial" w:hAnsi="Arial"/>
          <w:sz w:val="18"/>
          <w:szCs w:val="18"/>
          <w:color w:val="auto"/>
        </w:rPr>
        <w:t>)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The biometric system will allow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 iris-scanning biometric technology in automotive applications.</w:t>
      </w:r>
    </w:p>
    <w:p>
      <w:pPr>
        <w:spacing w:after="0" w:line="2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January 2018, the Company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called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is an all-new home automation app that pairs with the vehicle and allows drivers to operate home automation devices from the vehicle's center console display. Drivers of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ectPr>
          <w:pgSz w:w="11900" w:h="16838" w:orient="portrait"/>
          <w:cols w:equalWidth="0" w:num="1">
            <w:col w:w="11420"/>
          </w:cols>
          <w:pgMar w:left="240" w:top="792" w:right="239" w:bottom="1440" w:gutter="0" w:footer="0" w:header="0"/>
        </w:sectPr>
      </w:pPr>
    </w:p>
    <w:bookmarkStart w:id="3" w:name="page4"/>
    <w:bookmarkEnd w:id="3"/>
    <w:p>
      <w:pPr>
        <w:spacing w:after="0" w:line="262" w:lineRule="auto"/>
        <w:rPr>
          <w:sz w:val="20"/>
          <w:szCs w:val="20"/>
          <w:color w:val="auto"/>
        </w:rPr>
      </w:pPr>
      <w:r>
        <w:rPr>
          <w:rFonts w:ascii="Arial" w:cs="Arial" w:eastAsia="Arial" w:hAnsi="Arial"/>
          <w:sz w:val="18"/>
          <w:szCs w:val="18"/>
          <w:color w:val="auto"/>
        </w:rPr>
        <w:t>In January 2019, the Company announced that its latest generation of dimmable aircraft windows will be offered as optional content on the new Boeing 777X.</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Automotive revenues represent approximately 98% of the Company's total revenue in 2018, consisting of interior and exterior electrochromic automatic-dimming rearview mirrors and automotive electronics.</w:t>
      </w:r>
    </w:p>
    <w:p>
      <w:pPr>
        <w:spacing w:after="0" w:line="33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Narrative Description of Business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designs and manufactures automatic-dimming and non-automatic-dimming rearview mirrors and electronics for the automotive industry, dimmable aircraft windows for the aviation industry, and commercial smoke alarms and signaling devices for the fire protection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Products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i w:val="1"/>
          <w:iCs w:val="1"/>
          <w:u w:val="single" w:color="auto"/>
          <w:color w:val="auto"/>
        </w:rPr>
        <w:t>Automotive Rearview Mirrors and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applications are the largest business segment for the Company, consisting of interior</w:t>
      </w:r>
      <w:r>
        <w:rPr>
          <w:rFonts w:ascii="Arial" w:cs="Arial" w:eastAsia="Arial" w:hAnsi="Arial"/>
          <w:sz w:val="18"/>
          <w:szCs w:val="18"/>
          <w:i w:val="1"/>
          <w:iCs w:val="1"/>
          <w:color w:val="auto"/>
        </w:rPr>
        <w:t xml:space="preserve"> </w:t>
      </w:r>
      <w:r>
        <w:rPr>
          <w:rFonts w:ascii="Arial" w:cs="Arial" w:eastAsia="Arial" w:hAnsi="Arial"/>
          <w:sz w:val="18"/>
          <w:szCs w:val="18"/>
          <w:color w:val="auto"/>
        </w:rPr>
        <w:t>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and a wide variety of displays. The Company also ships interior non-automatic-dimming rearview mirrors with and without features.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manufactures other automotive electronics products both inside and outside of the rearview mirror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 Many of the Company's newer features can be located either in the rearview mirror or other locations in the vehicle. Additionally, as the Company expands our Full Display Mirror application, rearward facing video cameras are also being produced and sold.</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produces rearview mirrors and electronics for automotive passenger cars, light trucks, pickup trucks, sport utility vehicles, and vans for OEMs worldwide, tier one automotive mirror manufacturers worldwide, and various aftermarket and accessory customers. Automotive rearview mirrors and electronics accounted for 98% of the Company’s consolidated net sales in 2018.</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the leading manufacturer of electrochromic automatic-dimming rearview mirrors in the world, and is the dominant supplier to the automotive industry. Competitors for automotive rearview mirrors include Magna International, YH America, Inc., BYD Auto Company, Murakami Kaimeido Company, Steelmate, Tokai Rika Company, Peak Power Automotive, Adayo, Brandmotion, Echomaster, MEKRA Group, KSource Beijing Sincode, and the China automotive aftermarket. The Company also supplies electrochromic automatic-dimming rearview mirrors to certain of these rearview mirror competitors.</w:t>
      </w:r>
    </w:p>
    <w:p>
      <w:pPr>
        <w:spacing w:after="0" w:line="1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u w:val="single" w:color="auto"/>
          <w:color w:val="auto"/>
        </w:rPr>
        <w:t>Automotive Rearview Mirrors and Electronics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continually seeks to develop new products and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to introduce additional advanced-feature automatic-dimming mirrors. Advanced-feature automatic-dimming mirrors currently being offered by the Company include one or more of the following features: SmartBeam</w:t>
      </w:r>
      <w:r>
        <w:rPr>
          <w:rFonts w:ascii="Arial" w:cs="Arial" w:eastAsia="Arial" w:hAnsi="Arial"/>
          <w:sz w:val="21"/>
          <w:szCs w:val="21"/>
          <w:color w:val="auto"/>
          <w:vertAlign w:val="superscript"/>
        </w:rPr>
        <w:t>®</w:t>
      </w:r>
      <w:r>
        <w:rPr>
          <w:rFonts w:ascii="Arial" w:cs="Arial" w:eastAsia="Arial" w:hAnsi="Arial"/>
          <w:sz w:val="18"/>
          <w:szCs w:val="18"/>
          <w:color w:val="auto"/>
        </w:rPr>
        <w:t>, HomeLink</w:t>
      </w:r>
      <w:r>
        <w:rPr>
          <w:rFonts w:ascii="Arial" w:cs="Arial" w:eastAsia="Arial" w:hAnsi="Arial"/>
          <w:sz w:val="21"/>
          <w:szCs w:val="21"/>
          <w:color w:val="auto"/>
          <w:vertAlign w:val="superscript"/>
        </w:rPr>
        <w:t>®</w:t>
      </w:r>
      <w:r>
        <w:rPr>
          <w:rFonts w:ascii="Arial" w:cs="Arial" w:eastAsia="Arial" w:hAnsi="Arial"/>
          <w:sz w:val="18"/>
          <w:szCs w:val="18"/>
          <w:color w:val="auto"/>
        </w:rPr>
        <w:t>,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 frameless mirror designs, LED map lamps, compass and temperature displays, telematics,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hands free communication, as well as Rear Camera Display ("RCD") interior mirrors and FDM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interior mirrors, exterior turn signals, side blind zone indicators and various other exterior mirror features that improve safety and field of view. Advance features currently in development include: biometric authentication systems, and camera monitoring systems ("CMS"). Other automotive products currently being developed include large area dimmiable devices.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4" w:name="page5"/>
    <w:bookmarkEnd w:id="4"/>
    <w:p>
      <w:pPr>
        <w:jc w:val="both"/>
        <w:spacing w:after="0" w:line="258" w:lineRule="auto"/>
        <w:rPr>
          <w:sz w:val="20"/>
          <w:szCs w:val="20"/>
          <w:color w:val="auto"/>
        </w:rPr>
      </w:pPr>
      <w:r>
        <w:rPr>
          <w:rFonts w:ascii="Arial" w:cs="Arial" w:eastAsia="Arial" w:hAnsi="Arial"/>
          <w:sz w:val="18"/>
          <w:szCs w:val="18"/>
          <w:i w:val="1"/>
          <w:iCs w:val="1"/>
          <w:u w:val="single" w:color="auto"/>
          <w:color w:val="auto"/>
        </w:rPr>
        <w:t>Automotive Rearview Mirrors and Electronics 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 America, Europe and Asia, the Company markets its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currently supplying mirrors and electronic modules for Aston Martin, BMW Group, Daimler Group, FCA Group, Ford Motor Co., Geely/Volvo, General Motors, Honda Motor Co., Hyundai/Kia, Jaguar/Land Rover, Karma Automotive, Mazda, Mahindra &amp; Mahindra, McLaren, PSA/Opel Group, Renault/Nissan/Mitsubishi Group, Subaru, Suzuki, Tesla, Toyota Motor Company, Volkswagen Group, as well as, shipments to domestic China manufacturers (Borgward, BYD, Chery, Dongfeng, Great Wall, Jianghuai, NextEV, and SAIC).</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automatic-dimming mirror unit shipment mix by region has fluctuated over the past ten years. The following is a breakdown of unit shipment mix by region in the 2018, 2017, 2016, and 2008 calendar years: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20" w:type="dxa"/>
            <w:vAlign w:val="bottom"/>
            <w:gridSpan w:val="2"/>
            <w:shd w:val="clear" w:color="auto" w:fill="CCEEFF"/>
          </w:tcPr>
          <w:p>
            <w:pPr>
              <w:ind w:left="4400"/>
              <w:spacing w:after="0"/>
              <w:rPr>
                <w:sz w:val="20"/>
                <w:szCs w:val="20"/>
                <w:color w:val="auto"/>
              </w:rPr>
            </w:pPr>
            <w:r>
              <w:rPr>
                <w:rFonts w:ascii="Arial" w:cs="Arial" w:eastAsia="Arial" w:hAnsi="Arial"/>
                <w:sz w:val="18"/>
                <w:szCs w:val="18"/>
                <w:b w:val="1"/>
                <w:bCs w:val="1"/>
                <w:color w:val="auto"/>
              </w:rPr>
              <w:t>2018</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2008</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Domestic</w:t>
            </w:r>
          </w:p>
        </w:tc>
        <w:tc>
          <w:tcPr>
            <w:tcW w:w="1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Transplants</w:t>
            </w:r>
            <w:r>
              <w:rPr>
                <w:rFonts w:ascii="Arial" w:cs="Arial" w:eastAsia="Arial" w:hAnsi="Arial"/>
                <w:sz w:val="21"/>
                <w:szCs w:val="21"/>
                <w:b w:val="1"/>
                <w:bCs w:val="1"/>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1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Europe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Asia-Pacific</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3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European and Asian based automakers with automotive production plants in North America.</w:t>
      </w:r>
    </w:p>
    <w:p>
      <w:pPr>
        <w:spacing w:after="0" w:line="14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Revenues by major geographic area are disclosed in </w:t>
      </w:r>
      <w:hyperlink w:anchor="page59">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Historically, new safety and comfort and convenience options have entered the original equipment automotive market at relatively low rates on “top of the line” or luxury model automobiles. As the selection rates for the options on the luxury models increase, they generally become available on more models throughout the product line. The ongoing trend of domestic and foreign automakers is to offer several options as a package. The Company believes that its automatic-dimming mirrors with and without advanced features will continue to be offered in more option packages, and continue to be available on more small and mid-size vehicle models as consumer awareness of these safety and comfort and convenience features continues to grow, and as the Company continues its efforts to make automakers aware of the Company's technology available on competitive vehicle platforms.</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u w:val="single" w:color="auto"/>
          <w:color w:val="auto"/>
        </w:rPr>
        <w:t>Automotive Rearview Mirrors and Electronics 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continues to be the leading producer of automatic-dimming rearview</w:t>
      </w:r>
      <w:r>
        <w:rPr>
          <w:rFonts w:ascii="Arial" w:cs="Arial" w:eastAsia="Arial" w:hAnsi="Arial"/>
          <w:sz w:val="18"/>
          <w:szCs w:val="18"/>
          <w:i w:val="1"/>
          <w:iCs w:val="1"/>
          <w:color w:val="auto"/>
        </w:rPr>
        <w:t xml:space="preserve"> </w:t>
      </w:r>
      <w:r>
        <w:rPr>
          <w:rFonts w:ascii="Arial" w:cs="Arial" w:eastAsia="Arial" w:hAnsi="Arial"/>
          <w:sz w:val="18"/>
          <w:szCs w:val="18"/>
          <w:color w:val="auto"/>
        </w:rPr>
        <w:t>mirrors in the world and currently is the dominant supplier to the automotive industry with an approximate 92% market share worldwide in 2018 and an approximate 93% market share in 2017. While the Company believes it will retain a dominant position in automatic-dimming rearview mirrors for some time, another U.S. manufacturer, Magna Mirrors, a division of Magna International Inc. ("Magna"), continues to compete for sales to domestic and foreign vehicle manufacturers and is supplying a number of domestic and foreign vehicle models with its versions of auto-dimming mirrors and may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a small number of Chinese domestic mirror suppliers that are marketing and selling automatic-dimming rearview mirrors, in low volume, within the domestic China automotive market. The Company currently believes, however, that these Chinese domestic mirror suppliers do not at this time meet global automotive grade specifications. Additionally, other companies have demonstrated products that are competitive to the Company's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and the Company acknowledges that dimming device (e.g., electrochromic) technology is the subject of research and development efforts by numerous third parties.</w:t>
      </w:r>
    </w:p>
    <w:p>
      <w:pPr>
        <w:spacing w:after="0" w:line="13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Through the Company's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function, the Company is the sole supplier of integrated wireless in-vehicle communication devices to the automotive industry for communication with garages, gates, parking barriers, and certain home automation products.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business continues to be awarded to the Company either through its automatic-dimming rearview mirrors, or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electronic modules which are integrated into other areas of the automobile (i.e. visors, overhead consoles, and center consoles). In 2014, the Company announced HomeLink</w:t>
      </w:r>
      <w:r>
        <w:rPr>
          <w:rFonts w:ascii="Arial" w:cs="Arial" w:eastAsia="Arial" w:hAnsi="Arial"/>
          <w:sz w:val="21"/>
          <w:szCs w:val="21"/>
          <w:color w:val="auto"/>
          <w:vertAlign w:val="superscript"/>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15" w:right="2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18"/>
          <w:szCs w:val="18"/>
          <w:color w:val="auto"/>
        </w:rPr>
        <w:t>applications for alternative automobiles and vehicle types which include but are not limited to motorcycles, mopeds, snowmobiles, tractors, combines, lawn mowers, loaders, backhoes and golf carts. These product developments will utilize the market leading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 system of communication to the home, door locks, garage doors, gates, lights, security systems, and an increasing array of home automation products. The Company believes it is being awarded virtually all business in this area and that while the Company believes it continues to maintain a competitive advantage in this area, the increased focus on vehicle and home connectivity through other devices represents a competitive threat to this business. The Company announced in January 2018 the launch of HomeLink Connect™, an extension of the Company's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feature and an all-new home automation app that pairs with the vehicle and allows drivers to operate home automation devices from the vehicle’s center console display and/or rearview mirror controls. Drivers of HomeLink Connect™ compatible vehicles will be able to download and configure the app to control a myriad of individual home automation devices, or create entire home automation settings.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such products. While automatic-dimming mirrors using other technologies may eliminate glare, the Company currently believes that each of these other technologies have inherent cost or performance limitations as compared to the Company's technologies.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the Company continues to expand its automatic-dimming mirror products with additional advanced electronic features and expands the capabilities of its CMOS imager technology for additional features (i.e. SmartBeam</w:t>
      </w:r>
      <w:r>
        <w:rPr>
          <w:rFonts w:ascii="Arial" w:cs="Arial" w:eastAsia="Arial" w:hAnsi="Arial"/>
          <w:sz w:val="21"/>
          <w:szCs w:val="21"/>
          <w:color w:val="auto"/>
          <w:vertAlign w:val="superscript"/>
        </w:rPr>
        <w:t>®</w:t>
      </w:r>
      <w:r>
        <w:rPr>
          <w:rFonts w:ascii="Arial" w:cs="Arial" w:eastAsia="Arial" w:hAnsi="Arial"/>
          <w:sz w:val="18"/>
          <w:szCs w:val="18"/>
          <w:color w:val="auto"/>
        </w:rPr>
        <w:t>, FDM</w:t>
      </w:r>
      <w:r>
        <w:rPr>
          <w:rFonts w:ascii="Arial" w:cs="Arial" w:eastAsia="Arial" w:hAnsi="Arial"/>
          <w:sz w:val="21"/>
          <w:szCs w:val="21"/>
          <w:color w:val="auto"/>
          <w:vertAlign w:val="superscript"/>
        </w:rPr>
        <w:t>®</w:t>
      </w:r>
      <w:r>
        <w:rPr>
          <w:rFonts w:ascii="Arial" w:cs="Arial" w:eastAsia="Arial" w:hAnsi="Arial"/>
          <w:sz w:val="18"/>
          <w:szCs w:val="18"/>
          <w:color w:val="auto"/>
        </w:rPr>
        <w:t>, driver-assist features, rear video camera, etc.), as well as continuing to expand the capabilities of the Company's CMS technology, the Company recognizes that it is competing with considerably larger and more geographically diverse electronics companies that could present a formidable competitive threat in the future as new products/features and technologies are brought to market.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Dimmable Aircraft Windows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continues to manufacture and sell variable dimmable windows for the passenger compartment on the Boeing 787 Dreamliner Series of Aircraft. In January 2019, the Company announced that it would be offering, as optional content, its latest generation of variable dimmable windows on the Boeing 777X aircraft. The product is scheduled to begin shipping during calendar year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markets its variable dimmable windows to aircraft manufacturers and airline operators globally.</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variable dimmable aircraft windows are the first commercialized product of its kind for original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in the aircraft industry. Other manufacturers are working to develop and sell competing products utilizing other technology in the aircraft industry for aftermarket or original equipment installation.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success with electrochromic technology provides potential opportunities and use cases for other commercial applications, which the Company continues to explore.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Fire Protection Products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manufactures photoelectric smoke detectors and alarms, visual signaling alarms, photoelectric smoke detectors and electrochemical carbon monoxide alarms, electrochemical carbon monoxide detectors and alarms, audible and visual signaling alarms, and bells and speakers for use in fire detection systems in office buildings, hotels, and other commercial and residential establishments.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fire protection products are sold directly to fire protection and security product distributors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brand name, to electrical wholesale houses, and to original equipment manufacturers of fire protection systems under both the Company’s brand name and private labels. The Company markets its fire protection products primarily in North America, but also globally through regional sales managers and manufacturer representative organizations.</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fire protection products industry is highly competitive in terms of both the smoke detectors and signaling appliance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estimates that it competes principally with eight manufacturers of smoke detection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3" w:right="2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8"/>
          <w:szCs w:val="18"/>
          <w:color w:val="auto"/>
        </w:rPr>
        <w:t>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 and Patents</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owns 38 U.S. Registered Trademarks and 635 U.S. Patents, of which 31 Registered Trademarks and 514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These patents expire at various times between 2019 and 2037. The Company believes that these patents provide the Company a competitive advantage in its markets, although no single patent is necessarily required for the success of the Company's products.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also owns 309 foreign Registered Trademarks and 787 foreign patents, of which 292 Registered Trademarks and 768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These patents expire at various times between 2019 and 2043. The Company believes that the competitive advantage derived in the relevant foreign markets for these patents is comparable to that experienced in the U.S. market.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50 U.S. Patents and 6 foreign patents that relate specifically to the Company’s variable dimmable windows.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 expire at various times between 2020 and 2037, while the foreign patents expire at various times between 2021 and 2027.</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owns 7 U.S. Registered Trademarks, 17 U.S. Patents, 17 foreign Registered Trademarks, and 13 foreign patents that relate to the Company’s fire protection products. The U.S. Patents expire at various times between 2019 and 2035, while the foreign patents expire at various times between 2020 and 2030. The Company believes that the competitive advantage provided by these patents is relatively small.</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has in process 294 U.S. patent applications, 418 foreign patent applications, and 58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Company periodically obtains intellectual property rights, in the ordinary course of the Company's business, to strengthen its intellectual property portfolio and minimize potential risks of infringement.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considers itself to be engaged in the manufacture and sale of automatic-dimming rearview mirrors, non-automatic-dimming rearview mirrors and electronics for the automotive industry, variable dimmable windows for the aviation industry, and commercial smoke alarms and signaling devices for the fire protection industry. The Company has several important customers within the automotive industry, three of which each account for 10% or more of the Company's net sales in 2018 (including direct sales to OEM customers and sales through their Tier 1 suppliers): Volkswagen Group, Toyota Motor Company, and Daimler Group. The loss of any of these customers (or certain other significant customers) could have a material adverse effect on the Company's business, financial condition, and/or results of operations. The Company’s backlog of unshipped orders was $471.5 million and $463.3 million at February 1, 2019, and 2018, respectively.</w:t>
      </w:r>
    </w:p>
    <w:p>
      <w:pPr>
        <w:spacing w:after="0" w:line="126"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As of February 1, 2019, the Company had 5,707 full-time employees. None of the Company’s employees are represented by a labor union or other collective bargaining representative. The Company believes that its relations with its employees are in good standing. See "Executive Officers of the Registrant" in </w:t>
      </w:r>
      <w:hyperlink w:anchor="page26">
        <w:r>
          <w:rPr>
            <w:rFonts w:ascii="Arial" w:cs="Arial" w:eastAsia="Arial" w:hAnsi="Arial"/>
            <w:sz w:val="18"/>
            <w:szCs w:val="18"/>
            <w:u w:val="single" w:color="auto"/>
            <w:color w:val="0000EE"/>
          </w:rPr>
          <w:t>Part III, Item 10</w:t>
        </w:r>
      </w:hyperlink>
      <w:r>
        <w:rPr>
          <w:rFonts w:ascii="Arial" w:cs="Arial" w:eastAsia="Arial" w:hAnsi="Arial"/>
          <w:sz w:val="18"/>
          <w:szCs w:val="18"/>
          <w:color w:val="auto"/>
        </w:rPr>
        <w:t>.</w:t>
      </w:r>
    </w:p>
    <w:p>
      <w:pPr>
        <w:spacing w:after="0" w:line="12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33" w:right="239" w:bottom="1440" w:gutter="0" w:footer="0" w:header="0"/>
        </w:sectPr>
      </w:pPr>
    </w:p>
    <w:bookmarkStart w:id="7" w:name="page8"/>
    <w:bookmarkEnd w:id="7"/>
    <w:p>
      <w:pPr>
        <w:jc w:val="both"/>
        <w:ind w:left="660"/>
        <w:spacing w:after="0" w:line="253"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all amendments to those reports, will be made available, free of charge, through the Investor Information section of the Company’s Internet website (</w:t>
      </w:r>
      <w:r>
        <w:rPr>
          <w:rFonts w:ascii="Arial" w:cs="Arial" w:eastAsia="Arial" w:hAnsi="Arial"/>
          <w:sz w:val="18"/>
          <w:szCs w:val="18"/>
          <w:u w:val="single" w:color="auto"/>
          <w:color w:val="auto"/>
        </w:rPr>
        <w:t>http://ir.gentex.com</w:t>
      </w:r>
      <w:r>
        <w:rPr>
          <w:rFonts w:ascii="Arial" w:cs="Arial" w:eastAsia="Arial" w:hAnsi="Arial"/>
          <w:sz w:val="18"/>
          <w:szCs w:val="18"/>
          <w:color w:val="auto"/>
        </w:rPr>
        <w:t>) as soon as practicable after such materials are electronically filed with or furnished to the Securities and Exchange Commission ("SEC"). The SEC maintains an Internet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issues that a company files electronically with the SEC.</w:t>
      </w:r>
    </w:p>
    <w:p>
      <w:pPr>
        <w:spacing w:after="0" w:line="13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tab/>
        <w:t>Risk Factors.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u w:val="single" w:color="auto"/>
          <w:color w:val="auto"/>
        </w:rPr>
        <w:t>Safe Harbor for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 contains forward-looking statements within the meaning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changes in product mix; raw material and electronic component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and interpretations; import and export duty and tariff rates in or with the countries with which we conduct business; and negative impact of any governmental investigations and associated litigations including securities litigations relating to the conduct of our business.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Forward-looking statements include content supplied by IHS Markit Light Vehicle Production Forecast (January 17, 2019) (http://www.gentex.com/ forecast-disclaimer).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factors, together with all other information provided in this Annual Report on Form 10-K should be carefully considered.</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Automotive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within the auto industry comprise approximately 98% of our net sales. The automotive industry has always</w:t>
      </w:r>
      <w:r>
        <w:rPr>
          <w:rFonts w:ascii="Arial" w:cs="Arial" w:eastAsia="Arial" w:hAnsi="Arial"/>
          <w:sz w:val="18"/>
          <w:szCs w:val="18"/>
          <w:i w:val="1"/>
          <w:iCs w:val="1"/>
          <w:color w:val="auto"/>
        </w:rPr>
        <w:t xml:space="preserve"> </w:t>
      </w:r>
      <w:r>
        <w:rPr>
          <w:rFonts w:ascii="Arial" w:cs="Arial" w:eastAsia="Arial" w:hAnsi="Arial"/>
          <w:sz w:val="18"/>
          <w:szCs w:val="18"/>
          <w:color w:val="auto"/>
        </w:rPr>
        <w:t>been cyclical and highly impacted by levels of economic activity. The current economic environment, while stable, continues to be uncertain and continues to cause increased financial and production stresses evidenced by volatile production levels, volatility with customer orders, supplier part and material shortages, automotive and Tier 1 supplier plant shutdowns, customer and supplier financial issues/bankruptcies, commodity material cost increases and/or supply constraints, consumer vehicle preference shifts, where we may have a lower penetration rate and lower content per vehicle, and supply chain stresses. If automotive customers (including their Tier 1 suppliers) and suppliers experience plant shutdowns, work stoppages, strikes, part shortages, etc., it could disrupt our shipments to these customers, which could adversely affect our business, financial condition, and/or results of operations.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Automakers continue to experience volatility and uncertainty in executing planned new programs which can result in delays or cancellations of new vehicle platforms, package configurations, and inaccurate volume forecasts. This makes it challenging for us to forecast future sales and manage costs, inventory, capital, engineering, research and development, and human resource investments.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Key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 number of large customers, including three automotive customers which each account for 10% or more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in 2018 (including direct sales to OEM customers and sales through their Tier 1 suppliers): Volkswagen Group, Toyota Motor Company, and Daimler Group.The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Pricing Pressures.</w:t>
      </w:r>
      <w:r>
        <w:rPr>
          <w:rFonts w:ascii="Arial" w:cs="Arial" w:eastAsia="Arial" w:hAnsi="Arial"/>
          <w:sz w:val="18"/>
          <w:szCs w:val="18"/>
          <w:i w:val="1"/>
          <w:iCs w:val="1"/>
          <w:color w:val="auto"/>
        </w:rPr>
        <w:t xml:space="preserve"> </w:t>
      </w:r>
      <w:r>
        <w:rPr>
          <w:rFonts w:ascii="Arial" w:cs="Arial" w:eastAsia="Arial" w:hAnsi="Arial"/>
          <w:sz w:val="18"/>
          <w:szCs w:val="18"/>
          <w:color w:val="auto"/>
        </w:rPr>
        <w:t>We continue to experience on-going pricing pressures from our automotive customers and competitors, which have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and which will continue to affect our profit margins to the extent that we are unable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33" w:right="23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8"/>
          <w:szCs w:val="18"/>
          <w:color w:val="auto"/>
        </w:rPr>
        <w:t>to offset the price reductions with engineering and purchasing cost reductions, productivity improvements, increases in unit shipments of mirrors and electronics with advanced features, each of which pose an ongoing challenge, which could adversely impact our business, financial condition, and/or results of operations.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Tariffs.</w:t>
      </w:r>
      <w:r>
        <w:rPr>
          <w:rFonts w:ascii="Arial" w:cs="Arial" w:eastAsia="Arial" w:hAnsi="Arial"/>
          <w:sz w:val="18"/>
          <w:szCs w:val="18"/>
          <w:i w:val="1"/>
          <w:iCs w:val="1"/>
          <w:color w:val="auto"/>
        </w:rPr>
        <w:t xml:space="preserve"> </w:t>
      </w:r>
      <w:r>
        <w:rPr>
          <w:rFonts w:ascii="Arial" w:cs="Arial" w:eastAsia="Arial" w:hAnsi="Arial"/>
          <w:sz w:val="18"/>
          <w:szCs w:val="18"/>
          <w:color w:val="auto"/>
        </w:rPr>
        <w:t>The geopolitical environment between the Unites States and other countries, including China and the European Union, continues to</w:t>
      </w:r>
      <w:r>
        <w:rPr>
          <w:rFonts w:ascii="Arial" w:cs="Arial" w:eastAsia="Arial" w:hAnsi="Arial"/>
          <w:sz w:val="18"/>
          <w:szCs w:val="18"/>
          <w:i w:val="1"/>
          <w:iCs w:val="1"/>
          <w:color w:val="auto"/>
        </w:rPr>
        <w:t xml:space="preserve"> </w:t>
      </w:r>
      <w:r>
        <w:rPr>
          <w:rFonts w:ascii="Arial" w:cs="Arial" w:eastAsia="Arial" w:hAnsi="Arial"/>
          <w:sz w:val="18"/>
          <w:szCs w:val="18"/>
          <w:color w:val="auto"/>
        </w:rPr>
        <w:t>cause uncertainty on tariffs. Currently, it is expected that the Unites States will increase tariffs on March 1, 2019 with respect to certain good and materials imported from China, and it is further expected, that China will also increase certain tariffs on goods and materials imported from the United States, unless the two countries enter into a new trade agreement. The continuance of these tariffs and/or escalation of disputes in the geopolitical environment could interfere with automotive supply chains and could have a continued negative impact on the Company’s business, financial condition, and/or results of operations.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that Magna Mirrors, our main competitor, may have considerably more resources available to it, and may 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formidable competitive threat.</w:t>
      </w:r>
    </w:p>
    <w:p>
      <w:pPr>
        <w:spacing w:after="0" w:line="177"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Additionally, other companies have demonstrated products that are competitive to our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and we acknowledge that dimming device (e.g., electrochromic) technology is the subject of research and development efforts by numerous third parties.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31, 2014, the NHTSA issued a final rule requiring rearview video systems in U.S. light vehicles by May 1, 2018, with a phase-in schedule requirement of 10% of vehicles after May 2016, 40% of vehicles after May 2017, and 100% of vehicles after May 2018. The Company’s RCD mirror application meets all the technical requirements of the NHTSA rule when installed in a vehicle and appropriately paired with an OEM specified camera. The NHTSA rule that rearview video systems are required has increased competition for systems capable of rear video in a variety of locations in the vehicle. Our RCD mirror application has and will continue to be affected by this increased competition.</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is a driver-assist feature for headlamp lighting control that competes with other multiple-function driver-assist features that include headlamp lighting control as one of the multiple functions. While we believe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low cost solution for a safety feature that makes nighttime driving safer by maximizing a vehicle's high-beam usage, competition from multiple-function driver-assist products has already and could continue to impact the success of SmartBeam</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to allow automakers to use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In the second half of 2018, the Office of Management and Budget published its regulatory and de-regulatory agenda, which included a reference to a pre-rule stage for NHTSA related to amending the existing rear visibility standard to allow the option for camera-monitor systems to replace mirrors. Also, NHTSA published a report dated October 2018 related to camera monitoring systems for outside mirror replacements.</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 systems to replace mirrors within Japan and European countries. As of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The Company has launched a rear vision camera system that streams rear video to a rearview-mirror-integrated display using the Company's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This CMS solution uses three cameras to provide a comprehensive view of the sides and rear of the vehicle. The Company also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33" w:right="239" w:bottom="1440" w:gutter="0" w:footer="0" w:header="0"/>
        </w:sectPr>
      </w:pPr>
    </w:p>
    <w:bookmarkStart w:id="9" w:name="page10"/>
    <w:bookmarkEnd w:id="9"/>
    <w:p>
      <w:pPr>
        <w:spacing w:after="0" w:line="254" w:lineRule="auto"/>
        <w:rPr>
          <w:sz w:val="20"/>
          <w:szCs w:val="20"/>
          <w:color w:val="auto"/>
        </w:rPr>
      </w:pPr>
      <w:r>
        <w:rPr>
          <w:rFonts w:ascii="Arial" w:cs="Arial" w:eastAsia="Arial" w:hAnsi="Arial"/>
          <w:sz w:val="18"/>
          <w:szCs w:val="18"/>
          <w:i w:val="1"/>
          <w:iCs w:val="1"/>
          <w:u w:val="single" w:color="auto"/>
          <w:color w:val="auto"/>
        </w:rPr>
        <w:t>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We sell products that have varying profit margins. Our financial performance can be impacted depending on the mix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sell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significant content could have a significant effect on our business, financial condition, and/or results of operations. Our forward guidance and estimates assume a certain geographic sales mix as well as a product sales mix. If actual results vary from this projected geographic and product mix of sales, our business, financial condition, and/or results of operations could be negatively impacted.</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anticipate that acquisitions of businesses and assets may play a role in our future growth. We cannot be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will be able to identify attractive acquisition targets,have resources available for or obtain financing for acquisitions on satisfactory terms, successfully acquire identified targets or manage timing of acquisitions with capital obligations across our businesses. Additionally, we may 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potentially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Intellectual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our patents and trade secrets provide us with a competitive advantage in automotive rearview mirrors,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dimmable windows,certain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poses risk for the Company. This trend represents an increasing risk to technology companies in the United States, including the Company.</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New Technology and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We continue to invest a significant portion of our annual sales in engineering,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projects. Should these efforts ultimately prove unsuccessful, our business, financial condition, and/or results of operations could be adversely affected.</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Intellectual Property Litigation and Infringement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 successful claim of patent or other intellectual property infringement and damages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us could affect business, financial condition, and/or results of operations. If someone claims that our products infringed their intellectual property rights, any resulting litigation could be costly and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automakers and Tier 1 customers from time to time may consider the sale of certain business segments or bankruptcy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121"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allowance for doubtful accounts primarily relates to financially distressed automotive mirror and electronics customers. We continue to work with these financially distressed customers in collecting past due balances. Refer to </w:t>
      </w:r>
      <w:hyperlink w:anchor="page44">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the </w:t>
      </w:r>
      <w:hyperlink w:anchor="page39">
        <w:r>
          <w:rPr>
            <w:rFonts w:ascii="Arial" w:cs="Arial" w:eastAsia="Arial" w:hAnsi="Arial"/>
            <w:sz w:val="18"/>
            <w:szCs w:val="18"/>
            <w:u w:val="single" w:color="auto"/>
            <w:color w:val="0000EE"/>
          </w:rPr>
          <w:t>Consolidated Financial Statements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 regarding our allowance for doubtful accounts.</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Supply Chain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just-in-time supply chains within our business and the automotive industry, a disruption in a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one or more of our suppliers and/or an unrelated Tier 1 supplier due to part shortages, natural disasters, work stoppages, strikes, bankruptcy, etc. could disrupt our shipments to one or more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automakers or Tier 1 customers, which could adversely affect our business, financial condition, and/or results of operations.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Business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proprietary products employing electro-optic technology is performed at our manufacturing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Zeeland and Holland, Michigan. One of our manufacturing facilities is located in Holland, Michigan, which is approximately three miles from our other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potential costs. Our inability to conduct normal business operations for a period of time may have an adverse impact on our business, financial condition, and/or results of operations.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u w:val="single" w:color="auto"/>
          <w:color w:val="auto"/>
        </w:rPr>
        <w:t>IT Infrastructure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failure of our information technology ("IT") infrastructure could adversely impact our business, financial condition, and/or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businesses over a period of several years and continue to update and further implement new systems going forward. These systems may not perform as expected. We also face the challenge of supporting our older systems and implementing necessary upgrades. If we experience a problem with the functioning of an important IT system or a security breach of our IT systems, the resulting disruptions could have an adverse effect on our business, financial condition, and/or results of operations.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system failure, accident or security breach could result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financial condition, and/or results of operations. In addition, we may be required to incur significant costs to protect against damage caused by these disruptions or security breaches in the future.</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success depends on attracting and retaining qualified personnel. Our ability to sustain and grow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hire, retain and develop a highly skilled and diverse management team and workforce. Failure to ensure that we have the leadership capacity with the necessary skill sets and experience could impede our ability to deliver our growth objectives and execute our strategic plan. Organizational and reporting changes within management could result in increased turnover. In addition, any unplanned turnover or inability to attract and retain key employees, including managers, could have a negative effect on our business, financial condition and/or results of operations.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Government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Dodd-Frank Wall Street Reform and Consumer Protection Act contains provisions to improve transparency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new requirements required due diligence efforts in 2013, 2014, 2015, 2016, 2017, and 2018, and the Company has disclosed its findings annually to the SEC on Form SD around May 30 each year. As there may be only a limited number of suppliers offering "conflict free" minerals, the Company cannot be sure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may implement.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could potentially replace the Company's SmartBeam application on these vehicles.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8, 2015, NHTSA proposed changes to the Administration’s 5-Star Safety Ratings for new vehicles (also known as the New Car Assessment Program or NCAP) and initiated a comment period. The proposed changes will,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33" w:right="239" w:bottom="1440" w:gutter="0" w:footer="0" w:header="0"/>
        </w:sectPr>
      </w:pPr>
    </w:p>
    <w:bookmarkStart w:id="11" w:name="page12"/>
    <w:bookmarkEnd w:id="11"/>
    <w:p>
      <w:pPr>
        <w:jc w:val="both"/>
        <w:spacing w:after="0" w:line="252" w:lineRule="auto"/>
        <w:rPr>
          <w:sz w:val="20"/>
          <w:szCs w:val="20"/>
          <w:color w:val="auto"/>
        </w:rPr>
      </w:pPr>
      <w:r>
        <w:rPr>
          <w:rFonts w:ascii="Arial" w:cs="Arial" w:eastAsia="Arial" w:hAnsi="Arial"/>
          <w:sz w:val="18"/>
          <w:szCs w:val="18"/>
          <w:color w:val="auto"/>
        </w:rPr>
        <w:t>for the first time, encompass assessment of crash-avoidance technologies, which includes lower beam headlamp performance, semi-automatic headlamp switching, and blind spot detection. NHTSA originally intended to implement the enhancements in NCAP in 2018 beginning with model year 2019 vehicles. The NCAP implementation has been delayed, and on August 5, 2018, NHTSA published a notice seeking public comment on NCAP with a deadline of October 1, 2018 for the submission of written comments. The Company believes that its SmartBeam® technology will qualify with the semi-automatic headlamp NCAP rating system, and that its SmartBeam® technology and exterior mirrors with blind spot alert lighting can be included in a system that qualifies with the lower beam headlamp performance and blind spot detection NCAP rating system, respectively.</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October 12, 2018, NHTSA published a Notice of Proposed Rulemaking ("NPRM") for amendments to Federal Motor Vehicle Safety Standard ("FMVSS") No. 108: Lamps, reflective devices, and associated equipment,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 application has and will continue to be affected by increased competition suppliers of multi-function driver assist camera products, which are able to achieve some of the same functionality as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139"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i w:val="1"/>
          <w:iCs w:val="1"/>
          <w:u w:val="single" w:color="auto"/>
          <w:color w:val="auto"/>
        </w:rPr>
        <w:t>International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currently conduct operations in various countries and jurisdictions, including purchasing raw materials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spacing w:after="0" w:line="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local economic, political and labor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changes in laws, regulations, trade or monetary or fiscal policy, including interest rates, foreign currency exchange rates and changes in the rate of inflation in the U.S. and other foreign countries;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Tariffs(as discussed above), quotas, customs and other import or export restrictions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Brexit, and particularly, an uncontrolled Brexit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Expropriation and nationalization;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of enforcing agreements, collecting receivables and protecting assets through non-U.S.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intellectual property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restrictions or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Violence and civil unrest in local countries;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the requirements of an increasing body of applicable anti-bribery laws, including the U.S. Foreign Corrupt Practices Act, the U.K. Bribery Act and similar laws of various other countries;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related to buying, selling and financing in currencies other than the local currencies of the countries in which we operate.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issues and uncertainties which could adversely impact our business, financial condition, and/or results of operations include:</w:t>
      </w:r>
    </w:p>
    <w:p>
      <w:pPr>
        <w:spacing w:after="0" w:line="243" w:lineRule="exact"/>
        <w:rPr>
          <w:sz w:val="20"/>
          <w:szCs w:val="20"/>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commodity prices may adversely affect our business, financial condition and/or results of operations. If commodity prices rise, and if we are unable to recover these cost increases from our customers, such increases could have an adverse effect on our business, financial condition and/or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interest rates impact our financial performance due to an increase in realized losses on the sale of fixed income investments and/or recognized losses due to an Other-Than-Temporary Impairment adjustment on held-to-maturity securities;</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yield issues may negatively impact our business, financial condition and/or results of operations;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8" w:right="239" w:bottom="1440" w:gutter="0" w:footer="0" w:header="0"/>
        </w:sectPr>
      </w:pPr>
    </w:p>
    <w:bookmarkStart w:id="12" w:name="page13"/>
    <w:bookmarkEnd w:id="12"/>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Obligations and costs associated with addressing quality issues or warranty claims may adversely affect our business, financial condition and/or results of operations.</w:t>
      </w:r>
    </w:p>
    <w:p>
      <w:pPr>
        <w:spacing w:after="0" w:line="31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u w:val="single" w:color="auto"/>
          <w:color w:val="auto"/>
        </w:rPr>
        <w:t>Antitakeover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Our articles of incorporation, bylaws, and the laws of the state of Michigan include provisions that may provide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with 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Fluctuations in Market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price for our common stock has fluctuated, ranging from a low of $17.80 to a high of $ 25.41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overall market and the price of our common stock may continue to fluctuate. There may be a significant impact on the market price for our common stock relating to the issues discussed above or due to any of the following:</w:t>
      </w:r>
    </w:p>
    <w:p>
      <w:pPr>
        <w:spacing w:after="0" w:line="14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or the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investors’ or analysts’ perceptions of the risks and conditions of our business and in particular our primary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litigation and infringement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the public float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conditions, including the industry in which we operate;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macroeconomic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8" w:right="239" w:bottom="1440" w:gutter="0" w:footer="0" w:header="0"/>
        </w:sectPr>
      </w:pPr>
    </w:p>
    <w:bookmarkStart w:id="13" w:name="page14"/>
    <w:bookmarkEnd w:id="13"/>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2018 the Company operates primarily out of facilities in Zeeland and Holland, Michigan, which consist of manufacturing and office space. The Company also operates a chemistry lab facility to support production in Zeeland, Michigan. In addition, the Company operates overseas offices in Europe and Asia as further discussed below. The office and production facility for the fire protection products group is a 25,000 square-foot, one-story building that was purchased by the Company in the first quarter of 2018, as previously disclosed.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 America</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corporate office and production facility for the Company’s automotive products group is a modern, two-story, 150,000 square-foot building of steel and masonry construction situated on a 40-acre site in a well-kept industrial park. A second 128,000 square-foot office/manufacturing facility was completed on this site in 1996. The Company expanded its automotive production facilities by constructing a third 170,000 square-foot facility on its current site which opened in 2000.</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2002, the Company expanded its manufacturing operations in Zeeland, Michigan, with the construction of a 150,000 square-foot automotive mirror manufacturing facility. In 2003, the Company also announced plans for a new 200,000 square-foot technical office facility linking the fourth manufacturing facility with its existing corporate office and production facility. The Company completed the construction of this facility and the new technical center in 2006 at a total cost of approximately $38 million, which was funded from its cash and cash equivalents on hand.</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2008, the Company expanded its automotive exterior mirror manufacturing facility in Zeeland, Michigan, with the construction of a 60,000 square-foot building addition, which was completed at a cost of approximately $6 million, which was funded from cash and cash equivalents on hand.</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2010, the Company purchased an existing 108,000-square-foot electronics manufacturing facility in Holland, Michigan, which is located approximately three miles from its other manufacturing facilities in Zeeland, Michigan. The facility was operational in the first quarter of 2011 and at full capacity in the third quarter of 2011. The total cost to purchase the facility and building improvements was approximately $ 5 million, which was funded from cash and cash equivalents on hand. In 2012, the Company expanded this electronics assembly facility with the construction of a 125,000 square-foot expansion. The total cost of the facility expansion was approximately $25 million and was funded from cash and cash equivalents on hand.</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2012, the Company expanded its automotive exterior mirror manufacturing facility in Zeeland, Michigan, with the construction of a 32,000 square-foot building addition, which was completed at a cost of approximately $4 million. The Company also constructed a 60,000 square-foot chemistry lab facility in Zeeland, Michigan, which was completed as a cost of approximately $11.5 million. These expansion projects in 2012 were funded from cash and cash equivalents on hand.</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the Company completed a 120,000 square-foot expansion project connecting two of its manufacturing facilities in Zeeland, Michigan, with a total cost of approximately $25 million. Also in 2013, the Company completed a 10,000 square-foot facility to centralize the production and distribution of chilled water that is used in production and chemistry labs, as well as air conditioning. This was completed for a total cost of approximately $11 million. The above projects were funded from cash and cash equivalents on hand.</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2017, the Company completed construction of a 250,000 square-foot manufacturing and distribution facility located at a 140 acre site in Zeeland, Michigan, with a total cost of approximately $63 million, which was funded from cash and cash equivalents on hand. The distribution portion of the facility was operational in 2016, and the manufacturing portion of the facility became operational in early 2017.</w:t>
      </w:r>
    </w:p>
    <w:p>
      <w:pPr>
        <w:spacing w:after="0" w:line="202"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In 2018, the Company constructed a new, 265,000 square-foot distribution facility located in Zeeland, Michigan. Construction of the facility allowed the Company to consolidate all distribution activities to one location, which increased available manufacturing space at the aforementioned facilities. The building project was completed with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2" w:right="239" w:bottom="1440" w:gutter="0" w:footer="0" w:header="0"/>
        </w:sectPr>
      </w:pPr>
    </w:p>
    <w:bookmarkStart w:id="14" w:name="page15"/>
    <w:bookmarkEnd w:id="14"/>
    <w:p>
      <w:pPr>
        <w:ind w:right="360"/>
        <w:spacing w:after="0" w:line="262" w:lineRule="auto"/>
        <w:rPr>
          <w:sz w:val="20"/>
          <w:szCs w:val="20"/>
          <w:color w:val="auto"/>
        </w:rPr>
      </w:pPr>
      <w:r>
        <w:rPr>
          <w:rFonts w:ascii="Arial" w:cs="Arial" w:eastAsia="Arial" w:hAnsi="Arial"/>
          <w:sz w:val="18"/>
          <w:szCs w:val="18"/>
          <w:color w:val="auto"/>
        </w:rPr>
        <w:t>total cost of approximately $22 million, which was funded with cash and cash equivalents on hand. The facility was operational in the fourth quarter of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has sales and engineering offices throughout Europe to support its sales and engineering efforts. In 1993, the Company established a sales and engineering office in Germany and the following year, the Company formed a German limited liability company, Gentex GmbH, to expand its sales and engineering support activities in Europe. In 2003, the Company constructed a 40,000 square-foot office and distribution facility in Erlenbach, Germany, at a cost of approximately $5 million, which was funded from cash and cash equivalents on hand. In 2016, the Company completed a 50,000 square-foot expansion of this facility, with a total cost of approximately $6 million, funded from cash and cash equivalents on hand.</w:t>
      </w:r>
    </w:p>
    <w:p>
      <w:pPr>
        <w:spacing w:after="0" w:line="128" w:lineRule="exact"/>
        <w:rPr>
          <w:sz w:val="20"/>
          <w:szCs w:val="20"/>
          <w:color w:val="auto"/>
        </w:rPr>
      </w:pPr>
    </w:p>
    <w:p>
      <w:pPr>
        <w:ind w:right="1820"/>
        <w:spacing w:after="0" w:line="407" w:lineRule="auto"/>
        <w:rPr>
          <w:sz w:val="20"/>
          <w:szCs w:val="20"/>
          <w:color w:val="auto"/>
        </w:rPr>
      </w:pPr>
      <w:r>
        <w:rPr>
          <w:rFonts w:ascii="Arial" w:cs="Arial" w:eastAsia="Arial" w:hAnsi="Arial"/>
          <w:sz w:val="18"/>
          <w:szCs w:val="18"/>
          <w:color w:val="auto"/>
        </w:rPr>
        <w:t xml:space="preserve">The Company also operates satellite sales and engineering offices in Pfaffenhofen, Sindelfingen and Cologne, Germany. The Company currently also operates sales and engineering offices out of the United Kingdom, France, and Sweden. </w:t>
      </w:r>
      <w:r>
        <w:rPr>
          <w:rFonts w:ascii="Arial" w:cs="Arial" w:eastAsia="Arial" w:hAnsi="Arial"/>
          <w:sz w:val="18"/>
          <w:szCs w:val="18"/>
          <w:b w:val="1"/>
          <w:bCs w:val="1"/>
          <w:u w:val="single" w:color="auto"/>
          <w:color w:val="auto"/>
        </w:rPr>
        <w:t>Asia</w:t>
      </w:r>
    </w:p>
    <w:p>
      <w:pPr>
        <w:jc w:val="both"/>
        <w:spacing w:after="0" w:line="256" w:lineRule="auto"/>
        <w:rPr>
          <w:sz w:val="20"/>
          <w:szCs w:val="20"/>
          <w:color w:val="auto"/>
        </w:rPr>
      </w:pPr>
      <w:r>
        <w:rPr>
          <w:rFonts w:ascii="Arial" w:cs="Arial" w:eastAsia="Arial" w:hAnsi="Arial"/>
          <w:sz w:val="18"/>
          <w:szCs w:val="18"/>
          <w:color w:val="auto"/>
        </w:rPr>
        <w:t>In 1998, the Company established Gentex Japan, Inc., as a sales and engineering office in Nagoya, Japan, to expand its sales and engineering support in Japan. In 2004, the Company established a satellite office in Yokohama, Japan. In 2011, the Company established a satellite office in Tochigi, 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2002, the Company established Gentex Technologies Korea Co., Ltd. as a sales and engineering office in Seoul, Korea.</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2005, the Company opened a sales and engineering office near Shanghai, China. In 2006, the Company purchased a 25,000 square-foot office and distribution facility near Shanghai, China, at a cost of approximately $750,000, which was funded from cash and cash equivalents on hand. In 2017, the Company purchased a 40,000 square-foot office and distribution facility near Shanghai, China, at a cost of approximately $7.8 million, which was funded from cash and cash equivalents on hand.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Capacity</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based on current product mix. The Company evaluates equipment capacity on an ongoing basis and adds equipment as needed</w:t>
      </w:r>
      <w:r>
        <w:rPr>
          <w:rFonts w:ascii="Arial" w:cs="Arial" w:eastAsia="Arial" w:hAnsi="Arial"/>
          <w:sz w:val="18"/>
          <w:szCs w:val="18"/>
          <w:color w:val="FAAC16"/>
        </w:rPr>
        <w:t>.</w:t>
      </w:r>
      <w:r>
        <w:rPr>
          <w:rFonts w:ascii="Arial" w:cs="Arial" w:eastAsia="Arial" w:hAnsi="Arial"/>
          <w:sz w:val="18"/>
          <w:szCs w:val="18"/>
          <w:color w:val="auto"/>
        </w:rPr>
        <w:t xml:space="preserve"> In 2018, the Company shipped 29.7 million interior automatic-dimming mirrors.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automotive exterior mirror manufacturing facility has an estimated building capacity to manufacture approximately 14 - 17 million units annually, based on the current product mix. The Company evaluates equipment capacity on an ongoing basis and adds equipment as needed. In 2018, the Company shipped approximately 12.0 million exterior automatic-dimming mirrors.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3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45" w:lineRule="exact"/>
        <w:rPr>
          <w:sz w:val="20"/>
          <w:szCs w:val="20"/>
          <w:color w:val="auto"/>
        </w:rPr>
      </w:pPr>
    </w:p>
    <w:p>
      <w:pPr>
        <w:ind w:left="420" w:right="20" w:hanging="412"/>
        <w:spacing w:after="0" w:line="233" w:lineRule="auto"/>
        <w:tabs>
          <w:tab w:leader="none" w:pos="28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common stock trades on The Nasdaq Global Select Market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under the symbol GNTX. As of February 1, 2019, there were 3,086 record-holders of the Company’s common stock and restricted stock.</w:t>
      </w:r>
    </w:p>
    <w:p>
      <w:pPr>
        <w:spacing w:after="0" w:line="134"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2012,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-7620</wp:posOffset>
            </wp:positionV>
            <wp:extent cx="5257165"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In March 2018, the Company's Board of Directors approved a continuing resolution to pay a quarterly dividend at an increased rate of $0.11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 (All per share amounts have been adjusted to reflect the two-for-one stock split effected in the form of a 100% stock dividend issued December 31, 2014).</w:t>
      </w:r>
    </w:p>
    <w:p>
      <w:pPr>
        <w:spacing w:after="0" w:line="152" w:lineRule="exact"/>
        <w:rPr>
          <w:sz w:val="20"/>
          <w:szCs w:val="20"/>
          <w:color w:val="auto"/>
        </w:rPr>
      </w:pPr>
    </w:p>
    <w:p>
      <w:pPr>
        <w:ind w:left="360" w:hanging="271"/>
        <w:spacing w:after="0"/>
        <w:tabs>
          <w:tab w:leader="none" w:pos="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left="420" w:hanging="412"/>
        <w:spacing w:after="0" w:line="252"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in place and has announced a share repurchase plan. Additionally, on January 16, 2018, the Company repurchased and retired approximately 5.5 million shares of common stock from the former CEO pursuant to his retirement agreement, which was effective December 31, 2017, as previously announced. These share repurchases were approved by the Company's Board of Directors and were not repurchased as part of the Company’s existing share repurchase plan. On March 9, 2018, the Company announced that the Company's Board of Directors had authorized the repurchase of an additional 20,000,000 shares under the share repurchase plan. As previously disclosed, the Company may purchase authorized shares of its common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6" w:right="239" w:bottom="1440" w:gutter="0" w:footer="0" w:header="0"/>
        </w:sectPr>
      </w:pPr>
    </w:p>
    <w:bookmarkStart w:id="16" w:name="page17"/>
    <w:bookmarkEnd w:id="16"/>
    <w:p>
      <w:pPr>
        <w:jc w:val="both"/>
        <w:ind w:left="420"/>
        <w:spacing w:after="0" w:line="303" w:lineRule="auto"/>
        <w:rPr>
          <w:sz w:val="20"/>
          <w:szCs w:val="20"/>
          <w:color w:val="auto"/>
        </w:rPr>
      </w:pPr>
      <w:r>
        <w:rPr>
          <w:rFonts w:ascii="Arial" w:cs="Arial" w:eastAsia="Arial" w:hAnsi="Arial"/>
          <w:sz w:val="18"/>
          <w:szCs w:val="18"/>
          <w:color w:val="auto"/>
        </w:rPr>
        <w:t>stock under the plan based on a number of factors, including: market, economic, and industry conditions; the market price of the Company's common stock; anti-dilutive effect on earnings; available cash; and other factors that the Company deems appropriate. The plan does not have an expiration date, but the Board of Directors reviews such plan periodically.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share repurchase activity during 2018:</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Issuer Purchase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gridSpan w:val="5"/>
          </w:tcPr>
          <w:p>
            <w:pPr>
              <w:jc w:val="center"/>
              <w:spacing w:after="0"/>
              <w:rPr>
                <w:sz w:val="20"/>
                <w:szCs w:val="20"/>
                <w:color w:val="auto"/>
              </w:rPr>
            </w:pPr>
            <w:r>
              <w:rPr>
                <w:rFonts w:ascii="Arial" w:cs="Arial" w:eastAsia="Arial" w:hAnsi="Arial"/>
                <w:sz w:val="14"/>
                <w:szCs w:val="14"/>
                <w:b w:val="1"/>
                <w:bCs w:val="1"/>
                <w:color w:val="auto"/>
              </w:rPr>
              <w:t>Maximum Number of Shares</w:t>
            </w:r>
          </w:p>
        </w:tc>
      </w:tr>
      <w:tr>
        <w:trPr>
          <w:trHeight w:val="162"/>
        </w:trPr>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Average Price Paid Per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rPr>
              <w:t>Purchased As Part of a Publicly</w:t>
            </w:r>
          </w:p>
        </w:tc>
        <w:tc>
          <w:tcPr>
            <w:tcW w:w="226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That May Yet Be Purchased</w:t>
            </w:r>
          </w:p>
        </w:tc>
      </w:tr>
      <w:tr>
        <w:trPr>
          <w:trHeight w:val="196"/>
        </w:trPr>
        <w:tc>
          <w:tcPr>
            <w:tcW w:w="60" w:type="dxa"/>
            <w:vAlign w:val="bottom"/>
          </w:tcPr>
          <w:p>
            <w:pPr>
              <w:spacing w:after="0"/>
              <w:rPr>
                <w:sz w:val="17"/>
                <w:szCs w:val="17"/>
                <w:color w:val="auto"/>
              </w:rPr>
            </w:pPr>
          </w:p>
        </w:tc>
        <w:tc>
          <w:tcPr>
            <w:tcW w:w="17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Period</w:t>
            </w:r>
          </w:p>
        </w:tc>
        <w:tc>
          <w:tcPr>
            <w:tcW w:w="9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Purchased</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rPr>
              <w:t>Share</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rPr>
              <w:t>Announced Plan*</w:t>
            </w: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ind w:right="470"/>
              <w:spacing w:after="0"/>
              <w:rPr>
                <w:sz w:val="20"/>
                <w:szCs w:val="20"/>
                <w:color w:val="auto"/>
              </w:rPr>
            </w:pPr>
            <w:r>
              <w:rPr>
                <w:rFonts w:ascii="Arial" w:cs="Arial" w:eastAsia="Arial" w:hAnsi="Arial"/>
                <w:sz w:val="14"/>
                <w:szCs w:val="14"/>
                <w:b w:val="1"/>
                <w:bCs w:val="1"/>
                <w:color w:val="auto"/>
              </w:rPr>
              <w:t>Under the Plan*</w:t>
            </w:r>
          </w:p>
        </w:tc>
      </w:tr>
      <w:tr>
        <w:trPr>
          <w:trHeight w:val="249"/>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January 2018</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6,649,731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21.33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6,649,731</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8,640,893</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2018</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1,944,826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1,944,826</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6,696,067</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March 2018</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736,942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22.81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736,942</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25,959,125</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2018</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1,531,711</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1,531,711</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24,427,414</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May 2018</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2,121,554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23.18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2,121,554</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22,305,860</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2018</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2,631,552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2,631,552</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19,674,308</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July 2018</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2,079,020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22.47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2,079,020</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17,595,288</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2018</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3,303,809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23.59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3,303,809</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14,291,479</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September 2018</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2,125,420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22.53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2,125,420</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12,166,059</w:t>
            </w:r>
          </w:p>
        </w:tc>
      </w:tr>
      <w:tr>
        <w:trPr>
          <w:trHeight w:val="263"/>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2018</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928,097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928,097</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11,237,962</w:t>
            </w:r>
          </w:p>
        </w:tc>
      </w:tr>
      <w:tr>
        <w:trPr>
          <w:trHeight w:val="250"/>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November 2018</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1,050,870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22.16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rPr>
              <w:t>1,050,870</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10,187,092</w:t>
            </w:r>
          </w:p>
        </w:tc>
      </w:tr>
      <w:tr>
        <w:trPr>
          <w:trHeight w:val="257"/>
        </w:trPr>
        <w:tc>
          <w:tcPr>
            <w:tcW w:w="60" w:type="dxa"/>
            <w:vAlign w:val="bottom"/>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2018</w:t>
            </w:r>
          </w:p>
        </w:tc>
        <w:tc>
          <w:tcPr>
            <w:tcW w:w="9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1,345,835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20.60</w:t>
            </w: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1,345,835</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8,841,257</w:t>
            </w:r>
          </w:p>
        </w:tc>
      </w:tr>
      <w:tr>
        <w:trPr>
          <w:trHeight w:val="243"/>
        </w:trPr>
        <w:tc>
          <w:tcPr>
            <w:tcW w:w="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26,449,367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8"/>
                <w:szCs w:val="18"/>
                <w:color w:val="auto"/>
                <w:w w:val="97"/>
              </w:rPr>
              <w:t>26,449,367</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46"/>
        </w:trPr>
        <w:tc>
          <w:tcPr>
            <w:tcW w:w="6940" w:type="dxa"/>
            <w:vAlign w:val="bottom"/>
            <w:gridSpan w:val="16"/>
          </w:tcPr>
          <w:p>
            <w:pPr>
              <w:ind w:left="60"/>
              <w:spacing w:after="0"/>
              <w:rPr>
                <w:sz w:val="20"/>
                <w:szCs w:val="20"/>
                <w:color w:val="auto"/>
              </w:rPr>
            </w:pPr>
            <w:r>
              <w:rPr>
                <w:rFonts w:ascii="Arial" w:cs="Arial" w:eastAsia="Arial" w:hAnsi="Arial"/>
                <w:sz w:val="18"/>
                <w:szCs w:val="18"/>
                <w:color w:val="auto"/>
              </w:rPr>
              <w:t>* See above paragraph with respect to the publicly announced share repurchase plan</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8"/>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18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Selected Financial Data.</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7"/>
        </w:trPr>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3"/>
          </w:tcPr>
          <w:p>
            <w:pPr>
              <w:jc w:val="right"/>
              <w:ind w:right="80"/>
              <w:spacing w:after="0"/>
              <w:rPr>
                <w:sz w:val="20"/>
                <w:szCs w:val="20"/>
                <w:color w:val="auto"/>
              </w:rPr>
            </w:pPr>
            <w:r>
              <w:rPr>
                <w:rFonts w:ascii="Arial" w:cs="Arial" w:eastAsia="Arial" w:hAnsi="Arial"/>
                <w:sz w:val="18"/>
                <w:szCs w:val="18"/>
                <w:color w:val="auto"/>
              </w:rPr>
              <w:t>(dollars in thousands, except per share data)</w:t>
            </w: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51"/>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57"/>
        </w:trPr>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1,834,064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7"/>
              </w:rPr>
              <w:t>1,794,873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$1,678,925</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$1,543,618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$1,375,501</w:t>
            </w:r>
          </w:p>
        </w:tc>
      </w:tr>
      <w:tr>
        <w:trPr>
          <w:trHeight w:val="26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437,883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406,792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347,591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318,470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288,605</w:t>
            </w:r>
          </w:p>
        </w:tc>
      </w:tr>
      <w:tr>
        <w:trPr>
          <w:trHeight w:val="277"/>
        </w:trPr>
        <w:tc>
          <w:tcPr>
            <w:tcW w:w="3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Earnings Per Share (Fully Diluted)</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0.98</w:t>
            </w:r>
          </w:p>
        </w:tc>
      </w:tr>
      <w:tr>
        <w:trPr>
          <w:trHeight w:val="26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Gross Profit Margin</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7"/>
        </w:trPr>
        <w:tc>
          <w:tcPr>
            <w:tcW w:w="3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Cash Dividends per Common Share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0.440</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0.390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0.355</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0.335</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0.31</w:t>
            </w:r>
          </w:p>
        </w:tc>
      </w:tr>
      <w:tr>
        <w:trPr>
          <w:trHeight w:val="26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2,085,434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2,352,054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2,309,620</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2,148,673</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2,022,540</w:t>
            </w:r>
          </w:p>
        </w:tc>
      </w:tr>
      <w:tr>
        <w:trPr>
          <w:trHeight w:val="270"/>
        </w:trPr>
        <w:tc>
          <w:tcPr>
            <w:tcW w:w="3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 Outstanding at Year End</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178,125</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225,625</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258,125</w:t>
            </w:r>
          </w:p>
        </w:tc>
      </w:tr>
      <w:tr>
        <w:trPr>
          <w:trHeight w:val="459"/>
        </w:trPr>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79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625" w:right="239" w:bottom="1440" w:gutter="0" w:footer="0" w:header="0"/>
        </w:sectPr>
      </w:pPr>
    </w:p>
    <w:bookmarkStart w:id="17" w:name="page18"/>
    <w:bookmarkEnd w:id="17"/>
    <w:p>
      <w:pPr>
        <w:spacing w:after="0"/>
        <w:tabs>
          <w:tab w:leader="none" w:pos="1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2880" w:type="dxa"/>
            <w:vAlign w:val="bottom"/>
            <w:tcBorders>
              <w:bottom w:val="single" w:sz="8" w:color="auto"/>
            </w:tcBorders>
            <w:gridSpan w:val="5"/>
          </w:tcPr>
          <w:p>
            <w:pPr>
              <w:jc w:val="center"/>
              <w:ind w:left="794"/>
              <w:spacing w:after="0"/>
              <w:rPr>
                <w:sz w:val="20"/>
                <w:szCs w:val="20"/>
                <w:color w:val="auto"/>
              </w:rPr>
            </w:pPr>
            <w:r>
              <w:rPr>
                <w:rFonts w:ascii="Arial" w:cs="Arial" w:eastAsia="Arial" w:hAnsi="Arial"/>
                <w:sz w:val="14"/>
                <w:szCs w:val="14"/>
                <w:b w:val="1"/>
                <w:bCs w:val="1"/>
                <w:color w:val="auto"/>
              </w:rPr>
              <w:t>Percentage of Net Sales</w:t>
            </w:r>
          </w:p>
        </w:tc>
        <w:tc>
          <w:tcPr>
            <w:tcW w:w="86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5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Percentage Change</w:t>
            </w:r>
          </w:p>
        </w:tc>
      </w:tr>
      <w:tr>
        <w:trPr>
          <w:trHeight w:val="258"/>
        </w:trPr>
        <w:tc>
          <w:tcPr>
            <w:tcW w:w="4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r>
      <w:tr>
        <w:trPr>
          <w:trHeight w:val="276"/>
        </w:trPr>
        <w:tc>
          <w:tcPr>
            <w:tcW w:w="4500" w:type="dxa"/>
            <w:vAlign w:val="bottom"/>
          </w:tcPr>
          <w:p>
            <w:pPr>
              <w:spacing w:after="0"/>
              <w:rPr>
                <w:sz w:val="24"/>
                <w:szCs w:val="24"/>
                <w:color w:val="auto"/>
              </w:rPr>
            </w:pPr>
          </w:p>
        </w:tc>
        <w:tc>
          <w:tcPr>
            <w:tcW w:w="2880" w:type="dxa"/>
            <w:vAlign w:val="bottom"/>
            <w:tcBorders>
              <w:bottom w:val="single" w:sz="8" w:color="auto"/>
            </w:tcBorders>
            <w:gridSpan w:val="5"/>
          </w:tcPr>
          <w:p>
            <w:pPr>
              <w:jc w:val="center"/>
              <w:ind w:left="794"/>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2"/>
          </w:tcPr>
          <w:p>
            <w:pPr>
              <w:ind w:left="520"/>
              <w:spacing w:after="0"/>
              <w:rPr>
                <w:sz w:val="20"/>
                <w:szCs w:val="20"/>
                <w:color w:val="auto"/>
              </w:rPr>
            </w:pPr>
            <w:r>
              <w:rPr>
                <w:rFonts w:ascii="Arial" w:cs="Arial" w:eastAsia="Arial" w:hAnsi="Arial"/>
                <w:sz w:val="14"/>
                <w:szCs w:val="14"/>
                <w:b w:val="1"/>
                <w:bCs w:val="1"/>
                <w:color w:val="auto"/>
              </w:rPr>
              <w:t>Vs</w:t>
            </w: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Vs</w:t>
            </w:r>
          </w:p>
        </w:tc>
      </w:tr>
      <w:tr>
        <w:trPr>
          <w:trHeight w:val="264"/>
        </w:trPr>
        <w:tc>
          <w:tcPr>
            <w:tcW w:w="45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256"/>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60.2</w:t>
            </w:r>
          </w:p>
        </w:tc>
        <w:tc>
          <w:tcPr>
            <w:tcW w:w="5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8.9</w:t>
            </w:r>
          </w:p>
        </w:tc>
      </w:tr>
      <w:tr>
        <w:trPr>
          <w:trHeight w:val="25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39.8</w:t>
            </w: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Engineering, Research and Development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5.8</w:t>
            </w:r>
          </w:p>
        </w:tc>
      </w:tr>
      <w:tr>
        <w:trPr>
          <w:trHeight w:val="263"/>
        </w:trPr>
        <w:tc>
          <w:tcPr>
            <w:tcW w:w="45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14.4</w:t>
            </w:r>
          </w:p>
        </w:tc>
      </w:tr>
      <w:tr>
        <w:trPr>
          <w:trHeight w:val="277"/>
        </w:trPr>
        <w:tc>
          <w:tcPr>
            <w:tcW w:w="4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9.2</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30.5</w:t>
            </w:r>
          </w:p>
        </w:tc>
        <w:tc>
          <w:tcPr>
            <w:tcW w:w="540" w:type="dxa"/>
            <w:vAlign w:val="bottom"/>
          </w:tcPr>
          <w:p>
            <w:pPr>
              <w:spacing w:after="0"/>
              <w:rPr>
                <w:sz w:val="21"/>
                <w:szCs w:val="21"/>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2.3</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(813.8)</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30.4</w:t>
            </w:r>
          </w:p>
        </w:tc>
        <w:tc>
          <w:tcPr>
            <w:tcW w:w="540" w:type="dxa"/>
            <w:vAlign w:val="bottom"/>
          </w:tcPr>
          <w:p>
            <w:pPr>
              <w:spacing w:after="0"/>
              <w:rPr>
                <w:sz w:val="21"/>
                <w:szCs w:val="21"/>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4.2</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9.7</w:t>
            </w:r>
          </w:p>
        </w:tc>
        <w:tc>
          <w:tcPr>
            <w:tcW w:w="54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(23.3)</w:t>
            </w:r>
          </w:p>
        </w:tc>
      </w:tr>
      <w:tr>
        <w:trPr>
          <w:trHeight w:val="244"/>
        </w:trPr>
        <w:tc>
          <w:tcPr>
            <w:tcW w:w="45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20.7 %</w:t>
            </w:r>
          </w:p>
        </w:tc>
        <w:tc>
          <w:tcPr>
            <w:tcW w:w="54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17.0 %</w:t>
            </w:r>
          </w:p>
        </w:tc>
      </w:tr>
      <w:tr>
        <w:trPr>
          <w:trHeight w:val="20"/>
        </w:trPr>
        <w:tc>
          <w:tcPr>
            <w:tcW w:w="4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2018 to 2017</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Company net sales increased by $39.2 million, or 2% compared to the prior year. Automotive net sales increased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6% increase in automatic-dimming mirror shipments, from 39.3 million units in 2017 to 41.6 million units in 2018, primarily reflecting increased overall penetration of automatic-dimming mirrors, more so within the Company's international markets than its domestic market. International automotive mirror unit shipments increased 7% in 2018 when compared with the prior year, primarily due to increased penetration of both interior and exterior automatic-dimming mirrors to certain European and Japanese automakers.</w:t>
      </w:r>
    </w:p>
    <w:p>
      <w:pPr>
        <w:spacing w:after="0" w:line="118" w:lineRule="exact"/>
        <w:rPr>
          <w:sz w:val="20"/>
          <w:szCs w:val="20"/>
          <w:color w:val="auto"/>
        </w:rPr>
      </w:pPr>
    </w:p>
    <w:p>
      <w:pPr>
        <w:jc w:val="both"/>
        <w:ind w:right="20"/>
        <w:spacing w:after="0" w:line="283" w:lineRule="auto"/>
        <w:rPr>
          <w:sz w:val="20"/>
          <w:szCs w:val="20"/>
          <w:color w:val="auto"/>
        </w:rPr>
      </w:pPr>
      <w:r>
        <w:rPr>
          <w:rFonts w:ascii="Arial" w:cs="Arial" w:eastAsia="Arial" w:hAnsi="Arial"/>
          <w:sz w:val="18"/>
          <w:szCs w:val="18"/>
          <w:color w:val="auto"/>
        </w:rPr>
        <w:t xml:space="preserve">Other net sales increased </w:t>
      </w:r>
      <w:r>
        <w:rPr>
          <w:rFonts w:ascii="Arial" w:cs="Arial" w:eastAsia="Arial" w:hAnsi="Arial"/>
          <w:sz w:val="19"/>
          <w:szCs w:val="19"/>
          <w:color w:val="auto"/>
        </w:rPr>
        <w:t>17%</w:t>
      </w:r>
      <w:r>
        <w:rPr>
          <w:rFonts w:ascii="Arial" w:cs="Arial" w:eastAsia="Arial" w:hAnsi="Arial"/>
          <w:sz w:val="18"/>
          <w:szCs w:val="18"/>
          <w:color w:val="auto"/>
        </w:rPr>
        <w:t xml:space="preserve"> to </w:t>
      </w:r>
      <w:r>
        <w:rPr>
          <w:rFonts w:ascii="Arial" w:cs="Arial" w:eastAsia="Arial" w:hAnsi="Arial"/>
          <w:sz w:val="19"/>
          <w:szCs w:val="19"/>
          <w:color w:val="auto"/>
        </w:rPr>
        <w:t>$42.9 million</w:t>
      </w:r>
      <w:r>
        <w:rPr>
          <w:rFonts w:ascii="Arial" w:cs="Arial" w:eastAsia="Arial" w:hAnsi="Arial"/>
          <w:sz w:val="18"/>
          <w:szCs w:val="18"/>
          <w:color w:val="auto"/>
        </w:rPr>
        <w:t xml:space="preserve"> compared to the prior year, as dimmable aircraft window sales increased 16% year over year and fire protection saw an increase in net sales of 18% year over year.</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from 61.3% in 2017 to 62.4% in 2018, primarily due to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price reductions that were not fully offset with purchasing cost reductions, as well as the Company's inability to leverage fixed overhead costs due to lower than expected sales levels. Annual price reductions and fixed overhead costs independently impacted cost of goods sold as a percentage of net sales by approximately 75 - 150 basis points. These negative impacts were partially offset by the impact of purchasing cost reductions of 50 - 75 basis points.</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increased by $7.4 million or 7% from 2017 to 2018, but remained at</w:t>
      </w:r>
      <w:r>
        <w:rPr>
          <w:rFonts w:ascii="Arial" w:cs="Arial" w:eastAsia="Arial" w:hAnsi="Arial"/>
          <w:sz w:val="18"/>
          <w:szCs w:val="18"/>
          <w:i w:val="1"/>
          <w:iCs w:val="1"/>
          <w:color w:val="auto"/>
        </w:rPr>
        <w:t xml:space="preserve"> </w:t>
      </w:r>
      <w:r>
        <w:rPr>
          <w:rFonts w:ascii="Arial" w:cs="Arial" w:eastAsia="Arial" w:hAnsi="Arial"/>
          <w:sz w:val="18"/>
          <w:szCs w:val="18"/>
          <w:color w:val="auto"/>
        </w:rPr>
        <w:t>6% of net sales. E, R &amp; D increased, primarily due to increased staffing levels which continue to support growth and launch of new business as well as development of new products.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increased by $3.8 million or 5% from 2017 to 2018, but remained at 4% of net sales. The primary reason for the increase from 2017 to 2018 was due to increased staffing levels and travel expenses.</w:t>
      </w:r>
    </w:p>
    <w:p>
      <w:pPr>
        <w:spacing w:after="0" w:line="97"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Total 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increased $1.8 million in 2018 versus 2017, primarily due to higher interest rates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Company's investable funds. Other income – net increased $ 3.7 million in 2018 versus 2017, primarily due to decreased interest expense associated with the Company's debt financing and adoption of ASU 2016-1, as discussed further in </w:t>
      </w:r>
      <w:hyperlink w:anchor="page52">
        <w:r>
          <w:rPr>
            <w:rFonts w:ascii="Arial" w:cs="Arial" w:eastAsia="Arial" w:hAnsi="Arial"/>
            <w:sz w:val="18"/>
            <w:szCs w:val="18"/>
            <w:u w:val="single" w:color="auto"/>
            <w:color w:val="auto"/>
          </w:rPr>
          <w:t xml:space="preserve">Note 2 </w:t>
        </w:r>
      </w:hyperlink>
      <w:r>
        <w:rPr>
          <w:rFonts w:ascii="Arial" w:cs="Arial" w:eastAsia="Arial" w:hAnsi="Arial"/>
          <w:sz w:val="18"/>
          <w:szCs w:val="18"/>
          <w:color w:val="auto"/>
        </w:rPr>
        <w:t>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2" w:right="239" w:bottom="1440" w:gutter="0" w:footer="0" w:header="0"/>
        </w:sectPr>
      </w:pPr>
    </w:p>
    <w:bookmarkStart w:id="18" w:name="page19"/>
    <w:bookmarkEnd w:id="18"/>
    <w:p>
      <w:pPr>
        <w:jc w:val="both"/>
        <w:spacing w:after="0" w:line="258"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16.1% for year ended December 31, 2018 compared to 23.5% the prior year. The effective tax rate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differed from the statutory federal income tax rate, primarily due to the domestic manufacturing deduction as well as the re-measurement of net deferred tax liabilities as a result of the Tax Cuts and Jobs Act of 2017("Act"). In 2018, the effective tax rate differed from the new statutory federal income tax rate primarily due to the Foreign Derived Intangible Income Deduction. The decrease in the effective tax rate in 2018 from the prior year was due to the change in statutory tax rate as passed in the Act to 21% from 35%.</w:t>
      </w:r>
    </w:p>
    <w:p>
      <w:pPr>
        <w:spacing w:after="0" w:line="10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increased by $31.1 million, or 8% year over year, primarily due to the lower effective tax rate on a year over year</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2017 to 2016</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Company net sales increased by $115.9 million, or 7% compared to the prior year. Automotive net sales increased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9% increase in automatic-dimming mirror shipments, from 36.1 million units in 2016 to 39.3 million units in 2017, primarily reflecting increased overall penetration of automatic-dimming mirrors, primarily within the Company's international markets. International automotive mirror unit shipments increased 15% in 2017 when compared with the prior year, primarily due to increased penetration of both interior and exterior automatic dimming mirrors to certain European and Japanese automakers. Other net sales decreased 6% to $36.7 million compared to the prior year, as dimmable aircraft window sales decreased 13% year over year, which was offset by an increase of 2% year over year for fire protection sales.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from 60.2% in 2016 to 61.3% in 2017, primarily due to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price reductions that were not fully offset with purchasing cost reductions, as well as the Company's inability to leverage fixed overhead costs due to negative product mix. Annual price reductions and fixed overhead costs independently impacted cost of goods sold as a percentage of net sales by approximately 100 - 150 basis points. These negative impacts were partially offset by the impact of purchasing cost reductions of 50 - 75 basis points.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increased by $5.5 million from 2016 to 2017, but remained at 6% of</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E, R &amp; D expenses in 2017 increased 6% year over year, compared to calendar year 2016, primarily due to increased staffing levels which continue to support growth and the development of new business. Selling, general and administrative expenses increased by $ 9.0 million or 14% from 2016 to 2017, but remained at 4% of net sales. The primary reason for the increase from 2016 to 2017 was due to increased staffing levels and travel expenses, as well as approximately $ 4.4 million in certain previously announced retirement related expenses associated with the retirement of the Company's previous CEO and Chairman of the Board.</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Total 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increased $ 4.7 million in 2017 versus 2016, primarily due to higher year-end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income. Other income – net increased $5.0 million in 2017 versus 2016, primarily due to increased realized gains on the sale of equity investments and decreased interest expense associated with the Company's debt financing, as discussed further in </w:t>
      </w:r>
      <w:r>
        <w:rPr>
          <w:rFonts w:ascii="Arial" w:cs="Arial" w:eastAsia="Arial" w:hAnsi="Arial"/>
          <w:sz w:val="18"/>
          <w:szCs w:val="18"/>
          <w:u w:val="single" w:color="auto"/>
          <w:color w:val="0000EE"/>
        </w:rPr>
        <w:t>Note 2</w:t>
      </w:r>
      <w:r>
        <w:rPr>
          <w:rFonts w:ascii="Arial" w:cs="Arial" w:eastAsia="Arial" w:hAnsi="Arial"/>
          <w:sz w:val="18"/>
          <w:szCs w:val="18"/>
          <w:color w:val="auto"/>
        </w:rPr>
        <w:t xml:space="preserve"> of the Consolidated Financial Statements.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23.5% for year ended December 31, 2017 compared to 31.9% the prior year. The effective tax rate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 differed from the statutory federal income tax rate, primarily due to the domestic manufacturing deduction for both years, as well as the impacts of the Act. As a result of the Act, the Company re-measured its deferred tax assets and liabilities, which was partially offset by the Company’s transition tax. The total impact of the tax adjustments reduced the Company’s income tax expense during the year by $37.2 million. Pursuant to the guidance within SEC Staff Accounting Bulletin No. 118 (“SAB 118”), as of December 31, 2017, the Company recognized the provisional effects of the enactment of the Tax Legislation for which measurement could be reasonably estimated.</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increased by $59.2 million, or 17% year over year, primarily due to the lower effective tax rate as well and a 7%</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increase in revenue on a year over year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1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Company’s financial condition throughout the periods presented has remained very strong, in spite of essentially flat production in the Company's primary markets.</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Company's cash and cash equivalents were $217.0 million, $569.7 million and $546.5 million as of December 31, 2018, 2017 and 2016, respectively. The Company's cash and cash equivalents include amounts held by foreign subsidiaries of $8.3 million, $12.6 million and $7.9 million as of December 31, 2018, 2017 and 2016, respectively.</w:t>
      </w:r>
    </w:p>
    <w:p>
      <w:pPr>
        <w:spacing w:after="0" w:line="121"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Company's current ratio increased from 4.9 as of December 31, 2017 to 5.0 as of December 31, 2018, reflecting the repayment of $78 million of the Company's short term debt, that was offset by share repurchases,as discussed further in </w:t>
      </w:r>
      <w:hyperlink w:anchor="page52">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The Company's current ratio decreased from 7.7 as of December 31, 2016, to 4.9 as of December 31, 2017, reflecting the repayment of $107.6 million of the Company's long term debt, and reclassifying the remaining $78 million as short term debt due to the maturity of the Company's term loan in September 2018.</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 from operating activities was $552.4 million, $501.0 million and $477.0 million for the years ended December 31, 2018, 2017 and 2016, respectively. Cash flow from operating activities increased $51.4 million for the year ended December 31, 2018 compared to the prior year, primarily due to increased net income, partially offset by changes in working capital. Cash flow from operating activities increased $24.0 million for the year ended December 31, 2017, compared the same period in 2016, primarily due to increased net income, partially offset by changes in working capital.</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 used for investing activities for the year ended December 31, 2018 increased by $108.1 million to $ 185.8 million, compared with $77.7 million, for the year ended December 31, 2017, primarily due to increased investment purchases during the year. Cash flow used for investing activities for the year ended December 31, 2017 decreased by $173.7 million to $77.7 million, compared to the year ended December 31, 2016, primarily due to decreased investment purchases and capital expenditures during the year, as a result of allocation of funds to repay the long-term debt and for common stock repurchases. Capital expenditures for the year ended December 31, 2018, were $86.0 million, compared with $104.0 million for the prior year, primarily due to decreases in production equipment purchases and building related costs. Capital expenditures for the year ended December 31, 2017 were $104.0 million, compared with $121.0 million for the year ended December 31, 2016, primarily due to decreases in production equipment purchases and building related costs.</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 used for financing activities for the year ended December 31, 2018, increased $319.3 million to $719.3 million, compared to the year ended December 31, 2017, primarily due to repurchases of common stock of $591.6 million during the calendar year 2018 compared to $231.4 million during the calendar year 2017. Cash flow used for financing activities for the year ended December 31, 2017, increased $169.4 million to $400.0 million compared to the year ended December 31, 2016, primarily due to repurchases of common stock of $231.4 during the calendar year 2017 compared to $163.4 million during the calendar year 2016, repayments of long-term debt of $107.6 million in calendar year 2017 compared to $ 47.5 million during the calendar year 2016, and an increase of $7.7 million in calendar year 2017 as compared to calendar year 2016 to $108.8 million in dividends paid in calendar year 2017.</w:t>
      </w:r>
    </w:p>
    <w:p>
      <w:pPr>
        <w:spacing w:after="0" w:line="2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Short-term investments as of December 31, 2018 were $169.4 million, up from $152.5 million as of December 31, 2017 and long-term investments were $138.0 million as of December 31, 2018, up from $57.8 million as of December 31, 2017, due to changes in the Company's overall investment portfolio.</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Accounts receivable as of December 31, 2018 decreased $17.6 million compared to December 31, 2017, primarily due to the timing of sales within each of the comparable periods.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Inventories as of December 31, 2018, increased $8.5 million compared to December 31, 2017, primarily due to increased work-in-process and finished goods inventory levels to support first quarter 2019 production and sales forecasts.</w:t>
      </w:r>
    </w:p>
    <w:p>
      <w:pPr>
        <w:spacing w:after="0" w:line="115"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Intangible Assets, net as of December 31, 2018 decreased $19.3 million compared to December 31, 2017, due to the amortization of definite lived intangible assets and patents, discussed further in in </w:t>
      </w:r>
      <w:hyperlink w:anchor="page63">
        <w:r>
          <w:rPr>
            <w:rFonts w:ascii="Arial" w:cs="Arial" w:eastAsia="Arial" w:hAnsi="Arial"/>
            <w:sz w:val="18"/>
            <w:szCs w:val="18"/>
            <w:u w:val="single" w:color="auto"/>
            <w:color w:val="0000EE"/>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Accounts payable as of December 31, 2018, increased $2.9 million compared to December 31, 2017, primarily due the timing of inventory and capital expenditure payments.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62" w:right="2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8"/>
          <w:szCs w:val="18"/>
          <w:color w:val="auto"/>
        </w:rPr>
        <w:t>Current portion of long term debt as of December 31, 2018, decreased $78.0 million compared to December 31, 2017, due to principal repayments on the Company's long term debt financing in connection with the September 27, 2018 maturity of the Company's debt.</w:t>
      </w:r>
    </w:p>
    <w:p>
      <w:pPr>
        <w:spacing w:after="0" w:line="115"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Management considers the Company’s current working capital and long-term investments, as well as its existing credit financing arrangement (notwithstanding covenants prohibiting additional indebtedness), discussed further in </w:t>
      </w:r>
      <w:hyperlink w:anchor="page52">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 in addition to internally generated cash flow, to be sufficient to cover anticipated cash needs for the foreseeable future considering its contractual obligations and commitments. The following is a summary of working capital and long-term investments: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2016</w:t>
            </w: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681,769,335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940,916,816</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1,005,131,050</w:t>
            </w:r>
          </w:p>
        </w:tc>
      </w:tr>
      <w:tr>
        <w:trPr>
          <w:trHeight w:val="250"/>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 Term Investments</w:t>
            </w: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137,979,082</w:t>
            </w:r>
          </w:p>
        </w:tc>
        <w:tc>
          <w:tcPr>
            <w:tcW w:w="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57,782,418</w:t>
            </w:r>
          </w:p>
        </w:tc>
        <w:tc>
          <w:tcPr>
            <w:tcW w:w="5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49,894,363</w:t>
            </w: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819,748,417</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998,699,234</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1,055,025,413</w:t>
            </w:r>
          </w:p>
        </w:tc>
      </w:tr>
    </w:tbl>
    <w:p>
      <w:pPr>
        <w:spacing w:after="0" w:line="21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decrease in working capital as of December 31, 2018 is primarily due to increased share repurchases, dividend payments and capital expenditures, which in combination were more than provided by cash flow from operations.</w:t>
      </w:r>
    </w:p>
    <w:p>
      <w:pPr>
        <w:spacing w:after="0" w:line="19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w:t>
      </w:r>
      <w:hyperlink w:anchor="page16">
        <w:r>
          <w:rPr>
            <w:rFonts w:ascii="Arial" w:cs="Arial" w:eastAsia="Arial" w:hAnsi="Arial"/>
            <w:sz w:val="18"/>
            <w:szCs w:val="18"/>
            <w:u w:val="single" w:color="auto"/>
            <w:color w:val="0000EE"/>
          </w:rPr>
          <w:t>Part II, Item 5</w:t>
        </w:r>
      </w:hyperlink>
      <w:r>
        <w:rPr>
          <w:rFonts w:ascii="Arial" w:cs="Arial" w:eastAsia="Arial" w:hAnsi="Arial"/>
          <w:sz w:val="18"/>
          <w:szCs w:val="18"/>
          <w:color w:val="auto"/>
        </w:rPr>
        <w:t>, with regard to the Company's previously announced share repurchase plan.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utilizes the light vehicle production forecasting services of IHS Markit. IHS Markit current forecasts for light vehicle production for calendar year 2019 are approximately 16.9 million units for North America, 21.9 million units for Europe, 13.3 million units for Japan and Korea and 27.4 million units for China.</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currently estimates that top line revenue for calendar year 2019 will be between $1.83 and $1.93 billion. All estimates are based on light vehicle production forecasts in the primary regions to which the Company ships product, as well as the estimated option rates for its mirrors on prospective vehicle models and anticipated product mix. The Company continues to see order rates and booked business that allow for these estimates despite very modest vehicle production increases in our primary markets. Continuing uncertainties, including: light vehicle production levels; supplier part or material shortages; automotive plant shutdowns; sales rates in Europe, Asia and North America; challenging macroeconomic and geopolitical environments, including tariffs; OEM strategies and cost pressures; customer inventory management and the impact of potential automotive customer (including their Tier 1 suppliers) and supplier bankruptcies; work stoppages, strikes, etc., which could disrupt shipments to these customers, make forecasting difficult.</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estimating that the gross profit margin will be between 36% and 37% for calendar year 2019. The aforementioned gross margin estimate includes approximately $20 million in annual costs as a result of tariffs that were put in place in 2018 and proposed increases set to become effective in March 2019. Historically, annual customer price reductions have placed significant pressure on gross margin on an annual basis. Given the current revenue forecast and projected product mix for 2019, the Company believes it may be able to offset some of those annual customer price reductions with purchasing cost reductions and operational efficiencies, but will be limited in certain aspects due to rising commodity costs on certain electronic components and precious metal commodities, in addition to the aforementioned increased costs related to tariffs.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currently estimates that its operating expenses, which include engineering, research and development expenses and selling, general and administrative expenses are expected to be between $ 195 and $200 million for calendar year 2019, increased staffing levels which continue to support growth and launch of new business as well as development of new products. The Company is a technology leader in the automotive industry, with a focus on developing uniquely designed solutions that are highly proprietary. The Company continues to make investments to maintain a competitive advantage in its current market as well as to use its core competencies to develop products that are applicable in other markets.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on-going demand for our automatic-dimming mirrors and electronics, the Company currently anticipates that 2019 capital expenditures will be approximately $90 - $100 million, a majority of which will be production equipment purchases. Capital expenditures for calendar year 2019 are currently anticipated to be financed from current cash and cash equivalents on hand and cash flows from operating activities.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3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Company also estimates that depreciation and amortization expense for calendar year 2019 will be approximately $105 - $115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further estimating that its tax rate will be between 16.0% and 18.0% for calendar year 2019.</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its previously announced share repurchase plan and capital allocation strategy, the Company intends to continue to repurchase additional shares of its common stock in 2019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also providing top line revenue guidance for calendar year 2020. IHS Markit current forecasts for light vehicle production for calendar year 2020 are approximately 16.4 million units for North America, 22.2 million units for Europe,12.7 million units for Japan and Korea, and 28.6 million units for China. Based on these forecasts, the Company is estimating that revenue for calendar year 2020 will increase approximately 3% to 8% over current estimates provided for 2019 revenue.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Risk Disclosure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other-than-temporary impairment adjustments on held-to-maturity securities (mark-to-market adjustments).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the Company’s non-U.S. sales are invoiced and paid in U.S. dollars; during calendar year 2018, approximately 8% of the Company’s net sales were invoiced and paid in foreign currencies (compared to 8% for calendar year 2017 and 7% for calendar year 2016). The Company currently expects that approximately 7% of the Company’s net sales in calendar year 2019 will be invoiced and paid in foreign currencies. The Company does not currently engage in hedging activities of foreign currencies.</w:t>
      </w:r>
    </w:p>
    <w:p>
      <w:pPr>
        <w:spacing w:after="0" w:line="123"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Company does not have any significant off-balance sheet arrangements or commitments that have not been recorded in its Consolidated Financial Statements. See the </w:t>
      </w:r>
      <w:hyperlink w:anchor="page23">
        <w:r>
          <w:rPr>
            <w:rFonts w:ascii="Arial" w:cs="Arial" w:eastAsia="Arial" w:hAnsi="Arial"/>
            <w:sz w:val="18"/>
            <w:szCs w:val="18"/>
            <w:u w:val="single" w:color="auto"/>
            <w:color w:val="0000EE"/>
          </w:rPr>
          <w:t>Contractual Obligations and Other Commitments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below.</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3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Contractual Obligations and Other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contractual obligations and other commitments (in millions) as of December 31,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Less than 1 Year</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1-3 Years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More than 5 Years</w:t>
            </w:r>
          </w:p>
        </w:tc>
      </w:tr>
      <w:tr>
        <w:trPr>
          <w:trHeight w:val="27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3"/>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2"/>
                <w:szCs w:val="22"/>
                <w:color w:val="auto"/>
              </w:rPr>
            </w:pP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2"/>
                <w:szCs w:val="22"/>
                <w:color w:val="auto"/>
              </w:rPr>
            </w:pP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2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are primarily for raw material inventory and capital equipment.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Accounting Policies and Critical Accounting Estimates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12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Company’s significant accounting policies are described in </w:t>
      </w:r>
      <w:hyperlink w:anchor="page44">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an accounting estimate to be critical if:</w:t>
      </w:r>
    </w:p>
    <w:p>
      <w:pPr>
        <w:spacing w:after="0" w:line="9"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requires management to make assumptions about matters that were uncertain at the time of the estimate, and</w:t>
      </w:r>
    </w:p>
    <w:p>
      <w:pPr>
        <w:spacing w:after="0" w:line="9" w:lineRule="exact"/>
        <w:rPr>
          <w:rFonts w:ascii="Arial" w:cs="Arial" w:eastAsia="Arial" w:hAnsi="Arial"/>
          <w:sz w:val="18"/>
          <w:szCs w:val="18"/>
          <w:color w:val="auto"/>
        </w:rPr>
      </w:pPr>
    </w:p>
    <w:p>
      <w:pPr>
        <w:ind w:left="660" w:right="540" w:hanging="4"/>
        <w:spacing w:after="0" w:line="262" w:lineRule="auto"/>
        <w:tabs>
          <w:tab w:leader="none" w:pos="7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could have been selected would have had a material impact on our financial condition or results of operations.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recognizes revenue in accordance with Accounting Standards Codification (ASC)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 Accordingly, revenue is recognized in an amount that reflects the consideration to which the Company expects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Typically, such purchase order provide the annual terms, including pricing, related to a particular vehicle model. Purchase orders generally do not specify quantities. The Company recognizes revenue based on the pricing terms included in our annual purchase orders. As part of certain agreements the Company is asked to provide customers with annual price reductions. Such amounts are subject to estimate and are accrued as a reduction of revenue as products are shipped to those customers. In addition, the Company has ongoing adjustments to our pricing arrangements with our customers based on the related content, the cost of our products and other commercial factors. Such pricing accruals are adjusted as they are settled with our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u w:val="single" w:color="auto"/>
          <w:color w:val="0000FF"/>
        </w:rPr>
        <w:t>Item 13 of Part III</w:t>
      </w:r>
      <w:r>
        <w:rPr>
          <w:rFonts w:ascii="Arial" w:cs="Arial" w:eastAsia="Arial" w:hAnsi="Arial"/>
          <w:sz w:val="18"/>
          <w:szCs w:val="18"/>
          <w:color w:val="auto"/>
        </w:rPr>
        <w:t xml:space="preserve"> with respect to "Certain Transactions", which is incorporated herein.</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6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See "</w:t>
      </w:r>
      <w:hyperlink w:anchor="page22">
        <w:r>
          <w:rPr>
            <w:rFonts w:ascii="Arial" w:cs="Arial" w:eastAsia="Arial" w:hAnsi="Arial"/>
            <w:sz w:val="18"/>
            <w:szCs w:val="18"/>
            <w:u w:val="single" w:color="auto"/>
            <w:color w:val="0000EE"/>
          </w:rPr>
          <w:t>Market Risk Disclosure</w:t>
        </w:r>
      </w:hyperlink>
      <w:r>
        <w:rPr>
          <w:rFonts w:ascii="Arial" w:cs="Arial" w:eastAsia="Arial" w:hAnsi="Arial"/>
          <w:sz w:val="18"/>
          <w:szCs w:val="18"/>
          <w:color w:val="auto"/>
        </w:rPr>
        <w:t>" in Management’s Discussion and Analysis (Item 7).</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6" w:right="2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financial statements and reports of independent registered public accounting firm are filed with this report following the signature page: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60" w:type="dxa"/>
            <w:vAlign w:val="bottom"/>
            <w:gridSpan w:val="5"/>
          </w:tcPr>
          <w:p>
            <w:pPr>
              <w:ind w:left="60"/>
              <w:spacing w:after="0"/>
              <w:rPr>
                <w:sz w:val="20"/>
                <w:szCs w:val="20"/>
                <w:color w:val="auto"/>
              </w:rPr>
            </w:pPr>
            <w:r>
              <w:rPr>
                <w:rFonts w:ascii="Arial" w:cs="Arial" w:eastAsia="Arial" w:hAnsi="Arial"/>
                <w:sz w:val="16"/>
                <w:szCs w:val="16"/>
                <w:b w:val="1"/>
                <w:bCs w:val="1"/>
                <w:color w:val="auto"/>
              </w:rPr>
              <w:t>Document</w:t>
            </w:r>
          </w:p>
        </w:tc>
        <w:tc>
          <w:tcPr>
            <w:tcW w:w="3200" w:type="dxa"/>
            <w:vAlign w:val="bottom"/>
            <w:gridSpan w:val="3"/>
          </w:tcPr>
          <w:p>
            <w:pPr>
              <w:jc w:val="center"/>
              <w:ind w:left="2739"/>
              <w:spacing w:after="0"/>
              <w:rPr>
                <w:sz w:val="20"/>
                <w:szCs w:val="20"/>
                <w:color w:val="auto"/>
              </w:rPr>
            </w:pPr>
            <w:r>
              <w:rPr>
                <w:rFonts w:ascii="Arial" w:cs="Arial" w:eastAsia="Arial" w:hAnsi="Arial"/>
                <w:sz w:val="16"/>
                <w:szCs w:val="16"/>
                <w:b w:val="1"/>
                <w:bCs w:val="1"/>
                <w:color w:val="auto"/>
                <w:w w:val="99"/>
              </w:rPr>
              <w:t>Page</w:t>
            </w:r>
          </w:p>
        </w:tc>
      </w:tr>
      <w:tr>
        <w:trPr>
          <w:trHeight w:val="344"/>
        </w:trPr>
        <w:tc>
          <w:tcPr>
            <w:tcW w:w="4140" w:type="dxa"/>
            <w:vAlign w:val="bottom"/>
            <w:gridSpan w:val="2"/>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Report of Independent Registered Public Accounting Firm</w:t>
              </w:r>
            </w:hyperlink>
          </w:p>
        </w:tc>
        <w:tc>
          <w:tcPr>
            <w:tcW w:w="3720" w:type="dxa"/>
            <w:vAlign w:val="bottom"/>
            <w:gridSpan w:val="6"/>
          </w:tcPr>
          <w:p>
            <w:pPr>
              <w:spacing w:after="0"/>
              <w:rPr>
                <w:sz w:val="24"/>
                <w:szCs w:val="24"/>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36">
              <w:r>
                <w:rPr>
                  <w:rFonts w:ascii="Arial" w:cs="Arial" w:eastAsia="Arial" w:hAnsi="Arial"/>
                  <w:sz w:val="16"/>
                  <w:szCs w:val="16"/>
                  <w:color w:val="0000EE"/>
                </w:rPr>
                <w:t>36</w:t>
              </w:r>
            </w:hyperlink>
          </w:p>
        </w:tc>
        <w:tc>
          <w:tcPr>
            <w:tcW w:w="10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gridSpan w:val="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Report of Independent Registered Public Accounting Firm on Internal Control over Financial Reporting</w:t>
              </w:r>
            </w:hyperlink>
          </w:p>
        </w:tc>
        <w:tc>
          <w:tcPr>
            <w:tcW w:w="540" w:type="dxa"/>
            <w:vAlign w:val="bottom"/>
            <w:gridSpan w:val="2"/>
          </w:tcPr>
          <w:p>
            <w:pPr>
              <w:spacing w:after="0"/>
              <w:rPr>
                <w:sz w:val="19"/>
                <w:szCs w:val="19"/>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37">
              <w:r>
                <w:rPr>
                  <w:rFonts w:ascii="Arial" w:cs="Arial" w:eastAsia="Arial" w:hAnsi="Arial"/>
                  <w:sz w:val="16"/>
                  <w:szCs w:val="16"/>
                  <w:color w:val="0000EE"/>
                </w:rPr>
                <w:t>37</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gridSpan w:val="6"/>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Consolidated Balance Sheets as of December 31, 2018 and 2017</w:t>
              </w:r>
            </w:hyperlink>
          </w:p>
        </w:tc>
        <w:tc>
          <w:tcPr>
            <w:tcW w:w="540" w:type="dxa"/>
            <w:vAlign w:val="bottom"/>
            <w:gridSpan w:val="2"/>
          </w:tcPr>
          <w:p>
            <w:pPr>
              <w:spacing w:after="0"/>
              <w:rPr>
                <w:sz w:val="19"/>
                <w:szCs w:val="19"/>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gridSpan w:val="8"/>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Consolidated Statements of Income for the years ended December 31, 2018, 2017 and 2016</w:t>
              </w:r>
            </w:hyperlink>
          </w:p>
        </w:tc>
        <w:tc>
          <w:tcPr>
            <w:tcW w:w="3100" w:type="dxa"/>
            <w:vAlign w:val="bottom"/>
            <w:gridSpan w:val="2"/>
          </w:tcPr>
          <w:p>
            <w:pPr>
              <w:jc w:val="center"/>
              <w:ind w:left="2839"/>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gridSpan w:val="8"/>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Consolidated Statement of Comprehensive Income for the years ended December 31, 2018, 2017 and 2016</w:t>
              </w:r>
            </w:hyperlink>
          </w:p>
        </w:tc>
        <w:tc>
          <w:tcPr>
            <w:tcW w:w="3100" w:type="dxa"/>
            <w:vAlign w:val="bottom"/>
            <w:gridSpan w:val="2"/>
          </w:tcPr>
          <w:p>
            <w:pPr>
              <w:jc w:val="center"/>
              <w:ind w:left="2839"/>
              <w:spacing w:after="0"/>
              <w:rPr>
                <w:rFonts w:ascii="Arial" w:cs="Arial" w:eastAsia="Arial" w:hAnsi="Arial"/>
                <w:sz w:val="16"/>
                <w:szCs w:val="16"/>
                <w:color w:val="0000EE"/>
              </w:rPr>
            </w:pPr>
            <w:hyperlink w:anchor="page41">
              <w:r>
                <w:rPr>
                  <w:rFonts w:ascii="Arial" w:cs="Arial" w:eastAsia="Arial" w:hAnsi="Arial"/>
                  <w:sz w:val="16"/>
                  <w:szCs w:val="16"/>
                  <w:color w:val="0000EE"/>
                </w:rPr>
                <w:t>41</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gridSpan w:val="8"/>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Consolidated Statement of Shareholders’ Investment for the years ended December 31, 2018, 2017 and 2016</w:t>
              </w:r>
            </w:hyperlink>
          </w:p>
        </w:tc>
        <w:tc>
          <w:tcPr>
            <w:tcW w:w="3100" w:type="dxa"/>
            <w:vAlign w:val="bottom"/>
            <w:gridSpan w:val="2"/>
          </w:tcPr>
          <w:p>
            <w:pPr>
              <w:jc w:val="center"/>
              <w:ind w:left="2839"/>
              <w:spacing w:after="0"/>
              <w:rPr>
                <w:rFonts w:ascii="Arial" w:cs="Arial" w:eastAsia="Arial" w:hAnsi="Arial"/>
                <w:sz w:val="16"/>
                <w:szCs w:val="16"/>
                <w:color w:val="0000EE"/>
              </w:rPr>
            </w:pPr>
            <w:hyperlink w:anchor="page42">
              <w:r>
                <w:rPr>
                  <w:rFonts w:ascii="Arial" w:cs="Arial" w:eastAsia="Arial" w:hAnsi="Arial"/>
                  <w:sz w:val="16"/>
                  <w:szCs w:val="16"/>
                  <w:color w:val="0000EE"/>
                </w:rPr>
                <w:t>42</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gridSpan w:val="5"/>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Consolidated Statements of Cash Flows for the years ended December 31, 2018, 2017 and 2016</w:t>
              </w:r>
            </w:hyperlink>
          </w:p>
        </w:tc>
        <w:tc>
          <w:tcPr>
            <w:tcW w:w="900" w:type="dxa"/>
            <w:vAlign w:val="bottom"/>
            <w:gridSpan w:val="3"/>
          </w:tcPr>
          <w:p>
            <w:pPr>
              <w:spacing w:after="0"/>
              <w:rPr>
                <w:sz w:val="19"/>
                <w:szCs w:val="19"/>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43">
              <w:r>
                <w:rPr>
                  <w:rFonts w:ascii="Arial" w:cs="Arial" w:eastAsia="Arial" w:hAnsi="Arial"/>
                  <w:sz w:val="16"/>
                  <w:szCs w:val="16"/>
                  <w:color w:val="0000EE"/>
                </w:rPr>
                <w:t>43</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60" w:type="dxa"/>
            <w:vAlign w:val="bottom"/>
            <w:gridSpan w:val="5"/>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Notes to Consolidated Financial Statements</w:t>
              </w:r>
            </w:hyperlink>
          </w:p>
        </w:tc>
        <w:tc>
          <w:tcPr>
            <w:tcW w:w="900" w:type="dxa"/>
            <w:vAlign w:val="bottom"/>
            <w:gridSpan w:val="3"/>
          </w:tcPr>
          <w:p>
            <w:pPr>
              <w:spacing w:after="0"/>
              <w:rPr>
                <w:sz w:val="19"/>
                <w:szCs w:val="19"/>
                <w:color w:val="auto"/>
              </w:rPr>
            </w:pPr>
          </w:p>
        </w:tc>
        <w:tc>
          <w:tcPr>
            <w:tcW w:w="3100" w:type="dxa"/>
            <w:vAlign w:val="bottom"/>
            <w:gridSpan w:val="2"/>
          </w:tcPr>
          <w:p>
            <w:pPr>
              <w:jc w:val="center"/>
              <w:ind w:left="2839"/>
              <w:spacing w:after="0"/>
              <w:rPr>
                <w:rFonts w:ascii="Arial" w:cs="Arial" w:eastAsia="Arial" w:hAnsi="Arial"/>
                <w:sz w:val="16"/>
                <w:szCs w:val="16"/>
                <w:color w:val="0000EE"/>
              </w:rPr>
            </w:pPr>
            <w:hyperlink w:anchor="page44">
              <w:r>
                <w:rPr>
                  <w:rFonts w:ascii="Arial" w:cs="Arial" w:eastAsia="Arial" w:hAnsi="Arial"/>
                  <w:sz w:val="16"/>
                  <w:szCs w:val="16"/>
                  <w:color w:val="0000EE"/>
                </w:rPr>
                <w:t>44</w:t>
              </w:r>
            </w:hyperlink>
          </w:p>
        </w:tc>
        <w:tc>
          <w:tcPr>
            <w:tcW w:w="100" w:type="dxa"/>
            <w:vAlign w:val="bottom"/>
          </w:tcPr>
          <w:p>
            <w:pPr>
              <w:spacing w:after="0"/>
              <w:rPr>
                <w:sz w:val="19"/>
                <w:szCs w:val="19"/>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 for the past two years appears in the following table:</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Quarterly Results of Operations</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86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First</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Fourth</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465,420</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453,535</w:t>
            </w:r>
          </w:p>
        </w:tc>
        <w:tc>
          <w:tcPr>
            <w:tcW w:w="14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454,981</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443,139</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460,253</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438,628</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453,409</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459,570</w:t>
            </w:r>
          </w:p>
        </w:tc>
        <w:tc>
          <w:tcPr>
            <w:tcW w:w="0" w:type="dxa"/>
            <w:vAlign w:val="bottom"/>
          </w:tcPr>
          <w:p>
            <w:pPr>
              <w:spacing w:after="0"/>
              <w:rPr>
                <w:sz w:val="1"/>
                <w:szCs w:val="1"/>
                <w:color w:val="auto"/>
              </w:rPr>
            </w:pPr>
          </w:p>
        </w:tc>
      </w:tr>
      <w:tr>
        <w:trPr>
          <w:trHeight w:val="66"/>
        </w:trPr>
        <w:tc>
          <w:tcPr>
            <w:tcW w:w="33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420" w:type="dxa"/>
            <w:vAlign w:val="bottom"/>
            <w:gridSpan w:val="3"/>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172,628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175,801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172,804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167,208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172,990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171,230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172,044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180,290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134,427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126,683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125,865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127,428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129,073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125,499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133,994</w:t>
            </w:r>
          </w:p>
        </w:tc>
        <w:tc>
          <w:tcPr>
            <w:tcW w:w="0" w:type="dxa"/>
            <w:vAlign w:val="bottom"/>
          </w:tcPr>
          <w:p>
            <w:pPr>
              <w:spacing w:after="0"/>
              <w:rPr>
                <w:sz w:val="1"/>
                <w:szCs w:val="1"/>
                <w:color w:val="auto"/>
              </w:rPr>
            </w:pPr>
          </w:p>
        </w:tc>
      </w:tr>
      <w:tr>
        <w:trPr>
          <w:trHeight w:val="66"/>
        </w:trPr>
        <w:tc>
          <w:tcPr>
            <w:tcW w:w="33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111,249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97,557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109,024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88,536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111,336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90,230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106,275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130,469</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14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66"/>
        </w:trPr>
        <w:tc>
          <w:tcPr>
            <w:tcW w:w="33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420" w:type="dxa"/>
            <w:vAlign w:val="bottom"/>
            <w:gridSpan w:val="3"/>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0.40</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0.33</w:t>
            </w:r>
          </w:p>
        </w:tc>
        <w:tc>
          <w:tcPr>
            <w:tcW w:w="140" w:type="dxa"/>
            <w:vAlign w:val="bottom"/>
          </w:tcPr>
          <w:p>
            <w:pPr>
              <w:spacing w:after="0"/>
              <w:rPr>
                <w:sz w:val="17"/>
                <w:szCs w:val="17"/>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7"/>
                <w:szCs w:val="17"/>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7"/>
                <w:szCs w:val="17"/>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7"/>
                <w:szCs w:val="17"/>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7"/>
                <w:szCs w:val="17"/>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17"/>
                <w:szCs w:val="17"/>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defined in Item 304 of Regulation S-K, there have been no changes in, or disagreements with, accountants during the 24-month period ended December 31, 2018.</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of and with the participation of the Company’s management, the Company's CEO and CFO have evaluated the effectiveness of the design and operation of the Company’s disclosure controls and procedures ([as defined in Exchange Act Rules 13a – 15(e) and 15d – 15(e)]) as of December 31, 2018, and have concluded that the Company’s disclosure controls and procedures are adequate and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(2013) issued by the Committee of Sponsoring Organizations of the Treadway Commission. Based on this assessment, management asserts that the Company has maintained effective internal control over financial reporting as of December 31, 2018.</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effectiveness of the Company’s internal control over financial reporting as of December 31, 2018, has been audited by Ernst &amp; Young LLP, an independent registered public accounting firm, as stated in their report which is included in </w:t>
      </w:r>
      <w:hyperlink w:anchor="page36">
        <w:r>
          <w:rPr>
            <w:rFonts w:ascii="Arial" w:cs="Arial" w:eastAsia="Arial" w:hAnsi="Arial"/>
            <w:sz w:val="18"/>
            <w:szCs w:val="18"/>
            <w:u w:val="single" w:color="auto"/>
            <w:color w:val="0000EE"/>
          </w:rPr>
          <w:t>Part IV</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2018.</w:t>
      </w:r>
    </w:p>
    <w:p>
      <w:pPr>
        <w:spacing w:after="0" w:line="1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tab/>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1" w:right="239" w:bottom="1440" w:gutter="0" w:footer="0" w:header="0"/>
        </w:sectPr>
      </w:pPr>
    </w:p>
    <w:bookmarkStart w:id="25" w:name="page26"/>
    <w:bookmarkEnd w:id="25"/>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31"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 following table lists the names, ages, and positions of all of the Company’s executive officers at the time of this report. Officers are generally elected at the meeting of the Board of Directors following the annual meeting of shareholders.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shd w:val="clear" w:color="auto" w:fill="CCEEFF"/>
          </w:tcPr>
          <w:p>
            <w:pPr>
              <w:spacing w:after="0"/>
              <w:rPr>
                <w:sz w:val="22"/>
                <w:szCs w:val="22"/>
                <w:color w:val="auto"/>
              </w:rPr>
            </w:pPr>
          </w:p>
        </w:tc>
        <w:tc>
          <w:tcPr>
            <w:tcW w:w="5940" w:type="dxa"/>
            <w:vAlign w:val="bottom"/>
            <w:tcBorders>
              <w:bottom w:val="single" w:sz="8" w:color="auto"/>
            </w:tcBorders>
            <w:shd w:val="clear" w:color="auto" w:fill="CCEEFF"/>
          </w:tcPr>
          <w:p>
            <w:pPr>
              <w:ind w:left="2620"/>
              <w:spacing w:after="0"/>
              <w:rPr>
                <w:sz w:val="20"/>
                <w:szCs w:val="20"/>
                <w:color w:val="auto"/>
              </w:rPr>
            </w:pPr>
            <w:r>
              <w:rPr>
                <w:rFonts w:ascii="Arial" w:cs="Arial" w:eastAsia="Arial" w:hAnsi="Arial"/>
                <w:sz w:val="14"/>
                <w:szCs w:val="14"/>
                <w:b w:val="1"/>
                <w:bCs w:val="1"/>
                <w:color w:val="auto"/>
              </w:rPr>
              <w:t>POSITION</w:t>
            </w:r>
          </w:p>
        </w:tc>
        <w:tc>
          <w:tcPr>
            <w:tcW w:w="100" w:type="dxa"/>
            <w:vAlign w:val="bottom"/>
            <w:shd w:val="clear" w:color="auto" w:fill="CCEEFF"/>
          </w:tcPr>
          <w:p>
            <w:pPr>
              <w:spacing w:after="0"/>
              <w:rPr>
                <w:sz w:val="22"/>
                <w:szCs w:val="22"/>
                <w:color w:val="auto"/>
              </w:rPr>
            </w:pPr>
          </w:p>
        </w:tc>
        <w:tc>
          <w:tcPr>
            <w:tcW w:w="2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CURRENT POSITION HELD SINCE</w:t>
            </w:r>
          </w:p>
        </w:tc>
      </w:tr>
      <w:tr>
        <w:trPr>
          <w:trHeight w:val="249"/>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Steve Downing</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21"/>
                <w:szCs w:val="21"/>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2960" w:type="dxa"/>
            <w:vAlign w:val="bottom"/>
          </w:tcPr>
          <w:p>
            <w:pPr>
              <w:ind w:left="20"/>
              <w:spacing w:after="0"/>
              <w:rPr>
                <w:sz w:val="20"/>
                <w:szCs w:val="20"/>
                <w:color w:val="auto"/>
              </w:rPr>
            </w:pPr>
            <w:r>
              <w:rPr>
                <w:rFonts w:ascii="Arial" w:cs="Arial" w:eastAsia="Arial" w:hAnsi="Arial"/>
                <w:sz w:val="18"/>
                <w:szCs w:val="18"/>
                <w:color w:val="auto"/>
              </w:rPr>
              <w:t>January 2018</w:t>
            </w:r>
          </w:p>
        </w:tc>
      </w:tr>
      <w:tr>
        <w:trPr>
          <w:trHeight w:val="277"/>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Kevin Nash</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24"/>
                <w:szCs w:val="24"/>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Finance, Chief Financial Officer and Treasurer</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2018</w:t>
            </w:r>
          </w:p>
        </w:tc>
      </w:tr>
      <w:tr>
        <w:trPr>
          <w:trHeight w:val="26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Scott Ryan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22"/>
                <w:szCs w:val="22"/>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Vice President, General Counsel and Corporate Secretary</w:t>
            </w:r>
          </w:p>
        </w:tc>
        <w:tc>
          <w:tcPr>
            <w:tcW w:w="2960" w:type="dxa"/>
            <w:vAlign w:val="bottom"/>
          </w:tcPr>
          <w:p>
            <w:pPr>
              <w:ind w:left="20"/>
              <w:spacing w:after="0"/>
              <w:rPr>
                <w:sz w:val="20"/>
                <w:szCs w:val="20"/>
                <w:color w:val="auto"/>
              </w:rPr>
            </w:pPr>
            <w:r>
              <w:rPr>
                <w:rFonts w:ascii="Arial" w:cs="Arial" w:eastAsia="Arial" w:hAnsi="Arial"/>
                <w:sz w:val="18"/>
                <w:szCs w:val="18"/>
                <w:color w:val="auto"/>
              </w:rPr>
              <w:t>August 2018</w:t>
            </w:r>
          </w:p>
        </w:tc>
      </w:tr>
      <w:tr>
        <w:trPr>
          <w:trHeight w:val="277"/>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shd w:val="clear" w:color="auto" w:fill="CCEEFF"/>
          </w:tcPr>
          <w:p>
            <w:pPr>
              <w:spacing w:after="0"/>
              <w:rPr>
                <w:sz w:val="24"/>
                <w:szCs w:val="24"/>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Chief Technology Officer and Vice President, Engineering</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2018</w:t>
            </w:r>
          </w:p>
        </w:tc>
      </w:tr>
      <w:tr>
        <w:trPr>
          <w:trHeight w:val="25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Matthew Chiodo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22"/>
                <w:szCs w:val="22"/>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Vice President, Sales</w:t>
            </w:r>
          </w:p>
        </w:tc>
        <w:tc>
          <w:tcPr>
            <w:tcW w:w="2960" w:type="dxa"/>
            <w:vAlign w:val="bottom"/>
          </w:tcPr>
          <w:p>
            <w:pPr>
              <w:ind w:left="20"/>
              <w:spacing w:after="0"/>
              <w:rPr>
                <w:sz w:val="20"/>
                <w:szCs w:val="20"/>
                <w:color w:val="auto"/>
              </w:rPr>
            </w:pPr>
            <w:r>
              <w:rPr>
                <w:rFonts w:ascii="Arial" w:cs="Arial" w:eastAsia="Arial" w:hAnsi="Arial"/>
                <w:sz w:val="18"/>
                <w:szCs w:val="18"/>
                <w:color w:val="auto"/>
              </w:rPr>
              <w:t>February 2018</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officers listed in the preceding table.</w:t>
      </w:r>
    </w:p>
    <w:p>
      <w:pPr>
        <w:spacing w:after="0" w:line="90" w:lineRule="exact"/>
        <w:rPr>
          <w:sz w:val="20"/>
          <w:szCs w:val="20"/>
          <w:color w:val="auto"/>
        </w:rPr>
      </w:pPr>
    </w:p>
    <w:p>
      <w:pPr>
        <w:jc w:val="both"/>
        <w:spacing w:after="0" w:line="216" w:lineRule="exact"/>
        <w:rPr>
          <w:rFonts w:ascii="Arial" w:cs="Arial" w:eastAsia="Arial" w:hAnsi="Arial"/>
          <w:sz w:val="18"/>
          <w:szCs w:val="18"/>
          <w:color w:val="auto"/>
        </w:rPr>
      </w:pPr>
      <w:r>
        <w:rPr>
          <w:rFonts w:ascii="Arial" w:cs="Arial" w:eastAsia="Arial" w:hAnsi="Arial"/>
          <w:sz w:val="18"/>
          <w:szCs w:val="18"/>
          <w:color w:val="auto"/>
        </w:rPr>
        <w:t xml:space="preserve">Steve Downing was elected Chief Executive Officer effective as of January 1, 2018. He previously served as President and Chief Operating Officer from August 2017 to December 2017, as Senior Vice President and Chief Financial Officer from June 2015 to August 2017, as Vice President of Finance and Chief Financial Officer from May 2013 to June 2015, as Vice President of Commercial Management from July 2012 to May 2013, as Director of Commercial Management from June 2009 to July 2012, as Commercial Manager from October 2006 to June 2009, as Senior Financial Analyst from April 2006 to October 2006, and prior to that was a Financial Analyst from his hire date in July 2002 to April 2006. The Terms of Mr. Downing's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84"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On February 21, 2018, the Company announced that Kevin Nash was appointed as the Company's Vice President, Finance, Chief Financial Officer, and Treasurer, effective as of February 15, 2018. He will remain the Company's Chief Accounting Officer. Mr. Nash was previously, the Company's Vice President of Accounting and Chief Accounting Officer, a role he has held since 2014 and served as Director of Accounting and Chief Accounting Officer before that. He has been employed by the Company since 1999, beginning as a senior accountant, progressing to accounting manager, Corporate Controller and then Director of Accounting and Chief Accounting Officer until his promotion to Vice President of Accounting and Chief Accounting Officer. The Terms of Mr. Nash's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207" w:lineRule="exact"/>
        <w:rPr>
          <w:sz w:val="20"/>
          <w:szCs w:val="20"/>
          <w:color w:val="auto"/>
        </w:rPr>
      </w:pPr>
    </w:p>
    <w:p>
      <w:pPr>
        <w:jc w:val="both"/>
        <w:spacing w:after="0" w:line="252" w:lineRule="auto"/>
        <w:rPr>
          <w:rFonts w:ascii="Arial" w:cs="Arial" w:eastAsia="Arial" w:hAnsi="Arial"/>
          <w:sz w:val="18"/>
          <w:szCs w:val="18"/>
          <w:color w:val="0000EE"/>
        </w:rPr>
      </w:pPr>
      <w:r>
        <w:rPr>
          <w:rFonts w:ascii="Arial" w:cs="Arial" w:eastAsia="Arial" w:hAnsi="Arial"/>
          <w:sz w:val="18"/>
          <w:szCs w:val="18"/>
          <w:color w:val="auto"/>
        </w:rPr>
        <w:t xml:space="preserve">Also on February 21, 2018, the Company announced that Neil Boehm was appointed as the Company's Vice President, Engineering and Chief Technology Officer as of February 15, 2018 and was also appointed an executive officer. Mr. Boehm was previously the Company's Vice President of Engineering, a role he has held since 2015 and previously served as Senior Director of Engineering. He has been employed by the Company since 2001, beginning as a program manager, progressing to Director of Electrical Engineering, and then Senior Director of Engineering until his promotion to Vice President of Engineering. The Terms of Mr. Boehm's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this Form 10-K.</w:t>
      </w:r>
    </w:p>
    <w:p>
      <w:pPr>
        <w:spacing w:after="0" w:line="209"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Also on February 21, 2018, the Company announced that Matthew Chiodo, the Company's Vice President of Sales, was appointed an executive officer effective February 15, 2018. Mr. Chiodo has been in his current role since January 2017 and previously served as Director of Sales. He has been employed by the Company since 2001, beginning in sales, progressing to Director of Sales until his promotion to Vice President of Sales. The Terms of Mr. Chiodo's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204"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August 16, 2018, Scott Ryan was appointed Vice President, General Counsel and Corporate Secretary. Mr. Ryan was previously Assistant General Counsel and Corporate Secretary from June 2015 to August 2018. Prior to that he served as Patent Counsel from November 2013 to June 2015 and prior to that was a Patent Attorney from his hire date in December 2010 to November 2013. Mr. Ryan became an executive officer on August 20, 2015. The Terms of Mr. Ryan's employment arrangement are contained herein in </w:t>
      </w:r>
      <w:hyperlink w:anchor="page28">
        <w:r>
          <w:rPr>
            <w:rFonts w:ascii="Arial" w:cs="Arial" w:eastAsia="Arial" w:hAnsi="Arial"/>
            <w:sz w:val="18"/>
            <w:szCs w:val="18"/>
            <w:u w:val="single" w:color="auto"/>
            <w:color w:val="0000EE"/>
          </w:rPr>
          <w:t>Part III, Item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92" w:right="2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18"/>
          <w:szCs w:val="18"/>
          <w:color w:val="auto"/>
        </w:rPr>
        <w:t>Information relating to directors appearing under the caption “Election of Directors” in the definitive Proxy Statement for 2019 Annual Meeting of Shareholders and filed with the Commission within 120 days after the Company’s fiscal year end, December 31, 2018 (the “Proxy Statement”), is hereby incorporated herein by reference. No changes were made to the procedures by which shareholders may recommend nominees for the Board of Directors. Information concerning compliance with Section 16(a) of the Securities and Exchange Act of 1934 appearing under the caption “Section 16(A) Beneficial Ownership Reporting Compliance”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herein by reference.</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adopted a Code of Ethics for Certain Senior Officers that applies to its principal executive officer, principal financial officer, and principal accounting officer as well as all other officers of the Corporation. A copy of the Code of Ethics for Certain Senior Officers is available without charge, upon written request, from the Corporate Secretary of the Company, 600 N. Centennial Street, Zeeland, Michigan 49464 and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8" w:right="239" w:bottom="1440" w:gutter="0" w:footer="0" w:header="0"/>
        </w:sectPr>
      </w:pPr>
    </w:p>
    <w:bookmarkStart w:id="27" w:name="page28"/>
    <w:bookmarkEnd w:id="27"/>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contained under the caption “Compensation Committee Report,” “Compensation Discussion and Analysis,” “Executive Compensation,” “Director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20, 2019, the Board of Directors, in connection with assessments of executive officers, changes in responsibilities, and/or individual performance, made adjustments to named executive officer compensation, including changes to base salaries, setforth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Executive Officer</w:t>
            </w:r>
          </w:p>
        </w:tc>
        <w:tc>
          <w:tcPr>
            <w:tcW w:w="5060" w:type="dxa"/>
            <w:vAlign w:val="bottom"/>
            <w:tcBorders>
              <w:bottom w:val="single" w:sz="8" w:color="auto"/>
            </w:tcBorders>
          </w:tcPr>
          <w:p>
            <w:pPr>
              <w:ind w:left="2900"/>
              <w:spacing w:after="0"/>
              <w:rPr>
                <w:sz w:val="20"/>
                <w:szCs w:val="20"/>
                <w:color w:val="auto"/>
              </w:rPr>
            </w:pPr>
            <w:r>
              <w:rPr>
                <w:rFonts w:ascii="Arial" w:cs="Arial" w:eastAsia="Arial" w:hAnsi="Arial"/>
                <w:sz w:val="14"/>
                <w:szCs w:val="14"/>
                <w:b w:val="1"/>
                <w:bCs w:val="1"/>
                <w:color w:val="auto"/>
              </w:rPr>
              <w:t>Position</w:t>
            </w:r>
          </w:p>
        </w:tc>
        <w:tc>
          <w:tcPr>
            <w:tcW w:w="20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2018 Base Salary</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 Base Salary</w:t>
            </w:r>
          </w:p>
        </w:tc>
      </w:tr>
      <w:tr>
        <w:trPr>
          <w:trHeight w:val="256"/>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President and CEO</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650,000</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r>
      <w:tr>
        <w:trPr>
          <w:trHeight w:val="250"/>
        </w:trPr>
        <w:tc>
          <w:tcPr>
            <w:tcW w:w="2960" w:type="dxa"/>
            <w:vAlign w:val="bottom"/>
          </w:tcPr>
          <w:p>
            <w:pPr>
              <w:ind w:left="40"/>
              <w:spacing w:after="0"/>
              <w:rPr>
                <w:sz w:val="20"/>
                <w:szCs w:val="20"/>
                <w:color w:val="auto"/>
              </w:rPr>
            </w:pPr>
            <w:r>
              <w:rPr>
                <w:rFonts w:ascii="Arial" w:cs="Arial" w:eastAsia="Arial" w:hAnsi="Arial"/>
                <w:sz w:val="18"/>
                <w:szCs w:val="18"/>
                <w:color w:val="auto"/>
              </w:rPr>
              <w:t>Kevin Nash</w:t>
            </w:r>
          </w:p>
        </w:tc>
        <w:tc>
          <w:tcPr>
            <w:tcW w:w="5060" w:type="dxa"/>
            <w:vAlign w:val="bottom"/>
          </w:tcPr>
          <w:p>
            <w:pPr>
              <w:ind w:left="600"/>
              <w:spacing w:after="0"/>
              <w:rPr>
                <w:sz w:val="20"/>
                <w:szCs w:val="20"/>
                <w:color w:val="auto"/>
              </w:rPr>
            </w:pPr>
            <w:r>
              <w:rPr>
                <w:rFonts w:ascii="Arial" w:cs="Arial" w:eastAsia="Arial" w:hAnsi="Arial"/>
                <w:sz w:val="18"/>
                <w:szCs w:val="18"/>
                <w:color w:val="auto"/>
              </w:rPr>
              <w:t>VP, Finance, CFO and Treasurer</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340,000</w:t>
            </w: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63"/>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VP, Engineering and CTO</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333,000</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407,000</w:t>
            </w:r>
          </w:p>
        </w:tc>
      </w:tr>
      <w:tr>
        <w:trPr>
          <w:trHeight w:val="250"/>
        </w:trPr>
        <w:tc>
          <w:tcPr>
            <w:tcW w:w="296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5060" w:type="dxa"/>
            <w:vAlign w:val="bottom"/>
          </w:tcPr>
          <w:p>
            <w:pPr>
              <w:ind w:left="600"/>
              <w:spacing w:after="0"/>
              <w:rPr>
                <w:sz w:val="20"/>
                <w:szCs w:val="20"/>
                <w:color w:val="auto"/>
              </w:rPr>
            </w:pPr>
            <w:r>
              <w:rPr>
                <w:rFonts w:ascii="Arial" w:cs="Arial" w:eastAsia="Arial" w:hAnsi="Arial"/>
                <w:sz w:val="18"/>
                <w:szCs w:val="18"/>
                <w:color w:val="auto"/>
              </w:rPr>
              <w:t>VP, Sales</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336,000</w:t>
            </w: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380,000</w:t>
            </w:r>
          </w:p>
        </w:tc>
      </w:tr>
      <w:tr>
        <w:trPr>
          <w:trHeight w:val="263"/>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VP, General Counsel and Corporate Secretary</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315,000</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foregoing increases are consistent with the intention of the Compensation Committee of the Board of Directors to move base salaries for officers toward the market median of an established peer group over a three-year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Amended and Restated Annual Incentive Performance-Based Bonus Plan</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all officers, including our named executive officers.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beginning of each year, the Compensation Committee reviews and approves a cash bonus target for each officer, as a percentage of base salary for the year. The CEO may earn from 0% - 200% of base salary. The non-CEO named executive officers may earn from 0% to 150% of their base salaries. All performance-related targets are set by, and achievement of targets are approved by, the Compensation Committee and/or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our executive officers, the 2018 Annual Plan payout opportunities applicable to each performance metric are shown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Executive Officer</w:t>
            </w:r>
          </w:p>
        </w:tc>
        <w:tc>
          <w:tcPr>
            <w:tcW w:w="3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Annual Plan Threshold</w:t>
            </w: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Annual Plan Target</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Annual Plan Maximum</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3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color w:val="auto"/>
              </w:rPr>
              <w:t>Kevin Nash</w:t>
            </w:r>
          </w:p>
        </w:tc>
        <w:tc>
          <w:tcPr>
            <w:tcW w:w="30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6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3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30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6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3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above Threshold was moved to 50% for the President and CEO and 37.5% for the other named executive officers for 2019 to better align with typical market practice. No other changes were made to the Annual Plan target opportunities for executive officers in 2019, as the target and maximum opportunity levels were appropriate based on the competitive pay range for each position. The foregoing payout opportunities are multiplied by the weighting factor of a particular performance metric to determine the amounts of cash bonuses payable to officers to the extent the threshold, target, or maximum for a performance metric is met or exceeded. To the extent performance exceeds the established threshold or target, as applicable, for any performance metric, but does not meet or exceed the established target or maximum, as applicable, linear interpolation is used to determine the pro rata portion of the performance bonus. The Compensation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18"/>
          <w:szCs w:val="18"/>
          <w:color w:val="auto"/>
        </w:rPr>
        <w:t>Committee also has discretion to increase (or decrease) such performance-based bonuses using its judgment, provided that bonuses are not to in any event exceed 250% of the applicable base salary.</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2018 and 2019, the Annual Plan uses the same three key performance metrics and weighting: Revenue (weighted 33.33%), Operating Income (weighted 33.33%) and Earnings per Diluted Share (33.33%), since such metrics are not only appropriate measures of performance, but also align with the Company's overall business strategy.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determining whether annual cash bonuses are paid under the Annual Plan, actual performance for the year is measured against specified target levels for each performance metric. The target for the three performance metrics reflects a level of performance, which at the time set was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2018, pre-established target performance (along with pre-established thresholds and maximums) and actual results for the performance metrics are as follows: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28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Executive Officer</w:t>
            </w:r>
          </w:p>
        </w:tc>
        <w:tc>
          <w:tcPr>
            <w:tcW w:w="16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Weight</w:t>
            </w:r>
          </w:p>
        </w:tc>
        <w:tc>
          <w:tcPr>
            <w:tcW w:w="192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Threshold*</w:t>
            </w:r>
          </w:p>
        </w:tc>
        <w:tc>
          <w:tcPr>
            <w:tcW w:w="18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Target*</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Maximum*</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 Performance*</w:t>
            </w:r>
          </w:p>
        </w:tc>
      </w:tr>
      <w:tr>
        <w:trPr>
          <w:trHeight w:val="25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33.33%</w:t>
            </w:r>
          </w:p>
        </w:tc>
        <w:tc>
          <w:tcPr>
            <w:tcW w:w="19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$1,794,873</w:t>
            </w:r>
          </w:p>
        </w:tc>
        <w:tc>
          <w:tcPr>
            <w:tcW w:w="1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$1,930,000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$1,834,064</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80" w:type="dxa"/>
            <w:vAlign w:val="bottom"/>
          </w:tcPr>
          <w:p>
            <w:pPr>
              <w:jc w:val="right"/>
              <w:ind w:right="194"/>
              <w:spacing w:after="0"/>
              <w:rPr>
                <w:sz w:val="20"/>
                <w:szCs w:val="20"/>
                <w:color w:val="auto"/>
              </w:rPr>
            </w:pPr>
            <w:r>
              <w:rPr>
                <w:rFonts w:ascii="Arial" w:cs="Arial" w:eastAsia="Arial" w:hAnsi="Arial"/>
                <w:sz w:val="18"/>
                <w:szCs w:val="18"/>
                <w:color w:val="auto"/>
              </w:rPr>
              <w:t>33.33%</w:t>
            </w:r>
          </w:p>
        </w:tc>
        <w:tc>
          <w:tcPr>
            <w:tcW w:w="1920" w:type="dxa"/>
            <w:vAlign w:val="bottom"/>
          </w:tcPr>
          <w:p>
            <w:pPr>
              <w:jc w:val="right"/>
              <w:ind w:right="314"/>
              <w:spacing w:after="0"/>
              <w:rPr>
                <w:sz w:val="20"/>
                <w:szCs w:val="20"/>
                <w:color w:val="auto"/>
              </w:rPr>
            </w:pPr>
            <w:r>
              <w:rPr>
                <w:rFonts w:ascii="Arial" w:cs="Arial" w:eastAsia="Arial" w:hAnsi="Arial"/>
                <w:sz w:val="18"/>
                <w:szCs w:val="18"/>
                <w:color w:val="auto"/>
              </w:rPr>
              <w:t>$523,359</w:t>
            </w: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$554,000</w:t>
            </w:r>
          </w:p>
        </w:tc>
        <w:tc>
          <w:tcPr>
            <w:tcW w:w="1400" w:type="dxa"/>
            <w:vAlign w:val="bottom"/>
          </w:tcPr>
          <w:p>
            <w:pPr>
              <w:jc w:val="right"/>
              <w:spacing w:after="0"/>
              <w:rPr>
                <w:sz w:val="20"/>
                <w:szCs w:val="20"/>
                <w:color w:val="auto"/>
              </w:rPr>
            </w:pPr>
            <w:r>
              <w:rPr>
                <w:rFonts w:ascii="Arial" w:cs="Arial" w:eastAsia="Arial" w:hAnsi="Arial"/>
                <w:sz w:val="18"/>
                <w:szCs w:val="18"/>
                <w:color w:val="auto"/>
              </w:rPr>
              <w:t>$597,000</w:t>
            </w:r>
          </w:p>
        </w:tc>
        <w:tc>
          <w:tcPr>
            <w:tcW w:w="1540" w:type="dxa"/>
            <w:vAlign w:val="bottom"/>
          </w:tcPr>
          <w:p>
            <w:pPr>
              <w:jc w:val="right"/>
              <w:spacing w:after="0"/>
              <w:rPr>
                <w:sz w:val="20"/>
                <w:szCs w:val="20"/>
                <w:color w:val="auto"/>
              </w:rPr>
            </w:pPr>
            <w:r>
              <w:rPr>
                <w:rFonts w:ascii="Arial" w:cs="Arial" w:eastAsia="Arial" w:hAnsi="Arial"/>
                <w:sz w:val="18"/>
                <w:szCs w:val="18"/>
                <w:color w:val="auto"/>
              </w:rPr>
              <w:t>$515,001</w:t>
            </w:r>
          </w:p>
        </w:tc>
      </w:tr>
      <w:tr>
        <w:trPr>
          <w:trHeight w:val="257"/>
        </w:trPr>
        <w:tc>
          <w:tcPr>
            <w:tcW w:w="2880" w:type="dxa"/>
            <w:vAlign w:val="bottom"/>
          </w:tcPr>
          <w:p>
            <w:pPr>
              <w:ind w:left="20"/>
              <w:spacing w:after="0"/>
              <w:rPr>
                <w:sz w:val="20"/>
                <w:szCs w:val="20"/>
                <w:color w:val="auto"/>
              </w:rPr>
            </w:pPr>
            <w:r>
              <w:rPr>
                <w:rFonts w:ascii="Arial" w:cs="Arial" w:eastAsia="Arial" w:hAnsi="Arial"/>
                <w:sz w:val="18"/>
                <w:szCs w:val="18"/>
                <w:color w:val="auto"/>
              </w:rPr>
              <w:t>Earnings per Diluted Share</w:t>
            </w:r>
          </w:p>
        </w:tc>
        <w:tc>
          <w:tcPr>
            <w:tcW w:w="1680" w:type="dxa"/>
            <w:vAlign w:val="bottom"/>
          </w:tcPr>
          <w:p>
            <w:pPr>
              <w:jc w:val="right"/>
              <w:ind w:right="194"/>
              <w:spacing w:after="0"/>
              <w:rPr>
                <w:sz w:val="20"/>
                <w:szCs w:val="20"/>
                <w:color w:val="auto"/>
              </w:rPr>
            </w:pPr>
            <w:r>
              <w:rPr>
                <w:rFonts w:ascii="Arial" w:cs="Arial" w:eastAsia="Arial" w:hAnsi="Arial"/>
                <w:sz w:val="18"/>
                <w:szCs w:val="18"/>
                <w:color w:val="auto"/>
              </w:rPr>
              <w:t>33.33%</w:t>
            </w:r>
          </w:p>
        </w:tc>
        <w:tc>
          <w:tcPr>
            <w:tcW w:w="1920" w:type="dxa"/>
            <w:vAlign w:val="bottom"/>
          </w:tcPr>
          <w:p>
            <w:pPr>
              <w:jc w:val="right"/>
              <w:ind w:right="314"/>
              <w:spacing w:after="0"/>
              <w:rPr>
                <w:sz w:val="20"/>
                <w:szCs w:val="20"/>
                <w:color w:val="auto"/>
              </w:rPr>
            </w:pPr>
            <w:r>
              <w:rPr>
                <w:rFonts w:ascii="Arial" w:cs="Arial" w:eastAsia="Arial" w:hAnsi="Arial"/>
                <w:sz w:val="18"/>
                <w:szCs w:val="18"/>
                <w:color w:val="auto"/>
              </w:rPr>
              <w:t>$1.410</w:t>
            </w: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$1.640</w:t>
            </w:r>
          </w:p>
        </w:tc>
        <w:tc>
          <w:tcPr>
            <w:tcW w:w="1400" w:type="dxa"/>
            <w:vAlign w:val="bottom"/>
          </w:tcPr>
          <w:p>
            <w:pPr>
              <w:jc w:val="right"/>
              <w:spacing w:after="0"/>
              <w:rPr>
                <w:sz w:val="20"/>
                <w:szCs w:val="20"/>
                <w:color w:val="auto"/>
              </w:rPr>
            </w:pPr>
            <w:r>
              <w:rPr>
                <w:rFonts w:ascii="Arial" w:cs="Arial" w:eastAsia="Arial" w:hAnsi="Arial"/>
                <w:sz w:val="18"/>
                <w:szCs w:val="18"/>
                <w:color w:val="auto"/>
              </w:rPr>
              <w:t>$1.780</w:t>
            </w:r>
          </w:p>
        </w:tc>
        <w:tc>
          <w:tcPr>
            <w:tcW w:w="1540" w:type="dxa"/>
            <w:vAlign w:val="bottom"/>
          </w:tcPr>
          <w:p>
            <w:pPr>
              <w:jc w:val="right"/>
              <w:spacing w:after="0"/>
              <w:rPr>
                <w:sz w:val="20"/>
                <w:szCs w:val="20"/>
                <w:color w:val="auto"/>
              </w:rPr>
            </w:pPr>
            <w:r>
              <w:rPr>
                <w:rFonts w:ascii="Arial" w:cs="Arial" w:eastAsia="Arial" w:hAnsi="Arial"/>
                <w:sz w:val="18"/>
                <w:szCs w:val="18"/>
                <w:color w:val="auto"/>
              </w:rPr>
              <w:t>$1.644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-153670</wp:posOffset>
            </wp:positionV>
            <wp:extent cx="716089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63195"/>
                    </a:xfrm>
                    <a:prstGeom prst="rect">
                      <a:avLst/>
                    </a:prstGeom>
                    <a:noFill/>
                  </pic:spPr>
                </pic:pic>
              </a:graphicData>
            </a:graphic>
          </wp:anchor>
        </w:drawing>
      </w:r>
    </w:p>
    <w:p>
      <w:pPr>
        <w:ind w:firstLine="8"/>
        <w:spacing w:after="0" w:line="262" w:lineRule="auto"/>
        <w:tabs>
          <w:tab w:leader="none" w:pos="1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in thousands (000) except for per share amounts, and may be modified in the discretion of the Compensation Committee as appropriate to ensure the performance metrics are not unsuitable.</w:t>
      </w: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actual Revenue, Operating Income, and Earnings per Diluted Share results compared to the pre-established targets (adjusted as appropriate by the Compensation Committee) and performance of the named executive officers, the payments for 2018 under the Annual Plan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35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 Annual Plan</w:t>
            </w:r>
          </w:p>
        </w:tc>
        <w:tc>
          <w:tcPr>
            <w:tcW w:w="1820" w:type="dxa"/>
            <w:vAlign w:val="bottom"/>
          </w:tcPr>
          <w:p>
            <w:pPr>
              <w:jc w:val="right"/>
              <w:ind w:right="275"/>
              <w:spacing w:after="0"/>
              <w:rPr>
                <w:sz w:val="20"/>
                <w:szCs w:val="20"/>
                <w:color w:val="auto"/>
              </w:rPr>
            </w:pPr>
            <w:r>
              <w:rPr>
                <w:rFonts w:ascii="Arial" w:cs="Arial" w:eastAsia="Arial" w:hAnsi="Arial"/>
                <w:sz w:val="14"/>
                <w:szCs w:val="14"/>
                <w:b w:val="1"/>
                <w:bCs w:val="1"/>
                <w:color w:val="auto"/>
              </w:rPr>
              <w:t>2018 Annual Plan</w:t>
            </w:r>
          </w:p>
        </w:tc>
      </w:tr>
      <w:tr>
        <w:trPr>
          <w:trHeight w:val="196"/>
        </w:trPr>
        <w:tc>
          <w:tcPr>
            <w:tcW w:w="610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Executive Officer</w:t>
            </w:r>
          </w:p>
        </w:tc>
        <w:tc>
          <w:tcPr>
            <w:tcW w:w="35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Performance Bonus</w:t>
            </w:r>
          </w:p>
        </w:tc>
        <w:tc>
          <w:tcPr>
            <w:tcW w:w="1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Discretionary Bonus</w:t>
            </w:r>
          </w:p>
        </w:tc>
      </w:tr>
      <w:tr>
        <w:trPr>
          <w:trHeight w:val="256"/>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3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$323,989</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Kevin Nash</w:t>
            </w:r>
          </w:p>
        </w:tc>
        <w:tc>
          <w:tcPr>
            <w:tcW w:w="3500" w:type="dxa"/>
            <w:vAlign w:val="bottom"/>
          </w:tcPr>
          <w:p>
            <w:pPr>
              <w:jc w:val="right"/>
              <w:ind w:right="55"/>
              <w:spacing w:after="0"/>
              <w:rPr>
                <w:sz w:val="20"/>
                <w:szCs w:val="20"/>
                <w:color w:val="auto"/>
              </w:rPr>
            </w:pPr>
            <w:r>
              <w:rPr>
                <w:rFonts w:ascii="Arial" w:cs="Arial" w:eastAsia="Arial" w:hAnsi="Arial"/>
                <w:sz w:val="18"/>
                <w:szCs w:val="18"/>
                <w:color w:val="auto"/>
              </w:rPr>
              <w:t>$132,132</w:t>
            </w:r>
          </w:p>
        </w:tc>
        <w:tc>
          <w:tcPr>
            <w:tcW w:w="182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3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$129,412</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3500" w:type="dxa"/>
            <w:vAlign w:val="bottom"/>
          </w:tcPr>
          <w:p>
            <w:pPr>
              <w:jc w:val="right"/>
              <w:ind w:right="55"/>
              <w:spacing w:after="0"/>
              <w:rPr>
                <w:sz w:val="20"/>
                <w:szCs w:val="20"/>
                <w:color w:val="auto"/>
              </w:rPr>
            </w:pPr>
            <w:r>
              <w:rPr>
                <w:rFonts w:ascii="Arial" w:cs="Arial" w:eastAsia="Arial" w:hAnsi="Arial"/>
                <w:sz w:val="18"/>
                <w:szCs w:val="18"/>
                <w:color w:val="auto"/>
              </w:rPr>
              <w:t>$130,578</w:t>
            </w:r>
          </w:p>
        </w:tc>
        <w:tc>
          <w:tcPr>
            <w:tcW w:w="1820" w:type="dxa"/>
            <w:vAlign w:val="bottom"/>
          </w:tcPr>
          <w:p>
            <w:pPr>
              <w:jc w:val="right"/>
              <w:spacing w:after="0"/>
              <w:rPr>
                <w:sz w:val="20"/>
                <w:szCs w:val="20"/>
                <w:color w:val="auto"/>
              </w:rPr>
            </w:pPr>
            <w:r>
              <w:rPr>
                <w:rFonts w:ascii="Arial" w:cs="Arial" w:eastAsia="Arial" w:hAnsi="Arial"/>
                <w:sz w:val="18"/>
                <w:szCs w:val="18"/>
                <w:color w:val="auto"/>
              </w:rPr>
              <w:t>$80,000</w:t>
            </w: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3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$122,417</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2019, the Compensation Committee has established thresholds, targets, and maximums for Revenue, Operating Income, and Earnings per Diluted Share as the Annual Plan performance metrics.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Omnibus Incentive Plan and Long-Term Incentive Program</w:t>
      </w:r>
    </w:p>
    <w:p>
      <w:pPr>
        <w:spacing w:after="0" w:line="3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20, 2019, the Corporation implemented a Long-Term Incentive Plan (the "Long-Term Plan"), pursuant to the 2019 Omnibus Incentive Plan ("OIP") approved by the Board of Directors the same day, subject to shareholder approval. The OIP is intended to replace the Company's existing Employee Stock Option Plan, Second Restricted Stock Plan and Non-Employee Director Stock Option Plan if approved by the shareholders. The Long-Term Plan provides officers, including our named executive officers, with incentive awards that serve an important role by balancing other applicable short-term goals with longer term shareholder value creation, while minimizing risk-taking behaviors that could negatively affect long-term results. The OIP and the Long-Term Plan are each exhibits hereto.</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of Directors and/or the Compensation Committee determines the amount of the long-term incentive awards. Each officer's award opportunity is based on a target dollar value (determined toward the very beginning of the performance period)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8" w:right="2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as a percentage of base salary assigned to his or her position based on market comparisons for similar positions, using both a peer group and general industry market data. The following target opportunities apply for the 2019-2021 performance period under the Long-Term Incentive Plan: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4020" w:type="dxa"/>
            <w:vAlign w:val="bottom"/>
          </w:tcPr>
          <w:p>
            <w:pPr>
              <w:jc w:val="center"/>
              <w:ind w:left="1937"/>
              <w:spacing w:after="0"/>
              <w:rPr>
                <w:sz w:val="20"/>
                <w:szCs w:val="20"/>
                <w:color w:val="auto"/>
              </w:rPr>
            </w:pPr>
            <w:r>
              <w:rPr>
                <w:rFonts w:ascii="Arial" w:cs="Arial" w:eastAsia="Arial" w:hAnsi="Arial"/>
                <w:sz w:val="14"/>
                <w:szCs w:val="14"/>
                <w:b w:val="1"/>
                <w:bCs w:val="1"/>
                <w:color w:val="auto"/>
              </w:rPr>
              <w:t>Long-Term Plan Target</w:t>
            </w:r>
          </w:p>
        </w:tc>
      </w:tr>
      <w:tr>
        <w:trPr>
          <w:trHeight w:val="162"/>
        </w:trPr>
        <w:tc>
          <w:tcPr>
            <w:tcW w:w="7400" w:type="dxa"/>
            <w:vAlign w:val="bottom"/>
          </w:tcPr>
          <w:p>
            <w:pPr>
              <w:spacing w:after="0"/>
              <w:rPr>
                <w:sz w:val="14"/>
                <w:szCs w:val="14"/>
                <w:color w:val="auto"/>
              </w:rPr>
            </w:pPr>
          </w:p>
        </w:tc>
        <w:tc>
          <w:tcPr>
            <w:tcW w:w="4020" w:type="dxa"/>
            <w:vAlign w:val="bottom"/>
          </w:tcPr>
          <w:p>
            <w:pPr>
              <w:jc w:val="center"/>
              <w:ind w:left="1917"/>
              <w:spacing w:after="0"/>
              <w:rPr>
                <w:sz w:val="20"/>
                <w:szCs w:val="20"/>
                <w:color w:val="auto"/>
              </w:rPr>
            </w:pPr>
            <w:r>
              <w:rPr>
                <w:rFonts w:ascii="Arial" w:cs="Arial" w:eastAsia="Arial" w:hAnsi="Arial"/>
                <w:sz w:val="14"/>
                <w:szCs w:val="14"/>
                <w:b w:val="1"/>
                <w:bCs w:val="1"/>
                <w:color w:val="auto"/>
              </w:rPr>
              <w:t>Opportunity Percentage of</w:t>
            </w:r>
          </w:p>
        </w:tc>
      </w:tr>
      <w:tr>
        <w:trPr>
          <w:trHeight w:val="196"/>
        </w:trPr>
        <w:tc>
          <w:tcPr>
            <w:tcW w:w="740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Executive Officer</w:t>
            </w:r>
          </w:p>
        </w:tc>
        <w:tc>
          <w:tcPr>
            <w:tcW w:w="4020" w:type="dxa"/>
            <w:vAlign w:val="bottom"/>
            <w:tcBorders>
              <w:bottom w:val="single" w:sz="8" w:color="auto"/>
            </w:tcBorders>
          </w:tcPr>
          <w:p>
            <w:pPr>
              <w:jc w:val="center"/>
              <w:ind w:left="1917"/>
              <w:spacing w:after="0"/>
              <w:rPr>
                <w:sz w:val="20"/>
                <w:szCs w:val="20"/>
                <w:color w:val="auto"/>
              </w:rPr>
            </w:pPr>
            <w:r>
              <w:rPr>
                <w:rFonts w:ascii="Arial" w:cs="Arial" w:eastAsia="Arial" w:hAnsi="Arial"/>
                <w:sz w:val="14"/>
                <w:szCs w:val="14"/>
                <w:b w:val="1"/>
                <w:bCs w:val="1"/>
                <w:color w:val="auto"/>
              </w:rPr>
              <w:t>Base Salary for 2019-2021</w:t>
            </w:r>
          </w:p>
        </w:tc>
      </w:tr>
      <w:tr>
        <w:trPr>
          <w:trHeight w:val="256"/>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50"/>
        </w:trPr>
        <w:tc>
          <w:tcPr>
            <w:tcW w:w="7400" w:type="dxa"/>
            <w:vAlign w:val="bottom"/>
          </w:tcPr>
          <w:p>
            <w:pPr>
              <w:ind w:left="40"/>
              <w:spacing w:after="0"/>
              <w:rPr>
                <w:sz w:val="20"/>
                <w:szCs w:val="20"/>
                <w:color w:val="auto"/>
              </w:rPr>
            </w:pPr>
            <w:r>
              <w:rPr>
                <w:rFonts w:ascii="Arial" w:cs="Arial" w:eastAsia="Arial" w:hAnsi="Arial"/>
                <w:sz w:val="18"/>
                <w:szCs w:val="18"/>
                <w:color w:val="auto"/>
              </w:rPr>
              <w:t>Kevin Nash</w:t>
            </w:r>
          </w:p>
        </w:tc>
        <w:tc>
          <w:tcPr>
            <w:tcW w:w="40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63"/>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740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40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63"/>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Achievement at threshold performance yields 50% of the target award and achievement of the maximum performance yields another 100% of the target award. To the extent performance exceeds the established threshold or target, as applicable, for an applicable performance objective, but does not meet or exceed the established target or maximum, as applicable, linear interpolation is used to determine the pro rata portion of such award.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Shares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as determined by the Compensation Committee. Each performance objective is based on a three-year performance period (2019-2021) with a performance range that can result in PSAs of 0% for failure to achieve threshold, 50% of target for achieving threshold, to 200% of the target opportunity for achieving maximum.</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for the named executive officers are shown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6020" w:type="dxa"/>
            <w:vAlign w:val="bottom"/>
          </w:tcPr>
          <w:p>
            <w:pPr>
              <w:jc w:val="center"/>
              <w:ind w:left="3997"/>
              <w:spacing w:after="0"/>
              <w:rPr>
                <w:sz w:val="20"/>
                <w:szCs w:val="20"/>
                <w:color w:val="auto"/>
              </w:rPr>
            </w:pPr>
            <w:r>
              <w:rPr>
                <w:rFonts w:ascii="Arial" w:cs="Arial" w:eastAsia="Arial" w:hAnsi="Arial"/>
                <w:sz w:val="14"/>
                <w:szCs w:val="14"/>
                <w:b w:val="1"/>
                <w:bCs w:val="1"/>
                <w:color w:val="auto"/>
              </w:rPr>
              <w:t>Number of PSAs Awarded</w:t>
            </w:r>
          </w:p>
        </w:tc>
      </w:tr>
      <w:tr>
        <w:trPr>
          <w:trHeight w:val="162"/>
        </w:trPr>
        <w:tc>
          <w:tcPr>
            <w:tcW w:w="5400" w:type="dxa"/>
            <w:vAlign w:val="bottom"/>
          </w:tcPr>
          <w:p>
            <w:pPr>
              <w:spacing w:after="0"/>
              <w:rPr>
                <w:sz w:val="14"/>
                <w:szCs w:val="14"/>
                <w:color w:val="auto"/>
              </w:rPr>
            </w:pPr>
          </w:p>
        </w:tc>
        <w:tc>
          <w:tcPr>
            <w:tcW w:w="6020" w:type="dxa"/>
            <w:vAlign w:val="bottom"/>
          </w:tcPr>
          <w:p>
            <w:pPr>
              <w:jc w:val="center"/>
              <w:ind w:left="3997"/>
              <w:spacing w:after="0"/>
              <w:rPr>
                <w:sz w:val="20"/>
                <w:szCs w:val="20"/>
                <w:color w:val="auto"/>
              </w:rPr>
            </w:pPr>
            <w:r>
              <w:rPr>
                <w:rFonts w:ascii="Arial" w:cs="Arial" w:eastAsia="Arial" w:hAnsi="Arial"/>
                <w:sz w:val="14"/>
                <w:szCs w:val="14"/>
                <w:b w:val="1"/>
                <w:bCs w:val="1"/>
                <w:color w:val="auto"/>
              </w:rPr>
              <w:t>in 2019 (Target) for 2019-</w:t>
            </w:r>
          </w:p>
        </w:tc>
      </w:tr>
      <w:tr>
        <w:trPr>
          <w:trHeight w:val="196"/>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6020" w:type="dxa"/>
            <w:vAlign w:val="bottom"/>
            <w:tcBorders>
              <w:bottom w:val="single" w:sz="8" w:color="auto"/>
            </w:tcBorders>
          </w:tcPr>
          <w:p>
            <w:pPr>
              <w:jc w:val="center"/>
              <w:ind w:left="4017"/>
              <w:spacing w:after="0"/>
              <w:rPr>
                <w:sz w:val="20"/>
                <w:szCs w:val="20"/>
                <w:color w:val="auto"/>
              </w:rPr>
            </w:pPr>
            <w:r>
              <w:rPr>
                <w:rFonts w:ascii="Arial" w:cs="Arial" w:eastAsia="Arial" w:hAnsi="Arial"/>
                <w:sz w:val="14"/>
                <w:szCs w:val="14"/>
                <w:b w:val="1"/>
                <w:bCs w:val="1"/>
                <w:color w:val="auto"/>
              </w:rPr>
              <w:t>2021</w:t>
            </w:r>
          </w:p>
        </w:tc>
      </w:tr>
      <w:tr>
        <w:trPr>
          <w:trHeight w:val="256"/>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 Downing</w:t>
            </w:r>
          </w:p>
        </w:tc>
        <w:tc>
          <w:tcPr>
            <w:tcW w:w="6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49,575</w:t>
            </w:r>
          </w:p>
        </w:tc>
      </w:tr>
      <w:tr>
        <w:trPr>
          <w:trHeight w:val="250"/>
        </w:trPr>
        <w:tc>
          <w:tcPr>
            <w:tcW w:w="5400" w:type="dxa"/>
            <w:vAlign w:val="bottom"/>
          </w:tcPr>
          <w:p>
            <w:pPr>
              <w:ind w:left="40"/>
              <w:spacing w:after="0"/>
              <w:rPr>
                <w:sz w:val="20"/>
                <w:szCs w:val="20"/>
                <w:color w:val="auto"/>
              </w:rPr>
            </w:pPr>
            <w:r>
              <w:rPr>
                <w:rFonts w:ascii="Arial" w:cs="Arial" w:eastAsia="Arial" w:hAnsi="Arial"/>
                <w:sz w:val="18"/>
                <w:szCs w:val="18"/>
                <w:color w:val="auto"/>
              </w:rPr>
              <w:t>Kevin Nash</w:t>
            </w:r>
          </w:p>
        </w:tc>
        <w:tc>
          <w:tcPr>
            <w:tcW w:w="6020" w:type="dxa"/>
            <w:vAlign w:val="bottom"/>
          </w:tcPr>
          <w:p>
            <w:pPr>
              <w:jc w:val="right"/>
              <w:ind w:right="17"/>
              <w:spacing w:after="0"/>
              <w:rPr>
                <w:sz w:val="20"/>
                <w:szCs w:val="20"/>
                <w:color w:val="auto"/>
              </w:rPr>
            </w:pPr>
            <w:r>
              <w:rPr>
                <w:rFonts w:ascii="Arial" w:cs="Arial" w:eastAsia="Arial" w:hAnsi="Arial"/>
                <w:sz w:val="18"/>
                <w:szCs w:val="18"/>
                <w:color w:val="auto"/>
              </w:rPr>
              <w:t>13,220</w:t>
            </w:r>
          </w:p>
        </w:tc>
      </w:tr>
      <w:tr>
        <w:trPr>
          <w:trHeight w:val="26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Neil Boehm</w:t>
            </w:r>
          </w:p>
        </w:tc>
        <w:tc>
          <w:tcPr>
            <w:tcW w:w="6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13,451</w:t>
            </w:r>
          </w:p>
        </w:tc>
      </w:tr>
      <w:tr>
        <w:trPr>
          <w:trHeight w:val="250"/>
        </w:trPr>
        <w:tc>
          <w:tcPr>
            <w:tcW w:w="5400" w:type="dxa"/>
            <w:vAlign w:val="bottom"/>
          </w:tcPr>
          <w:p>
            <w:pPr>
              <w:ind w:left="40"/>
              <w:spacing w:after="0"/>
              <w:rPr>
                <w:sz w:val="20"/>
                <w:szCs w:val="20"/>
                <w:color w:val="auto"/>
              </w:rPr>
            </w:pPr>
            <w:r>
              <w:rPr>
                <w:rFonts w:ascii="Arial" w:cs="Arial" w:eastAsia="Arial" w:hAnsi="Arial"/>
                <w:sz w:val="18"/>
                <w:szCs w:val="18"/>
                <w:color w:val="auto"/>
              </w:rPr>
              <w:t>Matt Chiodo</w:t>
            </w:r>
          </w:p>
        </w:tc>
        <w:tc>
          <w:tcPr>
            <w:tcW w:w="6020" w:type="dxa"/>
            <w:vAlign w:val="bottom"/>
          </w:tcPr>
          <w:p>
            <w:pPr>
              <w:jc w:val="right"/>
              <w:ind w:right="17"/>
              <w:spacing w:after="0"/>
              <w:rPr>
                <w:sz w:val="20"/>
                <w:szCs w:val="20"/>
                <w:color w:val="auto"/>
              </w:rPr>
            </w:pPr>
            <w:r>
              <w:rPr>
                <w:rFonts w:ascii="Arial" w:cs="Arial" w:eastAsia="Arial" w:hAnsi="Arial"/>
                <w:sz w:val="18"/>
                <w:szCs w:val="18"/>
                <w:color w:val="auto"/>
              </w:rPr>
              <w:t>12,559</w:t>
            </w:r>
          </w:p>
        </w:tc>
      </w:tr>
      <w:tr>
        <w:trPr>
          <w:trHeight w:val="26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Scott Ryan</w:t>
            </w:r>
          </w:p>
        </w:tc>
        <w:tc>
          <w:tcPr>
            <w:tcW w:w="6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11,568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Restricted Stock Awards</w:t>
      </w:r>
    </w:p>
    <w:p>
      <w:pPr>
        <w:spacing w:after="0" w:line="3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2019, based on the target opportunities, for the executive officers are shown in the table below:</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Arial" w:cs="Arial" w:eastAsia="Arial" w:hAnsi="Arial"/>
                <w:sz w:val="14"/>
                <w:szCs w:val="14"/>
                <w:b w:val="1"/>
                <w:bCs w:val="1"/>
                <w:color w:val="auto"/>
              </w:rPr>
              <w:t>Number of RS Awarded in</w:t>
            </w:r>
          </w:p>
        </w:tc>
      </w:tr>
      <w:tr>
        <w:trPr>
          <w:trHeight w:val="19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 Officer</w:t>
            </w:r>
          </w:p>
        </w:tc>
        <w:tc>
          <w:tcPr>
            <w:tcW w:w="6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(Target) for 2019-2021</w:t>
            </w:r>
          </w:p>
        </w:tc>
      </w:tr>
      <w:tr>
        <w:trPr>
          <w:trHeight w:val="25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 Downing</w:t>
            </w:r>
          </w:p>
        </w:tc>
        <w:tc>
          <w:tcPr>
            <w:tcW w:w="6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21,246</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Kevin Nash</w:t>
            </w:r>
          </w:p>
        </w:tc>
        <w:tc>
          <w:tcPr>
            <w:tcW w:w="6000" w:type="dxa"/>
            <w:vAlign w:val="bottom"/>
          </w:tcPr>
          <w:p>
            <w:pPr>
              <w:jc w:val="right"/>
              <w:ind w:right="35"/>
              <w:spacing w:after="0"/>
              <w:rPr>
                <w:sz w:val="20"/>
                <w:szCs w:val="20"/>
                <w:color w:val="auto"/>
              </w:rPr>
            </w:pPr>
            <w:r>
              <w:rPr>
                <w:rFonts w:ascii="Arial" w:cs="Arial" w:eastAsia="Arial" w:hAnsi="Arial"/>
                <w:sz w:val="18"/>
                <w:szCs w:val="18"/>
                <w:color w:val="auto"/>
              </w:rPr>
              <w:t>5,666</w:t>
            </w:r>
          </w:p>
        </w:tc>
      </w:tr>
      <w:tr>
        <w:trPr>
          <w:trHeight w:val="26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Neil Boehm</w:t>
            </w:r>
          </w:p>
        </w:tc>
        <w:tc>
          <w:tcPr>
            <w:tcW w:w="6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5,765</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Matt Chiodo</w:t>
            </w:r>
          </w:p>
        </w:tc>
        <w:tc>
          <w:tcPr>
            <w:tcW w:w="6000" w:type="dxa"/>
            <w:vAlign w:val="bottom"/>
          </w:tcPr>
          <w:p>
            <w:pPr>
              <w:jc w:val="right"/>
              <w:ind w:right="35"/>
              <w:spacing w:after="0"/>
              <w:rPr>
                <w:sz w:val="20"/>
                <w:szCs w:val="20"/>
                <w:color w:val="auto"/>
              </w:rPr>
            </w:pPr>
            <w:r>
              <w:rPr>
                <w:rFonts w:ascii="Arial" w:cs="Arial" w:eastAsia="Arial" w:hAnsi="Arial"/>
                <w:sz w:val="18"/>
                <w:szCs w:val="18"/>
                <w:color w:val="auto"/>
              </w:rPr>
              <w:t>5,382</w:t>
            </w:r>
          </w:p>
        </w:tc>
      </w:tr>
      <w:tr>
        <w:trPr>
          <w:trHeight w:val="26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Ryan</w:t>
            </w:r>
          </w:p>
        </w:tc>
        <w:tc>
          <w:tcPr>
            <w:tcW w:w="6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4,958</w:t>
            </w:r>
          </w:p>
        </w:tc>
      </w:tr>
    </w:tbl>
    <w:p>
      <w:pPr>
        <w:spacing w:after="0" w:line="31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All PSAs and RS awards are subject to shareholder approval of the OIP. Such awards are intended to replace historical grants of stock options and restricted stock under the existing plan which the OIP is intended to replace.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Non-qualified Deferred Compensation Plan</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Board of Directors authorized the Company to enter into a non-qualified deferred compensation plan to provide a vehicle for key employees and officers to defer cash compensation on a tax-favored basis. The terms of such a plan have not been finalized but are expected to be typical for plans of this type.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Compensation</w:t>
      </w:r>
    </w:p>
    <w:p>
      <w:pPr>
        <w:spacing w:after="0" w:line="3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2019, the Board of Directors adjusted the equity compensation for non-employee directors, subject to shareholder approval of the OIP. Under the existing Non-employee Director Stock Option Plan, non-employee directors receive an option to acquire 7,000 shares of the Company's common stock after each Annual Meeting of Shareholders at a price per share equal to the closing price of the Company's common stock on such a date. If the OIP is approved by shareholders thereby replacing the Non-employee Director Stock Option Plan, after each Annual Meeting of Shareholders, non-employee directors will receive a grant of RS equal to $100,000 divided by the average closing price per share of the Company's common stock on the twenty trading days preceding the date of the grant of such RS. Such RS grants will vest on the first anniversary of the grant.</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contained under the captions “Common Stock Ownership of Management,” “Common Stock Ownership of Certain Beneficial Owners,” and “Equity Compensation Plan Summary” contained in the definitive Proxy Statement is hereby incorporated herein by reference. There are no arrangements known to the registrant, the operation of which may at a subsequent date result in a change in control.</w:t>
      </w:r>
    </w:p>
    <w:p>
      <w:pPr>
        <w:spacing w:after="0" w:line="34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30" w:right="239" w:bottom="1440" w:gutter="0" w:footer="0" w:header="0"/>
        </w:sectPr>
      </w:pPr>
    </w:p>
    <w:bookmarkStart w:id="31" w:name="page32"/>
    <w:bookmarkEnd w:id="31"/>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 and Services.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2" w:name="page33"/>
    <w:bookmarkEnd w:id="32"/>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93" w:lineRule="exact"/>
        <w:rPr>
          <w:sz w:val="20"/>
          <w:szCs w:val="20"/>
          <w:color w:val="auto"/>
        </w:rPr>
      </w:pPr>
    </w:p>
    <w:p>
      <w:pPr>
        <w:ind w:left="1960" w:hanging="980"/>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1. </w:t>
      </w:r>
      <w:hyperlink w:anchor="page24">
        <w:r>
          <w:rPr>
            <w:rFonts w:ascii="Arial" w:cs="Arial" w:eastAsia="Arial" w:hAnsi="Arial"/>
            <w:sz w:val="18"/>
            <w:szCs w:val="18"/>
            <w:u w:val="single" w:color="auto"/>
            <w:color w:val="0000EE"/>
          </w:rPr>
          <w:t>Financial Statements. See Part II, Item 8.</w:t>
        </w:r>
      </w:hyperlink>
    </w:p>
    <w:p>
      <w:pPr>
        <w:spacing w:after="0" w:line="144" w:lineRule="exact"/>
        <w:rPr>
          <w:rFonts w:ascii="Arial" w:cs="Arial" w:eastAsia="Arial" w:hAnsi="Arial"/>
          <w:sz w:val="18"/>
          <w:szCs w:val="18"/>
          <w:color w:val="auto"/>
        </w:rPr>
      </w:pPr>
    </w:p>
    <w:p>
      <w:pPr>
        <w:ind w:left="1940" w:right="2919" w:hanging="68"/>
        <w:spacing w:after="0" w:line="449" w:lineRule="auto"/>
        <w:tabs>
          <w:tab w:leader="none" w:pos="20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Financial Statements Schedules. None required or not applicable. 3. Exhibits. See Exhibit Index on Page </w:t>
      </w:r>
      <w:hyperlink w:anchor="page67">
        <w:r>
          <w:rPr>
            <w:rFonts w:ascii="Arial" w:cs="Arial" w:eastAsia="Arial" w:hAnsi="Arial"/>
            <w:sz w:val="18"/>
            <w:szCs w:val="18"/>
            <w:u w:val="single" w:color="auto"/>
            <w:color w:val="0000EE"/>
          </w:rPr>
          <w:t>67</w:t>
        </w:r>
      </w:hyperlink>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960" w:hanging="980"/>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9" w:lineRule="exact"/>
        <w:rPr>
          <w:rFonts w:ascii="Arial" w:cs="Arial" w:eastAsia="Arial" w:hAnsi="Arial"/>
          <w:sz w:val="18"/>
          <w:szCs w:val="18"/>
          <w:color w:val="auto"/>
        </w:rPr>
      </w:pPr>
    </w:p>
    <w:p>
      <w:pPr>
        <w:ind w:left="1960" w:hanging="980"/>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6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792" w:right="1440"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GENTEX CORPORATION</w:t>
      </w:r>
    </w:p>
    <w:p>
      <w:pPr>
        <w:spacing w:after="0" w:line="387"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R. Downing, President and Chief Executive Officer</w:t>
      </w:r>
    </w:p>
    <w:p>
      <w:pPr>
        <w:spacing w:after="0" w:line="50"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2019</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22nd day of February, 2018, by the following persons on behalf of the registrant and in the capacities indicated.</w:t>
      </w:r>
    </w:p>
    <w:p>
      <w:pPr>
        <w:spacing w:after="0" w:line="200" w:lineRule="exact"/>
        <w:rPr>
          <w:sz w:val="20"/>
          <w:szCs w:val="20"/>
          <w:color w:val="auto"/>
        </w:rPr>
      </w:pPr>
    </w:p>
    <w:p>
      <w:pPr>
        <w:spacing w:after="0" w:line="293" w:lineRule="exact"/>
        <w:rPr>
          <w:sz w:val="20"/>
          <w:szCs w:val="20"/>
          <w:color w:val="auto"/>
        </w:rPr>
      </w:pPr>
    </w:p>
    <w:p>
      <w:pPr>
        <w:ind w:left="3120"/>
        <w:spacing w:after="0"/>
        <w:tabs>
          <w:tab w:leader="none" w:pos="4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R. Downing, President and Chief Executive Officer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333" w:lineRule="exact"/>
        <w:rPr>
          <w:sz w:val="20"/>
          <w:szCs w:val="20"/>
          <w:color w:val="auto"/>
        </w:rPr>
      </w:pPr>
    </w:p>
    <w:p>
      <w:pPr>
        <w:ind w:left="354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14605</wp:posOffset>
            </wp:positionV>
            <wp:extent cx="37820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Kevin C. Nash, Vice President, Finance, Chief Financial Officer and</w:t>
      </w:r>
    </w:p>
    <w:p>
      <w:pPr>
        <w:ind w:left="4400"/>
        <w:spacing w:after="0"/>
        <w:rPr>
          <w:sz w:val="20"/>
          <w:szCs w:val="20"/>
          <w:color w:val="auto"/>
        </w:rPr>
      </w:pPr>
      <w:r>
        <w:rPr>
          <w:rFonts w:ascii="Arial" w:cs="Arial" w:eastAsia="Arial" w:hAnsi="Arial"/>
          <w:sz w:val="18"/>
          <w:szCs w:val="18"/>
          <w:color w:val="auto"/>
        </w:rPr>
        <w:t>Treasurer</w:t>
      </w:r>
    </w:p>
    <w:p>
      <w:pPr>
        <w:spacing w:after="0" w:line="50" w:lineRule="exact"/>
        <w:rPr>
          <w:sz w:val="20"/>
          <w:szCs w:val="20"/>
          <w:color w:val="auto"/>
        </w:rPr>
      </w:pPr>
    </w:p>
    <w:p>
      <w:pPr>
        <w:ind w:left="4400" w:right="1240"/>
        <w:spacing w:after="0" w:line="246"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76" w:right="259" w:bottom="1440" w:gutter="0" w:footer="0" w:header="0"/>
        </w:sectPr>
      </w:pPr>
    </w:p>
    <w:bookmarkStart w:id="34" w:name="page35"/>
    <w:bookmarkEnd w:id="34"/>
    <w:p>
      <w:pPr>
        <w:ind w:firstLine="972"/>
        <w:spacing w:after="0" w:line="256" w:lineRule="auto"/>
        <w:rPr>
          <w:sz w:val="20"/>
          <w:szCs w:val="20"/>
          <w:color w:val="auto"/>
        </w:rPr>
      </w:pPr>
      <w:r>
        <w:rPr>
          <w:rFonts w:ascii="Arial" w:cs="Arial" w:eastAsia="Arial" w:hAnsi="Arial"/>
          <w:sz w:val="18"/>
          <w:szCs w:val="18"/>
          <w:color w:val="auto"/>
        </w:rPr>
        <w:t>Each Director of the registrant whose signature appears below hereby appoints Steve Downing or Kevin Nash, as his attorney-in-fact to sign in his name and on his behalf, and to file with the Commission any and all amendments to this report on Form 10-K to the same extent and with the same effect as if done personally.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Leslie Brown</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Leslie Brown</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Gary Goode</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Gary Goode</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James Hollars</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James Hollars</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John Mulder</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John Mulder</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Richard Schaum</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Richard Schaum</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Fred Sotok</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Fred Sotok</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Kathleen Starkoff</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Kathleen Starkoff</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Brian Walker</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Brian Walker</w:t>
            </w:r>
          </w:p>
        </w:tc>
        <w:tc>
          <w:tcPr>
            <w:tcW w:w="800" w:type="dxa"/>
            <w:vAlign w:val="bottom"/>
          </w:tcPr>
          <w:p>
            <w:pPr>
              <w:spacing w:after="0"/>
              <w:rPr>
                <w:sz w:val="19"/>
                <w:szCs w:val="19"/>
                <w:color w:val="auto"/>
              </w:rPr>
            </w:pPr>
          </w:p>
        </w:tc>
      </w:tr>
      <w:tr>
        <w:trPr>
          <w:trHeight w:val="45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James Wallace</w:t>
            </w:r>
          </w:p>
        </w:tc>
        <w:tc>
          <w:tcPr>
            <w:tcW w:w="800" w:type="dxa"/>
            <w:vAlign w:val="bottom"/>
          </w:tcPr>
          <w:p>
            <w:pPr>
              <w:ind w:left="200"/>
              <w:spacing w:after="0"/>
              <w:rPr>
                <w:sz w:val="20"/>
                <w:szCs w:val="20"/>
                <w:color w:val="auto"/>
              </w:rPr>
            </w:pPr>
            <w:r>
              <w:rPr>
                <w:rFonts w:ascii="Arial" w:cs="Arial" w:eastAsia="Arial" w:hAnsi="Arial"/>
                <w:sz w:val="17"/>
                <w:szCs w:val="17"/>
                <w:color w:val="auto"/>
                <w:w w:val="97"/>
              </w:rPr>
              <w:t>Director</w:t>
            </w:r>
          </w:p>
        </w:tc>
      </w:tr>
      <w:tr>
        <w:trPr>
          <w:trHeight w:val="226"/>
        </w:trPr>
        <w:tc>
          <w:tcPr>
            <w:tcW w:w="6360" w:type="dxa"/>
            <w:vAlign w:val="bottom"/>
          </w:tcPr>
          <w:p>
            <w:pPr>
              <w:ind w:left="40"/>
              <w:spacing w:after="0"/>
              <w:rPr>
                <w:sz w:val="20"/>
                <w:szCs w:val="20"/>
                <w:color w:val="auto"/>
              </w:rPr>
            </w:pPr>
            <w:r>
              <w:rPr>
                <w:rFonts w:ascii="Arial" w:cs="Arial" w:eastAsia="Arial" w:hAnsi="Arial"/>
                <w:sz w:val="17"/>
                <w:szCs w:val="17"/>
                <w:color w:val="auto"/>
              </w:rPr>
              <w:t>James Wallace</w:t>
            </w:r>
          </w:p>
        </w:tc>
        <w:tc>
          <w:tcPr>
            <w:tcW w:w="800" w:type="dxa"/>
            <w:vAlign w:val="bottom"/>
          </w:tcPr>
          <w:p>
            <w:pPr>
              <w:spacing w:after="0"/>
              <w:rPr>
                <w:sz w:val="19"/>
                <w:szCs w:val="19"/>
                <w:color w:val="auto"/>
              </w:rPr>
            </w:pPr>
          </w:p>
        </w:tc>
      </w:tr>
    </w:tbl>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1084" w:right="399" w:bottom="1440" w:gutter="0" w:footer="0" w:header="0"/>
        </w:sectPr>
      </w:pPr>
    </w:p>
    <w:bookmarkStart w:id="35" w:name="page36"/>
    <w:bookmarkEnd w:id="35"/>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Gentex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Gentex Corporation and subsidiaries (the Company) as of December 31, 2018 and 2017, the related consolidated statements of income, comprehensive income, shareholders' investment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22, 2019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2" w:right="239" w:bottom="1440" w:gutter="0" w:footer="0" w:header="0"/>
        </w:sectPr>
      </w:pPr>
    </w:p>
    <w:bookmarkStart w:id="36" w:name="page37"/>
    <w:bookmarkEnd w:id="36"/>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Gentex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audited Gentex Corporation and subsidiaries’ internal control over financial reporting as of December 31, 2018,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2018, based on the COSO criteria.</w:t>
      </w:r>
    </w:p>
    <w:p>
      <w:pPr>
        <w:spacing w:after="0" w:line="2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Gentex Corporation and subsidiaries as of December 31, 2018 and 2017, the related consolidated statements of income, comprehensive income, shareholders' investment and cash flows for each of the three years in the period ended December 31, 2018, and the related notes and our report dated February 22, 2019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6" w:right="2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9019"/>
          </w:cols>
          <w:pgMar w:left="1440" w:top="1408" w:right="1440" w:bottom="1440" w:gutter="0" w:footer="0" w:header="0"/>
        </w:sectPr>
      </w:pPr>
    </w:p>
    <w:bookmarkStart w:id="38" w:name="page39"/>
    <w:bookmarkEnd w:id="38"/>
    <w:p>
      <w:pPr>
        <w:jc w:val="center"/>
        <w:ind w:right="-759"/>
        <w:spacing w:after="0"/>
        <w:rPr>
          <w:sz w:val="20"/>
          <w:szCs w:val="20"/>
          <w:color w:val="auto"/>
        </w:rPr>
      </w:pPr>
      <w:r>
        <w:rPr>
          <w:rFonts w:ascii="Arial" w:cs="Arial" w:eastAsia="Arial" w:hAnsi="Arial"/>
          <w:sz w:val="13"/>
          <w:szCs w:val="13"/>
          <w:color w:val="auto"/>
        </w:rPr>
        <w:t>GENTEX CORPORATION AND SUBSIDIARIES</w:t>
      </w:r>
    </w:p>
    <w:p>
      <w:pPr>
        <w:jc w:val="center"/>
        <w:ind w:right="-759"/>
        <w:spacing w:after="0"/>
        <w:rPr>
          <w:sz w:val="20"/>
          <w:szCs w:val="20"/>
          <w:color w:val="auto"/>
        </w:rPr>
      </w:pPr>
      <w:r>
        <w:rPr>
          <w:rFonts w:ascii="Arial" w:cs="Arial" w:eastAsia="Arial" w:hAnsi="Arial"/>
          <w:sz w:val="13"/>
          <w:szCs w:val="13"/>
          <w:color w:val="auto"/>
        </w:rPr>
        <w:t>CONSOLIDATED BALANCE SHEETS</w:t>
      </w:r>
    </w:p>
    <w:p>
      <w:pPr>
        <w:jc w:val="center"/>
        <w:ind w:right="-759"/>
        <w:spacing w:after="0"/>
        <w:rPr>
          <w:sz w:val="20"/>
          <w:szCs w:val="20"/>
          <w:color w:val="auto"/>
        </w:rPr>
      </w:pPr>
      <w:r>
        <w:rPr>
          <w:rFonts w:ascii="Arial" w:cs="Arial" w:eastAsia="Arial" w:hAnsi="Arial"/>
          <w:sz w:val="13"/>
          <w:szCs w:val="13"/>
          <w:color w:val="auto"/>
        </w:rPr>
        <w:t>AS OF DECEMBER 31, 2018 AND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56"/>
        </w:trPr>
        <w:tc>
          <w:tcPr>
            <w:tcW w:w="7580" w:type="dxa"/>
            <w:vAlign w:val="bottom"/>
            <w:gridSpan w:val="4"/>
            <w:shd w:val="clear" w:color="auto" w:fill="CCEEFF"/>
          </w:tcPr>
          <w:p>
            <w:pPr>
              <w:ind w:left="40"/>
              <w:spacing w:after="0" w:line="155" w:lineRule="exact"/>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800" w:type="dxa"/>
            <w:vAlign w:val="bottom"/>
            <w:tcBorders>
              <w:top w:val="single" w:sz="8" w:color="CCEEFF"/>
            </w:tcBorders>
            <w:shd w:val="clear" w:color="auto" w:fill="CCEEFF"/>
          </w:tcPr>
          <w:p>
            <w:pPr>
              <w:spacing w:after="0"/>
              <w:rPr>
                <w:sz w:val="7"/>
                <w:szCs w:val="7"/>
                <w:color w:val="auto"/>
              </w:rPr>
            </w:pPr>
          </w:p>
        </w:tc>
        <w:tc>
          <w:tcPr>
            <w:tcW w:w="41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CCEEFF"/>
            </w:tcBorders>
            <w:shd w:val="clear" w:color="auto" w:fill="CCEEFF"/>
          </w:tcPr>
          <w:p>
            <w:pPr>
              <w:spacing w:after="0"/>
              <w:rPr>
                <w:sz w:val="7"/>
                <w:szCs w:val="7"/>
                <w:color w:val="auto"/>
              </w:rPr>
            </w:pP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217,025,278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569,734,496</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169,412,999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152,538,054</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213,537,799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231,121,788</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Inventories, net</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225,281,599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216,765,583</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Prepaid expenses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25,672,579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14,403,902</w:t>
            </w:r>
          </w:p>
        </w:tc>
      </w:tr>
      <w:tr>
        <w:trPr>
          <w:trHeight w:val="211"/>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80" w:type="dxa"/>
            <w:vAlign w:val="bottom"/>
            <w:gridSpan w:val="2"/>
          </w:tcPr>
          <w:p>
            <w:pPr>
              <w:ind w:left="120"/>
              <w:spacing w:after="0"/>
              <w:rPr>
                <w:sz w:val="20"/>
                <w:szCs w:val="20"/>
                <w:color w:val="auto"/>
              </w:rPr>
            </w:pPr>
            <w:r>
              <w:rPr>
                <w:rFonts w:ascii="Arial" w:cs="Arial" w:eastAsia="Arial" w:hAnsi="Arial"/>
                <w:sz w:val="14"/>
                <w:szCs w:val="14"/>
                <w:color w:val="auto"/>
              </w:rPr>
              <w:t>Total current assets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850,930,254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1,184,563,823</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Land, buildings and improvements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340,910,332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317,600,833</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838,887,032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790,833,278</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Construction-in-process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18,156,423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35,828,403</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1,197,953,787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1,144,262,514</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Less- Accumulated depreciation</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(699,480,021)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(651,783,184)</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Net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498,473,766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492,479,330</w:t>
            </w: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307,365,845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307,365,845</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Long-term investments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137,979,082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57,782,418</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269,675,000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288,975,000</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Patents and other assets, net</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21,010,121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20,887,496</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736,030,048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675,010,759</w:t>
            </w:r>
          </w:p>
        </w:tc>
      </w:tr>
      <w:tr>
        <w:trPr>
          <w:trHeight w:val="21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2,085,434,068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2,352,053,912</w:t>
            </w:r>
          </w:p>
        </w:tc>
      </w:tr>
      <w:tr>
        <w:trPr>
          <w:trHeight w:val="66"/>
        </w:trPr>
        <w:tc>
          <w:tcPr>
            <w:tcW w:w="4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4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170"/>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LIABILITIES AND SHAREHOLDERS’ INVESTMENT</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800" w:type="dxa"/>
            <w:vAlign w:val="bottom"/>
            <w:tcBorders>
              <w:top w:val="single" w:sz="8" w:color="auto"/>
            </w:tcBorders>
            <w:shd w:val="clear" w:color="auto" w:fill="CCEEFF"/>
          </w:tcPr>
          <w:p>
            <w:pPr>
              <w:spacing w:after="0"/>
              <w:rPr>
                <w:sz w:val="5"/>
                <w:szCs w:val="5"/>
                <w:color w:val="auto"/>
              </w:rPr>
            </w:pPr>
          </w:p>
        </w:tc>
        <w:tc>
          <w:tcPr>
            <w:tcW w:w="4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92,810,316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89,898,467</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4"/>
                <w:szCs w:val="14"/>
                <w:color w:val="auto"/>
              </w:rPr>
              <w:t>Salaries, wages and vacation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15,860,073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18,502,209</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560"/>
              <w:spacing w:after="0"/>
              <w:rPr>
                <w:sz w:val="20"/>
                <w:szCs w:val="20"/>
                <w:color w:val="auto"/>
              </w:rPr>
            </w:pPr>
            <w:r>
              <w:rPr>
                <w:rFonts w:ascii="Arial" w:cs="Arial" w:eastAsia="Arial" w:hAnsi="Arial"/>
                <w:sz w:val="14"/>
                <w:szCs w:val="14"/>
                <w:color w:val="auto"/>
              </w:rPr>
              <w:t>Income taxes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4,293,608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360,014</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4"/>
                <w:szCs w:val="14"/>
                <w:color w:val="auto"/>
              </w:rPr>
              <w:t>Royalties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16,174,041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14,660,864</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560"/>
              <w:spacing w:after="0"/>
              <w:rPr>
                <w:sz w:val="20"/>
                <w:szCs w:val="20"/>
                <w:color w:val="auto"/>
              </w:rPr>
            </w:pPr>
            <w:r>
              <w:rPr>
                <w:rFonts w:ascii="Arial" w:cs="Arial" w:eastAsia="Arial" w:hAnsi="Arial"/>
                <w:sz w:val="14"/>
                <w:szCs w:val="14"/>
                <w:color w:val="auto"/>
              </w:rPr>
              <w:t>Dividends payable</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28,526,147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28,028,132</w:t>
            </w: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4"/>
                <w:szCs w:val="14"/>
                <w:color w:val="auto"/>
              </w:rPr>
              <w:t>Current portion of long 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78,000,000</w:t>
            </w:r>
          </w:p>
        </w:tc>
      </w:tr>
      <w:tr>
        <w:trPr>
          <w:trHeight w:val="231"/>
        </w:trPr>
        <w:tc>
          <w:tcPr>
            <w:tcW w:w="40" w:type="dxa"/>
            <w:vAlign w:val="bottom"/>
          </w:tcPr>
          <w:p>
            <w:pPr>
              <w:spacing w:after="0"/>
              <w:rPr>
                <w:sz w:val="20"/>
                <w:szCs w:val="20"/>
                <w:color w:val="auto"/>
              </w:rPr>
            </w:pPr>
          </w:p>
        </w:tc>
        <w:tc>
          <w:tcPr>
            <w:tcW w:w="7540" w:type="dxa"/>
            <w:vAlign w:val="bottom"/>
            <w:gridSpan w:val="3"/>
          </w:tcPr>
          <w:p>
            <w:pPr>
              <w:ind w:left="56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11,496,734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14,197,321</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169,160,919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243,647,007</w:t>
            </w:r>
          </w:p>
        </w:tc>
      </w:tr>
      <w:tr>
        <w:trPr>
          <w:trHeight w:val="231"/>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54,521,489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58,888,644</w:t>
            </w:r>
          </w:p>
        </w:tc>
      </w:tr>
      <w:tr>
        <w:trPr>
          <w:trHeight w:val="39"/>
        </w:trPr>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4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0"/>
        </w:trPr>
        <w:tc>
          <w:tcPr>
            <w:tcW w:w="7580" w:type="dxa"/>
            <w:vAlign w:val="bottom"/>
            <w:gridSpan w:val="4"/>
          </w:tcPr>
          <w:p>
            <w:pPr>
              <w:ind w:left="4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223,682,408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302,535,651</w:t>
            </w:r>
          </w:p>
        </w:tc>
      </w:tr>
      <w:tr>
        <w:trPr>
          <w:trHeight w:val="195"/>
        </w:trPr>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bl>
    <w:p>
      <w:pPr>
        <w:spacing w:after="0" w:line="59" w:lineRule="exact"/>
        <w:rPr>
          <w:sz w:val="20"/>
          <w:szCs w:val="20"/>
          <w:color w:val="auto"/>
        </w:rPr>
      </w:pPr>
    </w:p>
    <w:p>
      <w:pPr>
        <w:sectPr>
          <w:pgSz w:w="11900" w:h="16838" w:orient="portrait"/>
          <w:cols w:equalWidth="0" w:num="1">
            <w:col w:w="10660"/>
          </w:cols>
          <w:pgMar w:left="240" w:top="808" w:right="999" w:bottom="1030" w:gutter="0" w:footer="0" w:header="0"/>
        </w:sectPr>
      </w:pPr>
    </w:p>
    <w:p>
      <w:pPr>
        <w:ind w:left="40"/>
        <w:spacing w:after="0"/>
        <w:rPr>
          <w:sz w:val="20"/>
          <w:szCs w:val="20"/>
          <w:color w:val="auto"/>
        </w:rPr>
      </w:pPr>
      <w:r>
        <w:rPr>
          <w:rFonts w:ascii="Arial" w:cs="Arial" w:eastAsia="Arial" w:hAnsi="Arial"/>
          <w:sz w:val="14"/>
          <w:szCs w:val="14"/>
          <w:color w:val="auto"/>
        </w:rPr>
        <w:t>SHAREHOLDERS’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75767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767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Preferred stock, no par value, 5,000,000 shares authorized; none issued or outstanding</w:t>
      </w:r>
    </w:p>
    <w:p>
      <w:pPr>
        <w:spacing w:after="0" w:line="82" w:lineRule="exact"/>
        <w:rPr>
          <w:sz w:val="20"/>
          <w:szCs w:val="20"/>
          <w:color w:val="auto"/>
        </w:rPr>
      </w:pPr>
    </w:p>
    <w:p>
      <w:pPr>
        <w:ind w:left="380"/>
        <w:spacing w:after="0" w:line="258" w:lineRule="auto"/>
        <w:rPr>
          <w:sz w:val="20"/>
          <w:szCs w:val="20"/>
          <w:color w:val="auto"/>
        </w:rPr>
      </w:pPr>
      <w:r>
        <w:rPr>
          <w:rFonts w:ascii="Arial" w:cs="Arial" w:eastAsia="Arial" w:hAnsi="Arial"/>
          <w:sz w:val="14"/>
          <w:szCs w:val="14"/>
          <w:color w:val="auto"/>
        </w:rPr>
        <w:t>Common stock, par value $.06 per share; 400,000,000 shares authorized; 259,328,613 and 280,281,321 shares issued and outstanding in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75767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7670" cy="171450"/>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Additional paid-in capital</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75767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767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Accumulated other comprehensive income: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780"/>
        <w:spacing w:after="0"/>
        <w:tabs>
          <w:tab w:leader="none" w:pos="2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63" w:lineRule="exact"/>
        <w:rPr>
          <w:sz w:val="20"/>
          <w:szCs w:val="20"/>
          <w:color w:val="auto"/>
        </w:rPr>
      </w:pPr>
    </w:p>
    <w:p>
      <w:pPr>
        <w:ind w:left="200"/>
        <w:spacing w:after="0"/>
        <w:tabs>
          <w:tab w:leader="none" w:pos="1760" w:val="left"/>
        </w:tabs>
        <w:rPr>
          <w:sz w:val="20"/>
          <w:szCs w:val="20"/>
          <w:color w:val="auto"/>
        </w:rPr>
      </w:pPr>
      <w:r>
        <w:rPr>
          <w:rFonts w:ascii="Arial" w:cs="Arial" w:eastAsia="Arial" w:hAnsi="Arial"/>
          <w:sz w:val="14"/>
          <w:szCs w:val="14"/>
          <w:color w:val="auto"/>
        </w:rPr>
        <w:t>15,559,717</w:t>
      </w:r>
      <w:r>
        <w:rPr>
          <w:sz w:val="20"/>
          <w:szCs w:val="20"/>
          <w:color w:val="auto"/>
        </w:rPr>
        <w:tab/>
      </w:r>
      <w:r>
        <w:rPr>
          <w:rFonts w:ascii="Arial" w:cs="Arial" w:eastAsia="Arial" w:hAnsi="Arial"/>
          <w:sz w:val="14"/>
          <w:szCs w:val="14"/>
          <w:color w:val="auto"/>
        </w:rPr>
        <w:t>16,816,879</w:t>
      </w:r>
    </w:p>
    <w:p>
      <w:pPr>
        <w:spacing w:after="0" w:line="163"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color w:val="auto"/>
        </w:rPr>
        <w:t>745,324,144</w:t>
      </w:r>
      <w:r>
        <w:rPr>
          <w:sz w:val="20"/>
          <w:szCs w:val="20"/>
          <w:color w:val="auto"/>
        </w:rPr>
        <w:tab/>
      </w:r>
      <w:r>
        <w:rPr>
          <w:rFonts w:ascii="Arial" w:cs="Arial" w:eastAsia="Arial" w:hAnsi="Arial"/>
          <w:sz w:val="14"/>
          <w:szCs w:val="14"/>
          <w:color w:val="auto"/>
        </w:rPr>
        <w:t>723,510,672</w:t>
      </w:r>
    </w:p>
    <w:p>
      <w:pPr>
        <w:spacing w:after="0" w:line="10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1,102,468,137</w:t>
      </w:r>
      <w:r>
        <w:rPr>
          <w:sz w:val="20"/>
          <w:szCs w:val="20"/>
          <w:color w:val="auto"/>
        </w:rPr>
        <w:tab/>
      </w:r>
      <w:r>
        <w:rPr>
          <w:rFonts w:ascii="Arial" w:cs="Arial" w:eastAsia="Arial" w:hAnsi="Arial"/>
          <w:sz w:val="14"/>
          <w:szCs w:val="14"/>
          <w:color w:val="auto"/>
        </w:rPr>
        <w:t>1,301,997,327</w:t>
      </w:r>
    </w:p>
    <w:p>
      <w:pPr>
        <w:spacing w:after="0" w:line="379" w:lineRule="exact"/>
        <w:rPr>
          <w:sz w:val="20"/>
          <w:szCs w:val="20"/>
          <w:color w:val="auto"/>
        </w:rPr>
      </w:pPr>
    </w:p>
    <w:p>
      <w:pPr>
        <w:sectPr>
          <w:pgSz w:w="11900" w:h="16838" w:orient="portrait"/>
          <w:cols w:equalWidth="0" w:num="2">
            <w:col w:w="7520" w:space="540"/>
            <w:col w:w="2600"/>
          </w:cols>
          <w:pgMar w:left="240" w:top="808" w:right="999" w:bottom="103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7580" w:type="dxa"/>
            <w:vAlign w:val="bottom"/>
          </w:tcPr>
          <w:p>
            <w:pPr>
              <w:ind w:left="720"/>
              <w:spacing w:after="0"/>
              <w:rPr>
                <w:sz w:val="20"/>
                <w:szCs w:val="20"/>
                <w:color w:val="auto"/>
              </w:rPr>
            </w:pPr>
            <w:r>
              <w:rPr>
                <w:rFonts w:ascii="Arial" w:cs="Arial" w:eastAsia="Arial" w:hAnsi="Arial"/>
                <w:sz w:val="14"/>
                <w:szCs w:val="14"/>
                <w:color w:val="auto"/>
              </w:rPr>
              <w:t>Unrealized gain on investments</w:t>
            </w:r>
          </w:p>
        </w:tc>
        <w:tc>
          <w:tcPr>
            <w:tcW w:w="2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74,549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6,626,379</w:t>
            </w:r>
          </w:p>
        </w:tc>
      </w:tr>
      <w:tr>
        <w:trPr>
          <w:trHeight w:val="39"/>
        </w:trPr>
        <w:tc>
          <w:tcPr>
            <w:tcW w:w="7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7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Unrealized gain (loss)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(78,026)</w:t>
            </w:r>
          </w:p>
        </w:tc>
      </w:tr>
      <w:tr>
        <w:trPr>
          <w:trHeight w:val="231"/>
        </w:trPr>
        <w:tc>
          <w:tcPr>
            <w:tcW w:w="7580" w:type="dxa"/>
            <w:vAlign w:val="bottom"/>
          </w:tcPr>
          <w:p>
            <w:pPr>
              <w:ind w:left="720"/>
              <w:spacing w:after="0"/>
              <w:rPr>
                <w:sz w:val="20"/>
                <w:szCs w:val="20"/>
                <w:color w:val="auto"/>
              </w:rPr>
            </w:pPr>
            <w:r>
              <w:rPr>
                <w:rFonts w:ascii="Arial" w:cs="Arial" w:eastAsia="Arial" w:hAnsi="Arial"/>
                <w:sz w:val="14"/>
                <w:szCs w:val="14"/>
                <w:color w:val="auto"/>
              </w:rPr>
              <w:t>Cumulative translation adjustment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(1,674,887)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645,030</w:t>
            </w:r>
          </w:p>
        </w:tc>
      </w:tr>
      <w:tr>
        <w:trPr>
          <w:trHeight w:val="39"/>
        </w:trPr>
        <w:tc>
          <w:tcPr>
            <w:tcW w:w="75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7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Total shareholders’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1,861,751,660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2,049,518,261</w:t>
            </w:r>
          </w:p>
        </w:tc>
      </w:tr>
      <w:tr>
        <w:trPr>
          <w:trHeight w:val="211"/>
        </w:trPr>
        <w:tc>
          <w:tcPr>
            <w:tcW w:w="7580" w:type="dxa"/>
            <w:vAlign w:val="bottom"/>
          </w:tcPr>
          <w:p>
            <w:pPr>
              <w:ind w:left="40"/>
              <w:spacing w:after="0"/>
              <w:rPr>
                <w:sz w:val="20"/>
                <w:szCs w:val="20"/>
                <w:color w:val="auto"/>
              </w:rPr>
            </w:pPr>
            <w:r>
              <w:rPr>
                <w:rFonts w:ascii="Arial" w:cs="Arial" w:eastAsia="Arial" w:hAnsi="Arial"/>
                <w:sz w:val="14"/>
                <w:szCs w:val="14"/>
                <w:color w:val="auto"/>
              </w:rPr>
              <w:t>TOTAL LIABILITES AND SHAREHOLDERS' INVESTMENT</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2,085,434,068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2,352,053,912</w:t>
            </w:r>
          </w:p>
        </w:tc>
      </w:tr>
      <w:tr>
        <w:trPr>
          <w:trHeight w:val="26"/>
        </w:trPr>
        <w:tc>
          <w:tcPr>
            <w:tcW w:w="7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8"/>
        </w:trPr>
        <w:tc>
          <w:tcPr>
            <w:tcW w:w="9180" w:type="dxa"/>
            <w:vAlign w:val="bottom"/>
            <w:gridSpan w:val="4"/>
          </w:tcPr>
          <w:p>
            <w:pPr>
              <w:ind w:left="2920"/>
              <w:spacing w:after="0" w:line="157" w:lineRule="exact"/>
              <w:rPr>
                <w:sz w:val="20"/>
                <w:szCs w:val="20"/>
                <w:color w:val="auto"/>
              </w:rPr>
            </w:pPr>
            <w:r>
              <w:rPr>
                <w:rFonts w:ascii="Arial" w:cs="Arial" w:eastAsia="Arial" w:hAnsi="Arial"/>
                <w:sz w:val="14"/>
                <w:szCs w:val="14"/>
                <w:color w:val="auto"/>
              </w:rPr>
              <w:t>The accompanying notes are an integral part of these consolidated financial statements.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660"/>
          </w:cols>
          <w:pgMar w:left="240" w:top="808" w:right="999" w:bottom="1030" w:gutter="0" w:footer="0" w:header="0"/>
          <w:type w:val="continuous"/>
        </w:sectPr>
      </w:pP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60"/>
          </w:cols>
          <w:pgMar w:left="240" w:top="808" w:right="999" w:bottom="103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2018, 2017 AND 2016</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1,834,063,697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1,794,872,578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1,678,924,756</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1,143,597,005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1,100,344,312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1,010,472,512</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690,466,692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694,528,266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668,452,244</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Engineering, research and development</w:t>
            </w: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107,134,862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99,726,438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94,238,032</w:t>
            </w: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75,206,283</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71,443,476</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62,471,277</w:t>
            </w:r>
          </w:p>
        </w:tc>
      </w:tr>
      <w:tr>
        <w:trPr>
          <w:trHeight w:val="244"/>
        </w:trPr>
        <w:tc>
          <w:tcPr>
            <w:tcW w:w="46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182,341,145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171,169,914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156,709,309</w:t>
            </w:r>
          </w:p>
        </w:tc>
      </w:tr>
      <w:tr>
        <w:trPr>
          <w:trHeight w:val="297"/>
        </w:trPr>
        <w:tc>
          <w:tcPr>
            <w:tcW w:w="4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508,125,547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523,358,352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511,742,935</w:t>
            </w:r>
          </w:p>
        </w:tc>
      </w:tr>
      <w:tr>
        <w:trPr>
          <w:trHeight w:val="304"/>
        </w:trPr>
        <w:tc>
          <w:tcPr>
            <w:tcW w:w="4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 income</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11,262,385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9,442,387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4,787,128</w:t>
            </w: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2,659,015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(1,004,035)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(5,969,290)</w:t>
            </w:r>
          </w:p>
        </w:tc>
      </w:tr>
      <w:tr>
        <w:trPr>
          <w:trHeight w:val="250"/>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0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13,921,400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8,438,352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(1,182,162)</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522,046,947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531,796,704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510,560,773</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84,163,850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125,004,782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162,969,497</w:t>
            </w:r>
          </w:p>
        </w:tc>
      </w:tr>
      <w:tr>
        <w:trPr>
          <w:trHeight w:val="297"/>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437,883,097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406,791,922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347,591,276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90"/>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464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0.390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0.355</w:t>
            </w:r>
          </w:p>
        </w:tc>
      </w:tr>
      <w:tr>
        <w:trPr>
          <w:trHeight w:val="351"/>
        </w:trPr>
        <w:tc>
          <w:tcPr>
            <w:tcW w:w="9580" w:type="dxa"/>
            <w:vAlign w:val="bottom"/>
            <w:gridSpan w:val="8"/>
          </w:tcPr>
          <w:p>
            <w:pPr>
              <w:ind w:left="2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4640" w:type="dxa"/>
            <w:vAlign w:val="bottom"/>
          </w:tcPr>
          <w:p>
            <w:pPr>
              <w:spacing w:after="0"/>
              <w:rPr>
                <w:sz w:val="24"/>
                <w:szCs w:val="24"/>
                <w:color w:val="auto"/>
              </w:rPr>
            </w:pP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 OF COMPREHENSIVE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2018,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437,883,097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406,791,922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347,591,276</w:t>
            </w:r>
          </w:p>
        </w:tc>
      </w:tr>
      <w:tr>
        <w:trPr>
          <w:trHeight w:val="324"/>
        </w:trPr>
        <w:tc>
          <w:tcPr>
            <w:tcW w:w="6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(2,319,917)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3,508,029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(2,818,090)</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on derivatives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1,721,933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1,105,468</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gains on available-for-sale securities, net</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115,059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5,903,699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3,013,951</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(2,106,091)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11,133,661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1,301,328</w:t>
            </w:r>
          </w:p>
        </w:tc>
      </w:tr>
      <w:tr>
        <w:trPr>
          <w:trHeight w:val="331"/>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Expense for income taxes related to components of other comprehensive</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(loss)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2,668,973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1,441,798</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(2,150,994)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8,464,688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(140,469)</w:t>
            </w:r>
          </w:p>
        </w:tc>
      </w:tr>
      <w:tr>
        <w:trPr>
          <w:trHeight w:val="324"/>
        </w:trPr>
        <w:tc>
          <w:tcPr>
            <w:tcW w:w="6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435,732,103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415,256,610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347,450,807</w:t>
            </w: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 OF SHAREHOLDERS’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2018, 2017 and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Common</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Capital</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Earnings</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36"/>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JANUARY 1, 2016</w:t>
            </w:r>
          </w:p>
        </w:tc>
        <w:tc>
          <w:tcPr>
            <w:tcW w:w="10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291,338,011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17,480,281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$596,782,695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$1,109,384,621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(1,130,836)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$1,722,516,761</w:t>
            </w: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Issuance of common stock</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6,705,632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402,338</w:t>
            </w:r>
          </w:p>
        </w:tc>
        <w:tc>
          <w:tcPr>
            <w:tcW w:w="120" w:type="dxa"/>
            <w:vAlign w:val="bottom"/>
          </w:tcPr>
          <w:p>
            <w:pPr>
              <w:spacing w:after="0"/>
              <w:rPr>
                <w:sz w:val="17"/>
                <w:szCs w:val="17"/>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86,491,101</w:t>
            </w:r>
          </w:p>
        </w:tc>
        <w:tc>
          <w:tcPr>
            <w:tcW w:w="10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86,893,439</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(10,306,127)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(618,368)</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(19,020,032)</w:t>
            </w:r>
          </w:p>
        </w:tc>
        <w:tc>
          <w:tcPr>
            <w:tcW w:w="1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(143,722,821)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(163,361,221)</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16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20" w:type="dxa"/>
            <w:vAlign w:val="bottom"/>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19,192,699</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19,192,699</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declared ($.355 per share)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(102,268,251)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(102,268,251)</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347,591,276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347,591,276</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income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(140,469)</w:t>
            </w:r>
          </w:p>
        </w:tc>
        <w:tc>
          <w:tcPr>
            <w:tcW w:w="1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(140,469)</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0"/>
              <w:spacing w:after="0"/>
              <w:rPr>
                <w:sz w:val="20"/>
                <w:szCs w:val="20"/>
                <w:color w:val="auto"/>
              </w:rPr>
            </w:pPr>
            <w:r>
              <w:rPr>
                <w:rFonts w:ascii="Arial" w:cs="Arial" w:eastAsia="Arial" w:hAnsi="Arial"/>
                <w:sz w:val="14"/>
                <w:szCs w:val="14"/>
                <w:color w:val="auto"/>
              </w:rPr>
              <w:t>BALANCE AS OF DECEMBER 31, 2016</w:t>
            </w:r>
          </w:p>
        </w:tc>
        <w:tc>
          <w:tcPr>
            <w:tcW w:w="10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287,737,516</w:t>
            </w:r>
          </w:p>
        </w:tc>
        <w:tc>
          <w:tcPr>
            <w:tcW w:w="12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17,264,251</w:t>
            </w:r>
          </w:p>
        </w:tc>
        <w:tc>
          <w:tcPr>
            <w:tcW w:w="120" w:type="dxa"/>
            <w:vAlign w:val="bottom"/>
          </w:tcPr>
          <w:p>
            <w:pPr>
              <w:spacing w:after="0"/>
              <w:rPr>
                <w:sz w:val="16"/>
                <w:szCs w:val="16"/>
                <w:color w:val="auto"/>
              </w:rPr>
            </w:pPr>
          </w:p>
        </w:tc>
        <w:tc>
          <w:tcPr>
            <w:tcW w:w="10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$683,446,463</w:t>
            </w:r>
          </w:p>
        </w:tc>
        <w:tc>
          <w:tcPr>
            <w:tcW w:w="100" w:type="dxa"/>
            <w:vAlign w:val="bottom"/>
          </w:tcPr>
          <w:p>
            <w:pPr>
              <w:spacing w:after="0"/>
              <w:rPr>
                <w:sz w:val="16"/>
                <w:szCs w:val="16"/>
                <w:color w:val="auto"/>
              </w:rPr>
            </w:pPr>
          </w:p>
        </w:tc>
        <w:tc>
          <w:tcPr>
            <w:tcW w:w="11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$1,210,984,825</w:t>
            </w:r>
          </w:p>
        </w:tc>
        <w:tc>
          <w:tcPr>
            <w:tcW w:w="100" w:type="dxa"/>
            <w:vAlign w:val="bottom"/>
          </w:tcPr>
          <w:p>
            <w:pPr>
              <w:spacing w:after="0"/>
              <w:rPr>
                <w:sz w:val="16"/>
                <w:szCs w:val="16"/>
                <w:color w:val="auto"/>
              </w:rPr>
            </w:pP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(1,271,305)</w:t>
            </w:r>
          </w:p>
        </w:tc>
        <w:tc>
          <w:tcPr>
            <w:tcW w:w="120" w:type="dxa"/>
            <w:vAlign w:val="bottom"/>
          </w:tcPr>
          <w:p>
            <w:pPr>
              <w:spacing w:after="0"/>
              <w:rPr>
                <w:sz w:val="16"/>
                <w:szCs w:val="16"/>
                <w:color w:val="auto"/>
              </w:rPr>
            </w:pPr>
          </w:p>
        </w:tc>
        <w:tc>
          <w:tcPr>
            <w:tcW w:w="11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$1,910,424,234</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4,498,729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269,923</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47,500,544</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47,770,467</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(11,954,924)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(717,295)</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(25,813,300)</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(204,832,621)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(231,363,216)</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18,376,965</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18,376,965</w:t>
            </w: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Dividends declared ($.39 per share)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(110,946,799)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(110,946,799)</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406,791,922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406,791,922</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8,464,688</w:t>
            </w:r>
          </w:p>
        </w:tc>
        <w:tc>
          <w:tcPr>
            <w:tcW w:w="120" w:type="dxa"/>
            <w:vAlign w:val="bottom"/>
          </w:tcPr>
          <w:p>
            <w:pPr>
              <w:spacing w:after="0"/>
              <w:rPr>
                <w:sz w:val="17"/>
                <w:szCs w:val="17"/>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8,464,688</w:t>
            </w:r>
          </w:p>
        </w:tc>
        <w:tc>
          <w:tcPr>
            <w:tcW w:w="0" w:type="dxa"/>
            <w:vAlign w:val="bottom"/>
          </w:tcPr>
          <w:p>
            <w:pPr>
              <w:spacing w:after="0"/>
              <w:rPr>
                <w:sz w:val="1"/>
                <w:szCs w:val="1"/>
                <w:color w:val="auto"/>
              </w:rPr>
            </w:pPr>
          </w:p>
        </w:tc>
      </w:tr>
      <w:tr>
        <w:trPr>
          <w:trHeight w:val="60"/>
        </w:trPr>
        <w:tc>
          <w:tcPr>
            <w:tcW w:w="44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vMerge w:val="continue"/>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260" w:type="dxa"/>
            <w:vAlign w:val="bottom"/>
            <w:tcBorders>
              <w:bottom w:val="single" w:sz="8" w:color="auto"/>
            </w:tcBorders>
            <w:gridSpan w:val="2"/>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2017</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280,281,321</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16,816,879</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$723,510,672</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$1,301,997,327</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7,193,383</w:t>
            </w:r>
          </w:p>
        </w:tc>
        <w:tc>
          <w:tcPr>
            <w:tcW w:w="1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$2,049,518,261</w:t>
            </w:r>
          </w:p>
        </w:tc>
        <w:tc>
          <w:tcPr>
            <w:tcW w:w="0" w:type="dxa"/>
            <w:vAlign w:val="bottom"/>
          </w:tcPr>
          <w:p>
            <w:pPr>
              <w:spacing w:after="0"/>
              <w:rPr>
                <w:sz w:val="1"/>
                <w:szCs w:val="1"/>
                <w:color w:val="auto"/>
              </w:rPr>
            </w:pPr>
          </w:p>
        </w:tc>
      </w:tr>
      <w:tr>
        <w:trPr>
          <w:trHeight w:val="80"/>
        </w:trPr>
        <w:tc>
          <w:tcPr>
            <w:tcW w:w="44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Issuance of common stock</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5,496,659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329,801</w:t>
            </w:r>
          </w:p>
        </w:tc>
        <w:tc>
          <w:tcPr>
            <w:tcW w:w="120" w:type="dxa"/>
            <w:vAlign w:val="bottom"/>
          </w:tcPr>
          <w:p>
            <w:pPr>
              <w:spacing w:after="0"/>
              <w:rPr>
                <w:sz w:val="17"/>
                <w:szCs w:val="17"/>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66,508,019</w:t>
            </w:r>
          </w:p>
        </w:tc>
        <w:tc>
          <w:tcPr>
            <w:tcW w:w="10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66,837,820</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Repurchases of common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(26,449,367)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(1,586,963)</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(63,000,528)</w:t>
            </w:r>
          </w:p>
        </w:tc>
        <w:tc>
          <w:tcPr>
            <w:tcW w:w="1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(526,990,360)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(591,577,851)</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160"/>
              <w:spacing w:after="0"/>
              <w:rPr>
                <w:sz w:val="20"/>
                <w:szCs w:val="20"/>
                <w:color w:val="auto"/>
              </w:rPr>
            </w:pPr>
            <w:r>
              <w:rPr>
                <w:rFonts w:ascii="Arial" w:cs="Arial" w:eastAsia="Arial" w:hAnsi="Arial"/>
                <w:sz w:val="14"/>
                <w:szCs w:val="14"/>
                <w:color w:val="auto"/>
              </w:rPr>
              <w:t>Stock-based compensation expense related to stock options,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20" w:type="dxa"/>
            <w:vAlign w:val="bottom"/>
          </w:tcPr>
          <w:p>
            <w:pPr>
              <w:ind w:left="40"/>
              <w:spacing w:after="0"/>
              <w:rPr>
                <w:sz w:val="20"/>
                <w:szCs w:val="20"/>
                <w:color w:val="auto"/>
              </w:rPr>
            </w:pPr>
            <w:r>
              <w:rPr>
                <w:rFonts w:ascii="Arial" w:cs="Arial" w:eastAsia="Arial" w:hAnsi="Arial"/>
                <w:sz w:val="14"/>
                <w:szCs w:val="14"/>
                <w:color w:val="auto"/>
              </w:rPr>
              <w:t>employee stock purchases and restricted stock</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18,305,981</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18,305,981</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Impact of ASU 2016-01 adoption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6,642,727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(6,642,727)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Dividends declared ($.44 per share)</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(117,064,654)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(117,064,654)</w:t>
            </w:r>
          </w:p>
        </w:tc>
        <w:tc>
          <w:tcPr>
            <w:tcW w:w="0" w:type="dxa"/>
            <w:vAlign w:val="bottom"/>
          </w:tcPr>
          <w:p>
            <w:pPr>
              <w:spacing w:after="0"/>
              <w:rPr>
                <w:sz w:val="1"/>
                <w:szCs w:val="1"/>
                <w:color w:val="auto"/>
              </w:rPr>
            </w:pPr>
          </w:p>
        </w:tc>
      </w:tr>
      <w:tr>
        <w:trPr>
          <w:trHeight w:val="60"/>
        </w:trPr>
        <w:tc>
          <w:tcPr>
            <w:tcW w:w="4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437,883,097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437,883,097</w:t>
            </w:r>
          </w:p>
        </w:tc>
        <w:tc>
          <w:tcPr>
            <w:tcW w:w="0" w:type="dxa"/>
            <w:vAlign w:val="bottom"/>
          </w:tcPr>
          <w:p>
            <w:pPr>
              <w:spacing w:after="0"/>
              <w:rPr>
                <w:sz w:val="1"/>
                <w:szCs w:val="1"/>
                <w:color w:val="auto"/>
              </w:rPr>
            </w:pPr>
          </w:p>
        </w:tc>
      </w:tr>
      <w:tr>
        <w:trPr>
          <w:trHeight w:val="66"/>
        </w:trPr>
        <w:tc>
          <w:tcPr>
            <w:tcW w:w="442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420" w:type="dxa"/>
            <w:vAlign w:val="bottom"/>
          </w:tcPr>
          <w:p>
            <w:pPr>
              <w:ind w:left="160"/>
              <w:spacing w:after="0"/>
              <w:rPr>
                <w:sz w:val="20"/>
                <w:szCs w:val="20"/>
                <w:color w:val="auto"/>
              </w:rPr>
            </w:pPr>
            <w:r>
              <w:rPr>
                <w:rFonts w:ascii="Arial" w:cs="Arial" w:eastAsia="Arial" w:hAnsi="Arial"/>
                <w:sz w:val="14"/>
                <w:szCs w:val="14"/>
                <w:color w:val="auto"/>
              </w:rPr>
              <w:t>Other comprehensive (loss)</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(2,150,994)</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(2,150,994)</w:t>
            </w:r>
          </w:p>
        </w:tc>
        <w:tc>
          <w:tcPr>
            <w:tcW w:w="0" w:type="dxa"/>
            <w:vAlign w:val="bottom"/>
          </w:tcPr>
          <w:p>
            <w:pPr>
              <w:spacing w:after="0"/>
              <w:rPr>
                <w:sz w:val="1"/>
                <w:szCs w:val="1"/>
                <w:color w:val="auto"/>
              </w:rPr>
            </w:pPr>
          </w:p>
        </w:tc>
      </w:tr>
      <w:tr>
        <w:trPr>
          <w:trHeight w:val="60"/>
        </w:trPr>
        <w:tc>
          <w:tcPr>
            <w:tcW w:w="44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vMerge w:val="continue"/>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260" w:type="dxa"/>
            <w:vAlign w:val="bottom"/>
            <w:tcBorders>
              <w:bottom w:val="single" w:sz="8" w:color="auto"/>
            </w:tcBorders>
            <w:gridSpan w:val="2"/>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2018</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259,328,613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15,559,717</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$745,324,144</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$1,102,468,137</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(1,600,338)</w:t>
            </w:r>
          </w:p>
        </w:tc>
        <w:tc>
          <w:tcPr>
            <w:tcW w:w="1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$1,861,751,660</w:t>
            </w:r>
          </w:p>
        </w:tc>
        <w:tc>
          <w:tcPr>
            <w:tcW w:w="0" w:type="dxa"/>
            <w:vAlign w:val="bottom"/>
          </w:tcPr>
          <w:p>
            <w:pPr>
              <w:spacing w:after="0"/>
              <w:rPr>
                <w:sz w:val="1"/>
                <w:szCs w:val="1"/>
                <w:color w:val="auto"/>
              </w:rPr>
            </w:pPr>
          </w:p>
        </w:tc>
      </w:tr>
      <w:tr>
        <w:trPr>
          <w:trHeight w:val="60"/>
        </w:trPr>
        <w:tc>
          <w:tcPr>
            <w:tcW w:w="44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 There may be some differences due to rounding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8" w:right="239" w:bottom="1440" w:gutter="0" w:footer="0" w:header="0"/>
        </w:sectPr>
      </w:pPr>
    </w:p>
    <w:bookmarkStart w:id="42" w:name="page43"/>
    <w:bookmarkEnd w:id="42"/>
    <w:p>
      <w:pPr>
        <w:ind w:left="378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44" w:lineRule="exact"/>
        <w:rPr>
          <w:sz w:val="20"/>
          <w:szCs w:val="20"/>
          <w:color w:val="auto"/>
        </w:rPr>
      </w:pPr>
    </w:p>
    <w:p>
      <w:pPr>
        <w:ind w:left="3620"/>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144" w:lineRule="exact"/>
        <w:rPr>
          <w:sz w:val="20"/>
          <w:szCs w:val="20"/>
          <w:color w:val="auto"/>
        </w:rPr>
      </w:pPr>
    </w:p>
    <w:p>
      <w:pPr>
        <w:ind w:left="3000"/>
        <w:spacing w:after="0"/>
        <w:rPr>
          <w:sz w:val="20"/>
          <w:szCs w:val="20"/>
          <w:color w:val="auto"/>
        </w:rPr>
      </w:pPr>
      <w:r>
        <w:rPr>
          <w:rFonts w:ascii="Arial" w:cs="Arial" w:eastAsia="Arial" w:hAnsi="Arial"/>
          <w:sz w:val="18"/>
          <w:szCs w:val="18"/>
          <w:u w:val="single" w:color="auto"/>
          <w:color w:val="auto"/>
        </w:rPr>
        <w:t>FOR THE YEARS ENDED DECEMBER 31, 2018,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437,883,097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406,791,922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347,591,276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102,186,814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99,570,908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88,587,430</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disposal of assets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(146,261)</w:t>
            </w:r>
          </w:p>
        </w:tc>
        <w:tc>
          <w:tcPr>
            <w:tcW w:w="0" w:type="dxa"/>
            <w:vAlign w:val="bottom"/>
          </w:tcPr>
          <w:p>
            <w:pPr>
              <w:spacing w:after="0"/>
              <w:rPr>
                <w:sz w:val="1"/>
                <w:szCs w:val="1"/>
                <w:color w:val="auto"/>
              </w:rPr>
            </w:pP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Loss on disposal of assets</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108,927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299,174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1,080,486</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sale of investments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(2,538,729)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(4,239,895)</w:t>
            </w:r>
          </w:p>
        </w:tc>
        <w:tc>
          <w:tcPr>
            <w:tcW w:w="0" w:type="dxa"/>
            <w:vAlign w:val="bottom"/>
          </w:tcPr>
          <w:p>
            <w:pPr>
              <w:spacing w:after="0"/>
              <w:rPr>
                <w:sz w:val="1"/>
                <w:szCs w:val="1"/>
                <w:color w:val="auto"/>
              </w:rPr>
            </w:pPr>
          </w:p>
        </w:tc>
      </w:tr>
      <w:tr>
        <w:trPr>
          <w:trHeight w:val="263"/>
        </w:trPr>
        <w:tc>
          <w:tcPr>
            <w:tcW w:w="6120" w:type="dxa"/>
            <w:vAlign w:val="bottom"/>
          </w:tcPr>
          <w:p>
            <w:pPr>
              <w:ind w:left="500"/>
              <w:spacing w:after="0"/>
              <w:rPr>
                <w:sz w:val="20"/>
                <w:szCs w:val="20"/>
                <w:color w:val="auto"/>
              </w:rPr>
            </w:pPr>
            <w:r>
              <w:rPr>
                <w:rFonts w:ascii="Arial" w:cs="Arial" w:eastAsia="Arial" w:hAnsi="Arial"/>
                <w:sz w:val="18"/>
                <w:szCs w:val="18"/>
                <w:color w:val="auto"/>
              </w:rPr>
              <w:t>Loss on sale of investments</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532,494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375,388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3,919,698</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(4,414,739)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(14,996,179)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22,498,361</w:t>
            </w:r>
          </w:p>
        </w:tc>
        <w:tc>
          <w:tcPr>
            <w:tcW w:w="0" w:type="dxa"/>
            <w:vAlign w:val="bottom"/>
          </w:tcPr>
          <w:p>
            <w:pPr>
              <w:spacing w:after="0"/>
              <w:rPr>
                <w:sz w:val="1"/>
                <w:szCs w:val="1"/>
                <w:color w:val="auto"/>
              </w:rPr>
            </w:pPr>
          </w:p>
        </w:tc>
      </w:tr>
      <w:tr>
        <w:trPr>
          <w:trHeight w:val="229"/>
        </w:trPr>
        <w:tc>
          <w:tcPr>
            <w:tcW w:w="6120" w:type="dxa"/>
            <w:vAlign w:val="bottom"/>
          </w:tcPr>
          <w:p>
            <w:pPr>
              <w:ind w:left="500"/>
              <w:spacing w:after="0"/>
              <w:rPr>
                <w:sz w:val="20"/>
                <w:szCs w:val="20"/>
                <w:color w:val="auto"/>
              </w:rPr>
            </w:pPr>
            <w:r>
              <w:rPr>
                <w:rFonts w:ascii="Arial" w:cs="Arial" w:eastAsia="Arial" w:hAnsi="Arial"/>
                <w:sz w:val="18"/>
                <w:szCs w:val="18"/>
                <w:color w:val="auto"/>
              </w:rPr>
              <w:t>Stock based compensation expense related to employee stock</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500"/>
              <w:spacing w:after="0"/>
              <w:rPr>
                <w:sz w:val="20"/>
                <w:szCs w:val="20"/>
                <w:color w:val="auto"/>
              </w:rPr>
            </w:pPr>
            <w:r>
              <w:rPr>
                <w:rFonts w:ascii="Arial" w:cs="Arial" w:eastAsia="Arial" w:hAnsi="Arial"/>
                <w:sz w:val="18"/>
                <w:szCs w:val="18"/>
                <w:color w:val="auto"/>
              </w:rPr>
              <w:t>options, employee stock purchases and restricted stock</w:t>
            </w:r>
          </w:p>
        </w:tc>
        <w:tc>
          <w:tcPr>
            <w:tcW w:w="3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18,305,981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18,376,965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19,192,699</w:t>
            </w: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120" w:type="dxa"/>
            <w:vAlign w:val="bottom"/>
          </w:tcPr>
          <w:p>
            <w:pPr>
              <w:ind w:left="8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17,583,989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(19,530,043)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(15,622,345)</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(8,516,016)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(27,454,146)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(14,616,026)</w:t>
            </w:r>
          </w:p>
        </w:tc>
        <w:tc>
          <w:tcPr>
            <w:tcW w:w="0" w:type="dxa"/>
            <w:vAlign w:val="bottom"/>
          </w:tcPr>
          <w:p>
            <w:pPr>
              <w:spacing w:after="0"/>
              <w:rPr>
                <w:sz w:val="1"/>
                <w:szCs w:val="1"/>
                <w:color w:val="auto"/>
              </w:rPr>
            </w:pPr>
          </w:p>
        </w:tc>
      </w:tr>
      <w:tr>
        <w:trPr>
          <w:trHeight w:val="263"/>
        </w:trPr>
        <w:tc>
          <w:tcPr>
            <w:tcW w:w="6120" w:type="dxa"/>
            <w:vAlign w:val="bottom"/>
          </w:tcPr>
          <w:p>
            <w:pPr>
              <w:ind w:left="82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(11,268,677)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16,183,673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4,399,366</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2,911,849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9,934,837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13,609,856</w:t>
            </w: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220,856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12,947,597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10,793,540</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flows from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552,418,646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501,002,780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477,048,185</w:t>
            </w:r>
          </w:p>
        </w:tc>
        <w:tc>
          <w:tcPr>
            <w:tcW w:w="0" w:type="dxa"/>
            <w:vAlign w:val="bottom"/>
          </w:tcPr>
          <w:p>
            <w:pPr>
              <w:spacing w:after="0"/>
              <w:rPr>
                <w:sz w:val="1"/>
                <w:szCs w:val="1"/>
                <w:color w:val="auto"/>
              </w:rPr>
            </w:pPr>
          </w:p>
        </w:tc>
      </w:tr>
      <w:tr>
        <w:trPr>
          <w:trHeight w:val="223"/>
        </w:trPr>
        <w:tc>
          <w:tcPr>
            <w:tcW w:w="6120" w:type="dxa"/>
            <w:vAlign w:val="bottom"/>
          </w:tcPr>
          <w:p>
            <w:pPr>
              <w:ind w:left="40"/>
              <w:spacing w:after="0"/>
              <w:rPr>
                <w:sz w:val="20"/>
                <w:szCs w:val="20"/>
                <w:color w:val="auto"/>
              </w:rPr>
            </w:pPr>
            <w:r>
              <w:rPr>
                <w:rFonts w:ascii="Arial" w:cs="Arial" w:eastAsia="Arial" w:hAnsi="Arial"/>
                <w:sz w:val="18"/>
                <w:szCs w:val="18"/>
                <w:color w:val="auto"/>
              </w:rPr>
              <w:t>CASH FLOWS USED FOR INVESTING ACTIVITIES: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Activity in available-for-sale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20" w:type="dxa"/>
            <w:vAlign w:val="bottom"/>
          </w:tcPr>
          <w:p>
            <w:pPr>
              <w:ind w:left="720"/>
              <w:spacing w:after="0"/>
              <w:rPr>
                <w:sz w:val="20"/>
                <w:szCs w:val="20"/>
                <w:color w:val="auto"/>
              </w:rPr>
            </w:pPr>
            <w:r>
              <w:rPr>
                <w:rFonts w:ascii="Arial" w:cs="Arial" w:eastAsia="Arial" w:hAnsi="Arial"/>
                <w:sz w:val="18"/>
                <w:szCs w:val="18"/>
                <w:color w:val="auto"/>
              </w:rPr>
              <w:t>Sales proceeds</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55,248,551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30,207,523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87,293,155</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Maturities and calls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181,892,136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23,100,000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63"/>
        </w:trPr>
        <w:tc>
          <w:tcPr>
            <w:tcW w:w="6120" w:type="dxa"/>
            <w:vAlign w:val="bottom"/>
          </w:tcPr>
          <w:p>
            <w:pPr>
              <w:ind w:left="720"/>
              <w:spacing w:after="0"/>
              <w:rPr>
                <w:sz w:val="20"/>
                <w:szCs w:val="20"/>
                <w:color w:val="auto"/>
              </w:rPr>
            </w:pPr>
            <w:r>
              <w:rPr>
                <w:rFonts w:ascii="Arial" w:cs="Arial" w:eastAsia="Arial" w:hAnsi="Arial"/>
                <w:sz w:val="18"/>
                <w:szCs w:val="18"/>
                <w:color w:val="auto"/>
              </w:rPr>
              <w:t>Purchases</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(332,106,362)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(29,874,960)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(216,670,674)</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Plant and equipment additions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(85,990,570)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(104,040,919)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(120,955,614)</w:t>
            </w:r>
          </w:p>
        </w:tc>
        <w:tc>
          <w:tcPr>
            <w:tcW w:w="0" w:type="dxa"/>
            <w:vAlign w:val="bottom"/>
          </w:tcPr>
          <w:p>
            <w:pPr>
              <w:spacing w:after="0"/>
              <w:rPr>
                <w:sz w:val="1"/>
                <w:szCs w:val="1"/>
                <w:color w:val="auto"/>
              </w:rPr>
            </w:pPr>
          </w:p>
        </w:tc>
      </w:tr>
      <w:tr>
        <w:trPr>
          <w:trHeight w:val="263"/>
        </w:trPr>
        <w:tc>
          <w:tcPr>
            <w:tcW w:w="6120" w:type="dxa"/>
            <w:vAlign w:val="bottom"/>
          </w:tcPr>
          <w:p>
            <w:pPr>
              <w:ind w:left="380"/>
              <w:spacing w:after="0"/>
              <w:rPr>
                <w:sz w:val="20"/>
                <w:szCs w:val="20"/>
                <w:color w:val="auto"/>
              </w:rPr>
            </w:pPr>
            <w:r>
              <w:rPr>
                <w:rFonts w:ascii="Arial" w:cs="Arial" w:eastAsia="Arial" w:hAnsi="Arial"/>
                <w:sz w:val="18"/>
                <w:szCs w:val="18"/>
                <w:color w:val="auto"/>
              </w:rPr>
              <w:t>Proceeds from sale of plant and equipment</w:t>
            </w:r>
          </w:p>
        </w:tc>
        <w:tc>
          <w:tcPr>
            <w:tcW w:w="3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738,093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249,757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665,191</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other assets</w:t>
            </w: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(5,603,042)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2,646,029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(7,278,166)</w:t>
            </w: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(185,821,194)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(77,712,570)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(251,446,108)</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FOR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2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(78,000,000)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(107,625,000)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(47,500,000)</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Issuance of common stock from stock plan transactions</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66,837,820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47,770,467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81,310,048</w:t>
            </w:r>
          </w:p>
        </w:tc>
        <w:tc>
          <w:tcPr>
            <w:tcW w:w="0" w:type="dxa"/>
            <w:vAlign w:val="bottom"/>
          </w:tcPr>
          <w:p>
            <w:pPr>
              <w:spacing w:after="0"/>
              <w:rPr>
                <w:sz w:val="1"/>
                <w:szCs w:val="1"/>
                <w:color w:val="auto"/>
              </w:rPr>
            </w:pPr>
          </w:p>
        </w:tc>
      </w:tr>
      <w:tr>
        <w:trPr>
          <w:trHeight w:val="263"/>
        </w:trPr>
        <w:tc>
          <w:tcPr>
            <w:tcW w:w="612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(116,566,639)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(108,815,040)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(101,131,356)</w:t>
            </w:r>
          </w:p>
        </w:tc>
        <w:tc>
          <w:tcPr>
            <w:tcW w:w="0" w:type="dxa"/>
            <w:vAlign w:val="bottom"/>
          </w:tcPr>
          <w:p>
            <w:pPr>
              <w:spacing w:after="0"/>
              <w:rPr>
                <w:sz w:val="1"/>
                <w:szCs w:val="1"/>
                <w:color w:val="auto"/>
              </w:rPr>
            </w:pP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(591,577,851)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(231,363,216)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(163,361,221)</w:t>
            </w: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(719,306,670)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(400,032,789)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(230,682,529)</w:t>
            </w:r>
          </w:p>
        </w:tc>
        <w:tc>
          <w:tcPr>
            <w:tcW w:w="0" w:type="dxa"/>
            <w:vAlign w:val="bottom"/>
          </w:tcPr>
          <w:p>
            <w:pPr>
              <w:spacing w:after="0"/>
              <w:rPr>
                <w:sz w:val="1"/>
                <w:szCs w:val="1"/>
                <w:color w:val="auto"/>
              </w:rPr>
            </w:pPr>
          </w:p>
        </w:tc>
      </w:tr>
      <w:tr>
        <w:trPr>
          <w:trHeight w:val="459"/>
        </w:trPr>
        <w:tc>
          <w:tcPr>
            <w:tcW w:w="6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12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(352,709,218)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23,257,421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(5,080,452)</w:t>
            </w:r>
          </w:p>
        </w:tc>
        <w:tc>
          <w:tcPr>
            <w:tcW w:w="0" w:type="dxa"/>
            <w:vAlign w:val="bottom"/>
          </w:tcPr>
          <w:p>
            <w:pPr>
              <w:spacing w:after="0"/>
              <w:rPr>
                <w:sz w:val="1"/>
                <w:szCs w:val="1"/>
                <w:color w:val="auto"/>
              </w:rPr>
            </w:pPr>
          </w:p>
        </w:tc>
      </w:tr>
      <w:tr>
        <w:trPr>
          <w:trHeight w:val="331"/>
        </w:trPr>
        <w:tc>
          <w:tcPr>
            <w:tcW w:w="6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569,734,496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546,477,075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551,557,527</w:t>
            </w:r>
          </w:p>
        </w:tc>
        <w:tc>
          <w:tcPr>
            <w:tcW w:w="0" w:type="dxa"/>
            <w:vAlign w:val="bottom"/>
          </w:tcPr>
          <w:p>
            <w:pPr>
              <w:spacing w:after="0"/>
              <w:rPr>
                <w:sz w:val="1"/>
                <w:szCs w:val="1"/>
                <w:color w:val="auto"/>
              </w:rPr>
            </w:pPr>
          </w:p>
        </w:tc>
      </w:tr>
      <w:tr>
        <w:trPr>
          <w:trHeight w:val="324"/>
        </w:trPr>
        <w:tc>
          <w:tcPr>
            <w:tcW w:w="6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0"/>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12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217,025,278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569,734,496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546,477,075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60"/>
          </w:cols>
          <w:pgMar w:left="240" w:top="598" w:right="29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60"/>
          </w:cols>
          <w:pgMar w:left="240" w:top="598" w:right="29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900" w:firstLine="8"/>
        <w:spacing w:after="0" w:line="40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w:t>
      </w:r>
      <w:r>
        <w:rPr>
          <w:rFonts w:ascii="Arial" w:cs="Arial" w:eastAsia="Arial" w:hAnsi="Arial"/>
          <w:sz w:val="18"/>
          <w:szCs w:val="18"/>
          <w:u w:val="single" w:color="auto"/>
          <w:color w:val="auto"/>
        </w:rPr>
        <w:t>The Company</w:t>
      </w:r>
    </w:p>
    <w:p>
      <w:pPr>
        <w:jc w:val="both"/>
        <w:spacing w:after="0" w:line="254" w:lineRule="auto"/>
        <w:rPr>
          <w:sz w:val="20"/>
          <w:szCs w:val="20"/>
          <w:color w:val="auto"/>
        </w:rPr>
      </w:pPr>
      <w:r>
        <w:rPr>
          <w:rFonts w:ascii="Arial" w:cs="Arial" w:eastAsia="Arial" w:hAnsi="Arial"/>
          <w:sz w:val="18"/>
          <w:szCs w:val="18"/>
          <w:color w:val="auto"/>
        </w:rPr>
        <w:t>Gentex Corporation is a leading supplier of digital vision, connected car, dimmable glass, and fire protection products. The Company’s largest business segment involves designing, developing, manufacturing and marketing interior and exterior automatic-dimming automotive rearview mirrors and various electronic modules. The Company ships its product to all of the major automotive producing regions worldwide, which it supports with numerous sales, engineering and distribution locations worldwide.</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substantial portion of the Company’s net sales and accounts receivable result from transactions with domestic and foreign automotive manufacturers and Tier 1 suppliers. Aircraft windows are sold for use by aircraft manufacturers and a Tier 1 supplier. The Company’s fire protection products are primarily sold to domestic distributors and original equipment manufacturers of fire and security systems. The Company does not require collateral or other security for trade accounts receivable.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policies of the Company not described elsewhere are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consolidated financial statements include the accounts of Gentex Corporation and all of its wholly-owned subsidiaries (together the “Company”). All intercompany accounts and transactions have been eliminated.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funds invested in bank accounts and money market funds that have daily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Accounts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Actual collections can differ, requiring adjustments to the allowances, but historically such adjustments have not been material.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the Company’s allowance for doubtful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(Reductions)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 Costs and</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4"/>
                <w:szCs w:val="14"/>
                <w:color w:val="auto"/>
              </w:rPr>
            </w:pPr>
          </w:p>
        </w:tc>
        <w:tc>
          <w:tcPr>
            <w:tcW w:w="1160" w:type="dxa"/>
            <w:vAlign w:val="bottom"/>
          </w:tcPr>
          <w:p>
            <w:pPr>
              <w:jc w:val="right"/>
              <w:ind w:right="397"/>
              <w:spacing w:after="0"/>
              <w:rPr>
                <w:sz w:val="20"/>
                <w:szCs w:val="20"/>
                <w:color w:val="auto"/>
              </w:rPr>
            </w:pPr>
            <w:r>
              <w:rPr>
                <w:rFonts w:ascii="Arial" w:cs="Arial" w:eastAsia="Arial" w:hAnsi="Arial"/>
                <w:sz w:val="14"/>
                <w:szCs w:val="14"/>
                <w:b w:val="1"/>
                <w:bCs w:val="1"/>
                <w:color w:val="auto"/>
              </w:rPr>
              <w:t>Ending</w:t>
            </w:r>
          </w:p>
        </w:tc>
      </w:tr>
      <w:tr>
        <w:trPr>
          <w:trHeight w:val="196"/>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2,714,533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32,114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2,746,647</w:t>
            </w: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2,917,424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(202,891)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2,714,533</w:t>
            </w: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2,663,477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253,947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2,917,424</w:t>
            </w:r>
          </w:p>
        </w:tc>
      </w:tr>
    </w:tbl>
    <w:p>
      <w:pPr>
        <w:spacing w:after="0" w:line="200" w:lineRule="exact"/>
        <w:rPr>
          <w:sz w:val="20"/>
          <w:szCs w:val="20"/>
          <w:color w:val="auto"/>
        </w:rPr>
      </w:pPr>
    </w:p>
    <w:p>
      <w:pPr>
        <w:spacing w:after="0" w:line="3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allowance for doubtful accounts primarily relates to financially distressed automotive customers. The Company continues to work with these financially distressed customers in collecting past due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follows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common stocks and certain mutual funds are classified as available for sale and are stated at fair value based on quoted market prices, and as such are classified as Level 1 assets. As of December 31, 2018, the Company has sold/liquidated all of its positions in common stocks and mutual funds. The Company determines the fair value of its government securities, corporate bonds, and certain mutual funds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2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Company's certificates of deposit have remaining maturities of less than one year and are classified as available for sale, and are considered as Level 1 assets. These investments are carried at cost, which approximates fair value.</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year ended December 31, 2017, the Company made technology investments in certain non-consolidated third-parties for ownership interests of less than 20%. These investments do not have readily determinable fair values, and the Company has not identified any observable events that would cause adjustment of the valuation to date, and therefore these investments are held at cost at a total of $3.85 million as of December 31, 2018. These investments are classified within Long-Term Investments in the consolidated balance sheet and are not included within the tables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December 31, 2018 and December 31,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gridSpan w:val="7"/>
          </w:tcPr>
          <w:p>
            <w:pPr>
              <w:jc w:val="center"/>
              <w:ind w:right="135"/>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75"/>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62"/>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Active Markets</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1560" w:type="dxa"/>
            <w:vAlign w:val="bottom"/>
          </w:tcPr>
          <w:p>
            <w:pPr>
              <w:jc w:val="center"/>
              <w:ind w:right="19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560" w:type="dxa"/>
            <w:vAlign w:val="bottom"/>
          </w:tcPr>
          <w:p>
            <w:pPr>
              <w:jc w:val="center"/>
              <w:ind w:right="195"/>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 as of</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Inputs</w:t>
            </w:r>
          </w:p>
        </w:tc>
      </w:tr>
      <w:tr>
        <w:trPr>
          <w:trHeight w:val="250"/>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(Level I)</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217,025,278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217,025,278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150,299,384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150,299,384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9,176,227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9,176,227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6,967,700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6,967,700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2,219,688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2,219,688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60,369,930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60,369,930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63"/>
        </w:trPr>
        <w:tc>
          <w:tcPr>
            <w:tcW w:w="352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56,483,720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56,483,720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7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18,025,432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18,025,432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4"/>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520,567,359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369,544,350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151,023,009</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75"/>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Quoted Prices in</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2"/>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Active Markets</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 Other</w:t>
            </w:r>
          </w:p>
        </w:tc>
        <w:tc>
          <w:tcPr>
            <w:tcW w:w="260" w:type="dxa"/>
            <w:vAlign w:val="bottom"/>
          </w:tcPr>
          <w:p>
            <w:pPr>
              <w:spacing w:after="0"/>
              <w:rPr>
                <w:sz w:val="14"/>
                <w:szCs w:val="14"/>
                <w:color w:val="auto"/>
              </w:rPr>
            </w:pPr>
          </w:p>
        </w:tc>
        <w:tc>
          <w:tcPr>
            <w:tcW w:w="1460" w:type="dxa"/>
            <w:vAlign w:val="bottom"/>
          </w:tcPr>
          <w:p>
            <w:pPr>
              <w:jc w:val="center"/>
              <w:ind w:right="15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460" w:type="dxa"/>
            <w:vAlign w:val="bottom"/>
          </w:tcPr>
          <w:p>
            <w:pPr>
              <w:jc w:val="center"/>
              <w:ind w:right="174"/>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 as of</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Inputs</w:t>
            </w:r>
          </w:p>
        </w:tc>
      </w:tr>
      <w:tr>
        <w:trPr>
          <w:trHeight w:val="250"/>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I)</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569,734,496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569,734,496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Certificate of Deposit</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130,000,000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130,000,000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2"/>
                <w:szCs w:val="22"/>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9,011,130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9,011,130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393,581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393,581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2"/>
                <w:szCs w:val="22"/>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12,944,999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12,944,999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188,344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188,344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3,018,720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3,018,720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Common Stocks</w:t>
            </w:r>
          </w:p>
        </w:tc>
        <w:tc>
          <w:tcPr>
            <w:tcW w:w="220" w:type="dxa"/>
            <w:vAlign w:val="bottom"/>
          </w:tcPr>
          <w:p>
            <w:pPr>
              <w:spacing w:after="0"/>
              <w:rPr>
                <w:sz w:val="22"/>
                <w:szCs w:val="22"/>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15,703,371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15,703,371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34,681,337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34,681,337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63"/>
        </w:trPr>
        <w:tc>
          <w:tcPr>
            <w:tcW w:w="376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2"/>
                <w:szCs w:val="22"/>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1,178,991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1,178,991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7"/>
        </w:trPr>
        <w:tc>
          <w:tcPr>
            <w:tcW w:w="3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Government Securities</w:t>
            </w:r>
          </w:p>
        </w:tc>
        <w:tc>
          <w:tcPr>
            <w:tcW w:w="22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44"/>
        </w:trPr>
        <w:tc>
          <w:tcPr>
            <w:tcW w:w="37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776,854,969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751,486,539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25,368,430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December 31,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973"/>
              <w:spacing w:after="0"/>
              <w:rPr>
                <w:sz w:val="20"/>
                <w:szCs w:val="20"/>
                <w:color w:val="auto"/>
              </w:rPr>
            </w:pPr>
            <w:r>
              <w:rPr>
                <w:rFonts w:ascii="Arial" w:cs="Arial" w:eastAsia="Arial" w:hAnsi="Arial"/>
                <w:sz w:val="14"/>
                <w:szCs w:val="14"/>
                <w:b w:val="1"/>
                <w:bCs w:val="1"/>
                <w:color w:val="auto"/>
              </w:rPr>
              <w:t>Unrealized</w:t>
            </w: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9"/>
                <w:szCs w:val="19"/>
                <w:color w:val="auto"/>
              </w:rPr>
            </w:pP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9"/>
                <w:szCs w:val="19"/>
                <w:color w:val="auto"/>
              </w:rPr>
            </w:pPr>
          </w:p>
        </w:tc>
        <w:tc>
          <w:tcPr>
            <w:tcW w:w="1620" w:type="dxa"/>
            <w:vAlign w:val="bottom"/>
          </w:tcPr>
          <w:p>
            <w:pPr>
              <w:jc w:val="right"/>
              <w:ind w:right="452"/>
              <w:spacing w:after="0"/>
              <w:rPr>
                <w:sz w:val="20"/>
                <w:szCs w:val="20"/>
                <w:color w:val="auto"/>
              </w:rPr>
            </w:pPr>
            <w:r>
              <w:rPr>
                <w:rFonts w:ascii="Arial" w:cs="Arial" w:eastAsia="Arial" w:hAnsi="Arial"/>
                <w:sz w:val="14"/>
                <w:szCs w:val="14"/>
                <w:b w:val="1"/>
                <w:bCs w:val="1"/>
                <w:color w:val="auto"/>
              </w:rPr>
              <w:t>Market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150,299,384</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150,299,384</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Securities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9,186,586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9,176,227</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6,981,305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6,967,700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2,219,688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2,219,688</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Long-Term Investments: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60,659,498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50,340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(339,908)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60,369,930</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Common Stocks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Securities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56,280,552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205,553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56,483,720</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17,840,518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184,914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18,025,432</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Securities</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303,467,531</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440,807</w:t>
            </w:r>
          </w:p>
        </w:tc>
        <w:tc>
          <w:tcPr>
            <w:tcW w:w="120" w:type="dxa"/>
            <w:vAlign w:val="bottom"/>
          </w:tcPr>
          <w:p>
            <w:pPr>
              <w:spacing w:after="0"/>
              <w:rPr>
                <w:sz w:val="21"/>
                <w:szCs w:val="21"/>
                <w:color w:val="auto"/>
              </w:rPr>
            </w:pP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(366,257)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303,542,081</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46</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29"/>
        </w:trPr>
        <w:tc>
          <w:tcPr>
            <w:tcW w:w="4100" w:type="dxa"/>
            <w:vAlign w:val="bottom"/>
            <w:gridSpan w:val="3"/>
          </w:tcPr>
          <w:p>
            <w:pPr>
              <w:ind w:left="4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9"/>
                <w:szCs w:val="19"/>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9"/>
                <w:szCs w:val="19"/>
                <w:color w:val="auto"/>
              </w:rPr>
            </w:pPr>
          </w:p>
        </w:tc>
        <w:tc>
          <w:tcPr>
            <w:tcW w:w="1540" w:type="dxa"/>
            <w:vAlign w:val="bottom"/>
          </w:tcPr>
          <w:p>
            <w:pPr>
              <w:jc w:val="right"/>
              <w:ind w:right="392"/>
              <w:spacing w:after="0"/>
              <w:rPr>
                <w:sz w:val="20"/>
                <w:szCs w:val="20"/>
                <w:color w:val="auto"/>
              </w:rPr>
            </w:pPr>
            <w:r>
              <w:rPr>
                <w:rFonts w:ascii="Arial" w:cs="Arial" w:eastAsia="Arial" w:hAnsi="Arial"/>
                <w:sz w:val="14"/>
                <w:szCs w:val="14"/>
                <w:b w:val="1"/>
                <w:bCs w:val="1"/>
                <w:color w:val="auto"/>
              </w:rPr>
              <w:t>Market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130,000,000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130,000,000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Securities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9,024,777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9,011,130</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392,482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393,581</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12,952,229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12,944,999</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188,344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188,344</w:t>
            </w:r>
          </w:p>
        </w:tc>
      </w:tr>
      <w:tr>
        <w:trPr>
          <w:trHeight w:val="257"/>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3,022,994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3,018,720</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10,897,219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5,079,815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(273,663)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15,703,371</w:t>
            </w:r>
          </w:p>
        </w:tc>
      </w:tr>
      <w:tr>
        <w:trPr>
          <w:trHeight w:val="263"/>
        </w:trPr>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60" w:type="dxa"/>
            <w:vAlign w:val="bottom"/>
          </w:tcPr>
          <w:p>
            <w:pPr>
              <w:spacing w:after="0"/>
              <w:rPr>
                <w:sz w:val="22"/>
                <w:szCs w:val="22"/>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29,306,540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5,440,344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(65,547)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34,681,337</w:t>
            </w:r>
          </w:p>
        </w:tc>
      </w:tr>
      <w:tr>
        <w:trPr>
          <w:trHeight w:val="277"/>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1,141,458</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40,533</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1,178,991</w:t>
            </w:r>
          </w:p>
        </w:tc>
      </w:tr>
      <w:tr>
        <w:trPr>
          <w:trHeight w:val="244"/>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196,926,043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10,562,267</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(367,837)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207,120,473</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2018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Aggregate Unrealized Losses</w:t>
            </w:r>
          </w:p>
        </w:tc>
        <w:tc>
          <w:tcPr>
            <w:tcW w:w="260" w:type="dxa"/>
            <w:vAlign w:val="bottom"/>
          </w:tcPr>
          <w:p>
            <w:pPr>
              <w:spacing w:after="0"/>
              <w:rPr>
                <w:sz w:val="17"/>
                <w:szCs w:val="17"/>
                <w:color w:val="auto"/>
              </w:rPr>
            </w:pPr>
          </w:p>
        </w:tc>
        <w:tc>
          <w:tcPr>
            <w:tcW w:w="1920" w:type="dxa"/>
            <w:vAlign w:val="bottom"/>
          </w:tcPr>
          <w:p>
            <w:pPr>
              <w:jc w:val="right"/>
              <w:ind w:right="294"/>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256"/>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78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365,824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68,722,980</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Greater than one year</w:t>
            </w: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71,722,980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Unrealized losses on investments as of December 31, 2017 are as follows:</w:t>
            </w: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960" w:type="dxa"/>
            <w:vAlign w:val="bottom"/>
          </w:tcPr>
          <w:p>
            <w:pPr>
              <w:spacing w:after="0"/>
              <w:rPr>
                <w:sz w:val="24"/>
                <w:szCs w:val="24"/>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Aggregate Unrealized Losses</w:t>
            </w:r>
          </w:p>
        </w:tc>
        <w:tc>
          <w:tcPr>
            <w:tcW w:w="260" w:type="dxa"/>
            <w:vAlign w:val="bottom"/>
          </w:tcPr>
          <w:p>
            <w:pPr>
              <w:spacing w:after="0"/>
              <w:rPr>
                <w:sz w:val="24"/>
                <w:szCs w:val="24"/>
                <w:color w:val="auto"/>
              </w:rPr>
            </w:pPr>
          </w:p>
        </w:tc>
        <w:tc>
          <w:tcPr>
            <w:tcW w:w="1920" w:type="dxa"/>
            <w:vAlign w:val="bottom"/>
          </w:tcPr>
          <w:p>
            <w:pPr>
              <w:jc w:val="right"/>
              <w:ind w:right="294"/>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256"/>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78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263,655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31,223,557</w:t>
            </w: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Greater than one year</w:t>
            </w: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104,182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285,077</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31,508,634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ASC 320,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as amended and interpreted, provides guidance on determining when an investment is other-than-temporarily impaired. The Company reviews its fixed income investments for any unrealized losses that would be deemed other-than-temporary and require the recognition of an impairment loss in income. If the cost of an investment exceeds its fair value, the Company evaluates, among other factors, general market conditions, the duration and extent to which the fair value is less than cost, and the Company’s intent and ability to hold the investments. Management also considers the type of security, related-industry and sector performance, as well as published investment ratings and analyst reports, to evaluate its portfolio. Once a decline in fair value is determined to be other-than-temporary, an impairment charge is recorded and new cost basis in the investment is established. If market, industry, and/or investee conditions deteriorate, the Company may incur future impairments. No investments were considered to be other-than-temporary impaired in 2018 and 2017.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Fixed income securities as of December 31, 2018, have contractual maturities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166,443,311</w:t>
            </w: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6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113,806,135</w:t>
            </w: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over five years</w:t>
            </w:r>
          </w:p>
        </w:tc>
        <w:tc>
          <w:tcPr>
            <w:tcW w:w="6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21,072,946</w:t>
            </w:r>
          </w:p>
        </w:tc>
      </w:tr>
      <w:tr>
        <w:trPr>
          <w:trHeight w:val="243"/>
        </w:trPr>
        <w:tc>
          <w:tcPr>
            <w:tcW w:w="8320" w:type="dxa"/>
            <w:vAlign w:val="bottom"/>
          </w:tcPr>
          <w:p>
            <w:pPr>
              <w:spacing w:after="0"/>
              <w:rPr>
                <w:sz w:val="21"/>
                <w:szCs w:val="21"/>
                <w:color w:val="auto"/>
              </w:rPr>
            </w:pP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301,322,392</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18"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financial instruments consist of cash and cash equivalents, investments, accounts receivable accounts payable, short and long term debt. The Company’s estimate of the fair values of these financial instruments approximates their carrying amounts at December 31, 2018 and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Inventories include material, direct labor and manufacturing overhead and are valued at the lower of first-in, first-out (FIFO) cost or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as of December 31, 2018 and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139,058,541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139,272,129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35,386,615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30,481,192</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50,836,443</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47,012,262</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Total Inventory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225,281,599</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216,765,583</w:t>
            </w: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$7.8 million and $6.6 million at December 31, 2018 and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Plant and Equipment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$79.7 million, $77.0 million and $66.3 million in 2018, 2017 and 2016,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or Disposal of Long-Lived Assets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reporting unit, which has been determined to be one of the Company’s reportable segments, using either a qualitative approach or quantitative approach which utilizes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we determine the fair value of the reporting unit.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and step 2 impairment tests are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booked currently or in prior periods in which goodwill existed.</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Indefinite lived intangible assets are also subject to annual impairment testing or more frequently if indicators of impairment are identified. Management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indefinite lived intangible assets were not impaired as a result of the annual test prepared by management for either period presented.</w:t>
      </w:r>
    </w:p>
    <w:p>
      <w:pPr>
        <w:spacing w:after="0" w:line="20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63">
        <w:r>
          <w:rPr>
            <w:rFonts w:ascii="Arial" w:cs="Arial" w:eastAsia="Arial" w:hAnsi="Arial"/>
            <w:sz w:val="18"/>
            <w:szCs w:val="18"/>
            <w:u w:val="single" w:color="auto"/>
            <w:color w:val="0000EE"/>
          </w:rPr>
          <w:t>Note 10, "Goodwill and Intangible Assets"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information regarding the impairment testing performed in calendar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jc w:val="both"/>
        <w:spacing w:after="0" w:line="252" w:lineRule="auto"/>
        <w:rPr>
          <w:rFonts w:ascii="Arial" w:cs="Arial" w:eastAsia="Arial" w:hAnsi="Arial"/>
          <w:sz w:val="18"/>
          <w:szCs w:val="18"/>
          <w:color w:val="0000EE"/>
        </w:rPr>
      </w:pPr>
      <w:r>
        <w:rPr>
          <w:rFonts w:ascii="Arial" w:cs="Arial" w:eastAsia="Arial" w:hAnsi="Arial"/>
          <w:sz w:val="18"/>
          <w:szCs w:val="18"/>
          <w:color w:val="auto"/>
        </w:rPr>
        <w:t xml:space="preserve">The Company’s revenue is generated from sales of its products. Revenue is recognized when obligations under the term of a contract with the customer is satisfied, generally when the product is shipped and legal title has passed to the customer. The Company does not generate sales from arrangements with multiple deliverables. Effective January 1, 2018, the Company adopted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using the modified retrospective method. This guidance supersedes nearly all existing revenue recognition guidance under 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GAAP. The core principle of the guidance is that an entity should recognize revenue when it transfers promised goods or services to customers in an amount that reflects the consideration to which the company expects to be entitled in exchange for those goods or services. The </w:t>
      </w:r>
      <w:hyperlink w:anchor="page64">
        <w:r>
          <w:rPr>
            <w:rFonts w:ascii="Arial" w:cs="Arial" w:eastAsia="Arial" w:hAnsi="Arial"/>
            <w:sz w:val="18"/>
            <w:szCs w:val="18"/>
            <w:color w:val="auto"/>
          </w:rPr>
          <w:t xml:space="preserve">Company has drafted its accounting policy for the new standard based on a detailed review of its business and contracts. Refer to </w:t>
        </w:r>
        <w:r>
          <w:rPr>
            <w:rFonts w:ascii="Arial" w:cs="Arial" w:eastAsia="Arial" w:hAnsi="Arial"/>
            <w:sz w:val="18"/>
            <w:szCs w:val="18"/>
            <w:u w:val="single" w:color="auto"/>
            <w:color w:val="0000EE"/>
          </w:rPr>
          <w:t>Note 11,</w:t>
        </w:r>
      </w:hyperlink>
      <w:r>
        <w:rPr>
          <w:rFonts w:ascii="Arial" w:cs="Arial" w:eastAsia="Arial" w:hAnsi="Arial"/>
          <w:sz w:val="18"/>
          <w:szCs w:val="18"/>
          <w:color w:val="auto"/>
        </w:rPr>
        <w:t xml:space="preserve"> </w:t>
      </w:r>
      <w:hyperlink w:anchor="page64">
        <w:r>
          <w:rPr>
            <w:rFonts w:ascii="Arial" w:cs="Arial" w:eastAsia="Arial" w:hAnsi="Arial"/>
            <w:sz w:val="18"/>
            <w:szCs w:val="18"/>
            <w:u w:val="single" w:color="auto"/>
            <w:color w:val="0000EE"/>
          </w:rPr>
          <w:t>"Revenue"</w:t>
        </w:r>
        <w:r>
          <w:rPr>
            <w:rFonts w:ascii="Arial" w:cs="Arial" w:eastAsia="Arial" w:hAnsi="Arial"/>
            <w:sz w:val="18"/>
            <w:szCs w:val="18"/>
            <w:color w:val="000000"/>
          </w:rPr>
          <w:t>, for further information.</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Promotional Materials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advertising and promotional costs are expensed as incurred and amounted to approximately $2.5 million, $2.6 million and $1.9 million, in 2018, 2017 and 2016,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Repairs and Maintenance</w:t>
      </w:r>
    </w:p>
    <w:p>
      <w:pPr>
        <w:spacing w:after="0" w:line="14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Major renewals and improvements of property and equipment are capitalized, and repairs and maintenance are expensed as incurred. The Company incurred expenses relating to the repair and maintenance of 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87" w:lineRule="exact"/>
        <w:rPr>
          <w:sz w:val="20"/>
          <w:szCs w:val="20"/>
          <w:color w:val="auto"/>
        </w:rPr>
      </w:pPr>
    </w:p>
    <w:p>
      <w:pPr>
        <w:ind w:right="1860"/>
        <w:spacing w:after="0" w:line="407" w:lineRule="auto"/>
        <w:rPr>
          <w:sz w:val="20"/>
          <w:szCs w:val="20"/>
          <w:color w:val="auto"/>
        </w:rPr>
      </w:pPr>
      <w:r>
        <w:rPr>
          <w:rFonts w:ascii="Arial" w:cs="Arial" w:eastAsia="Arial" w:hAnsi="Arial"/>
          <w:sz w:val="18"/>
          <w:szCs w:val="18"/>
          <w:color w:val="auto"/>
        </w:rPr>
        <w:t xml:space="preserve">lant and equipment of approximately $28.9 million, $24.6 million and $22.1 million, in 2018, 2017 and 2016, respectively. </w:t>
      </w:r>
      <w:r>
        <w:rPr>
          <w:rFonts w:ascii="Arial" w:cs="Arial" w:eastAsia="Arial" w:hAnsi="Arial"/>
          <w:sz w:val="18"/>
          <w:szCs w:val="18"/>
          <w:u w:val="single" w:color="auto"/>
          <w:color w:val="auto"/>
        </w:rPr>
        <w:t>Self-Insurance</w:t>
      </w:r>
    </w:p>
    <w:p>
      <w:pPr>
        <w:jc w:val="both"/>
        <w:spacing w:after="0" w:line="254" w:lineRule="auto"/>
        <w:rPr>
          <w:sz w:val="20"/>
          <w:szCs w:val="20"/>
          <w:color w:val="auto"/>
        </w:rPr>
      </w:pPr>
      <w:r>
        <w:rPr>
          <w:rFonts w:ascii="Arial" w:cs="Arial" w:eastAsia="Arial" w:hAnsi="Arial"/>
          <w:sz w:val="18"/>
          <w:szCs w:val="18"/>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periodically incurs product warranty costs. Any liabilities associated with product warranty are estimated based on known facts and circumstances and are not significant at December 31, 2018, 2017 and 2016. The Company does not offer extended warranties on its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provision for income taxes is based on the earnings reported in the consolidated financial statements. 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The Company applies the provisions of ASC 740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reconciles the numerators and denominators used in the calculations of basic and diluted earnings per share (EPS) for each of the last three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6040" w:type="dxa"/>
            <w:vAlign w:val="bottom"/>
          </w:tcPr>
          <w:p>
            <w:pPr>
              <w:ind w:left="380"/>
              <w:spacing w:after="0"/>
              <w:rPr>
                <w:sz w:val="20"/>
                <w:szCs w:val="20"/>
                <w:color w:val="auto"/>
              </w:rPr>
            </w:pPr>
            <w:r>
              <w:rPr>
                <w:rFonts w:ascii="Arial" w:cs="Arial" w:eastAsia="Arial" w:hAnsi="Arial"/>
                <w:sz w:val="18"/>
                <w:szCs w:val="18"/>
                <w:color w:val="auto"/>
              </w:rPr>
              <w:t>Numerator for both basic and diluted EPS, net income</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437,883,097</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406,791,922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347,591,276</w:t>
            </w: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Denominators:</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29"/>
        </w:trPr>
        <w:tc>
          <w:tcPr>
            <w:tcW w:w="6040" w:type="dxa"/>
            <w:vAlign w:val="bottom"/>
          </w:tcPr>
          <w:p>
            <w:pPr>
              <w:ind w:left="380"/>
              <w:spacing w:after="0"/>
              <w:rPr>
                <w:sz w:val="20"/>
                <w:szCs w:val="20"/>
                <w:color w:val="auto"/>
              </w:rPr>
            </w:pPr>
            <w:r>
              <w:rPr>
                <w:rFonts w:ascii="Arial" w:cs="Arial" w:eastAsia="Arial" w:hAnsi="Arial"/>
                <w:sz w:val="18"/>
                <w:szCs w:val="18"/>
                <w:color w:val="auto"/>
              </w:rPr>
              <w:t>Denominator for basic EPS, weighted-average common shares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604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4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267,794,786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285,864,997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288,433,772</w:t>
            </w:r>
          </w:p>
        </w:tc>
      </w:tr>
      <w:tr>
        <w:trPr>
          <w:trHeight w:val="277"/>
        </w:trPr>
        <w:tc>
          <w:tcPr>
            <w:tcW w:w="6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Potentially dilutive shares resulting from stock option plans</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2,082,563</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2,361,092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2,638,544</w:t>
            </w:r>
          </w:p>
        </w:tc>
      </w:tr>
      <w:tr>
        <w:trPr>
          <w:trHeight w:val="244"/>
        </w:trPr>
        <w:tc>
          <w:tcPr>
            <w:tcW w:w="6040" w:type="dxa"/>
            <w:vAlign w:val="bottom"/>
          </w:tcPr>
          <w:p>
            <w:pPr>
              <w:ind w:left="380"/>
              <w:spacing w:after="0"/>
              <w:rPr>
                <w:sz w:val="20"/>
                <w:szCs w:val="20"/>
                <w:color w:val="auto"/>
              </w:rPr>
            </w:pPr>
            <w:r>
              <w:rPr>
                <w:rFonts w:ascii="Arial" w:cs="Arial" w:eastAsia="Arial" w:hAnsi="Arial"/>
                <w:sz w:val="18"/>
                <w:szCs w:val="18"/>
                <w:color w:val="auto"/>
              </w:rPr>
              <w:t>Denominator for diluted EPS</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269,877,349</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288,226,089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291,072,316</w:t>
            </w:r>
          </w:p>
        </w:tc>
      </w:tr>
      <w:tr>
        <w:trPr>
          <w:trHeight w:val="20"/>
        </w:trPr>
        <w:tc>
          <w:tcPr>
            <w:tcW w:w="6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years ended December 31, 2018, 2017 and 2016, 698,019 shares, 910,105 shares, and 1,985,849 shares, respectively, related to stock option plans were not included in diluted average common shares outstanding because they were anti-dilutive.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Comprehensive Income (Loss)</w:t>
      </w:r>
    </w:p>
    <w:p>
      <w:pPr>
        <w:spacing w:after="0" w:line="144"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investments, derivatives, and foreign currency translation adjustments that are further detailed in </w:t>
      </w:r>
      <w:hyperlink w:anchor="page62">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Plans</w:t>
      </w:r>
    </w:p>
    <w:p>
      <w:pPr>
        <w:spacing w:after="0" w:line="126" w:lineRule="exact"/>
        <w:rPr>
          <w:sz w:val="20"/>
          <w:szCs w:val="20"/>
          <w:color w:val="auto"/>
        </w:rPr>
      </w:pPr>
    </w:p>
    <w:p>
      <w:pPr>
        <w:jc w:val="both"/>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 xml:space="preserve">The Company accounts for stock-based compensation using the fair value recognition provisions of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As described more fully in</w:t>
      </w:r>
      <w:r>
        <w:rPr>
          <w:rFonts w:ascii="Arial" w:cs="Arial" w:eastAsia="Arial" w:hAnsi="Arial"/>
          <w:sz w:val="18"/>
          <w:szCs w:val="18"/>
          <w:i w:val="1"/>
          <w:iCs w:val="1"/>
          <w:color w:val="auto"/>
        </w:rPr>
        <w:t xml:space="preserve"> </w:t>
      </w:r>
      <w:hyperlink w:anchor="page55">
        <w:r>
          <w:rPr>
            <w:rFonts w:ascii="Arial" w:cs="Arial" w:eastAsia="Arial" w:hAnsi="Arial"/>
            <w:sz w:val="18"/>
            <w:szCs w:val="18"/>
            <w:u w:val="single" w:color="auto"/>
            <w:color w:val="0000EE"/>
          </w:rPr>
          <w:t>Note 5,</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provides compensation benefits under two stock option plans,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plan, and an employee stock purchase plan. The Company utilizes the Black-Scholes model, which requires the input of subjective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subjective assumptions can materially affect the estimate of fair value of stock-based compensation and consequently, the related amounts recognized on the consolidated condensed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Standards</w:t>
      </w:r>
    </w:p>
    <w:p>
      <w:pPr>
        <w:spacing w:after="0" w:line="207"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Effective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method. This guidance supersedes nearly all existing revenue recognition guidance under US GAAP. The core principle of the guidance is that an entity should recognize revenue when it transfers promised goods or services to customers in an amount that reflects the consideration to which the company expects to be entitled in exchange for those goods or services. Based on the new guidance, the Company continues to recognize revenue at a particular point in time for the majority of its contracts with customers, which is generally when products are either shipped or delivered. The adoption of ASC 606 did not have a material impact on the consolidated financial statements. The Company has expanded its consolidated financial statement disclosures in order to comply with the disclosure requirements of the ASU beginning in the first quarter of 2018. These expanded disclosures are included in </w:t>
      </w:r>
      <w:hyperlink w:anchor="page64">
        <w:r>
          <w:rPr>
            <w:rFonts w:ascii="Arial" w:cs="Arial" w:eastAsia="Arial" w:hAnsi="Arial"/>
            <w:sz w:val="18"/>
            <w:szCs w:val="18"/>
            <w:u w:val="single" w:color="auto"/>
            <w:color w:val="0000EE"/>
          </w:rPr>
          <w:t>Note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Effective January 1, 2018, the Company adopted ASU 2016-01, </w:t>
      </w:r>
      <w:r>
        <w:rPr>
          <w:rFonts w:ascii="Arial" w:cs="Arial" w:eastAsia="Arial" w:hAnsi="Arial"/>
          <w:sz w:val="18"/>
          <w:szCs w:val="18"/>
          <w:i w:val="1"/>
          <w:iCs w:val="1"/>
          <w:color w:val="auto"/>
        </w:rPr>
        <w:t>Recognition and Measurement of Financial Assets and Financial Liabilitie</w:t>
      </w:r>
      <w:r>
        <w:rPr>
          <w:rFonts w:ascii="Arial" w:cs="Arial" w:eastAsia="Arial" w:hAnsi="Arial"/>
          <w:sz w:val="18"/>
          <w:szCs w:val="18"/>
          <w:color w:val="auto"/>
        </w:rPr>
        <w:t>s. The standard amends various aspects of the recognition, measurement, presentation, and disclosure of financial instruments. The most significant impact to our consolidated financial statements relates to the recognition and measurement of equity investments at fair value with changes recognized in net income. The amendment also updates certain presentation and disclosure requirements. The Company recorded a cumulative-effect adjustment in the first quarter of 2018 of $6,642,727 as a result of the implementation of this guidance, and as a result reclassified the net unrealized gain on available-for-sale equity securities as of January 1, 2018 from other comprehensive income to retained earnings. The adoption of ASU 2016-01 is expected to increase volatility in net income as changes in the fair value of available-for-sale equity investments and changes in observable prices of equity investments without readily determinable fair values will be recorded in net income.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5"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SUMMARY OF SIGNIFICANT ACCOUNTING AND REPORTING POLICIES, continued</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Effective October 1, 2018, the Company adopted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 standard eliminates the second step from the above described goodwill impairment test, which requires a hypothetical purchase price allocation to determine the implied fair value of goodwill. Under the new standard, the goodwill impairment charge will be the excess of the reporting unit's carrying value over its fair value, not to exceed the total amount of goodwill allocated to the reporting unit. The adoption of ASU 2017-04 did not have a material impact on the Company's consolidated financial statements.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balance sheet recognition of lease liabilities and right-of-use assets for most leases with terms of greater than 12 months. The Company will adopt the standard on the required effective date of January 1, 2019. The new guidance contained in the ASU stipulates that lessees need to recognize a right-of-use asset and a lease liability for substantially all leases (other than leases that meet the definition of a short-term lease). The liability is equal to the present value of lease payments. Treatment in the consolidated statements of income is similar to the current treatment of operating and capital leases. The new guidance is effective on a modified retrospective basis for the Company in the first quarter of its fiscal year ending December 31, 2019. The adoption of ASU 2016-02 is not expected to have a material impact on the consolidated financial statements. The Company will expand its consolidated financial statement disclosures in order to comply with the disclosure requirements of the ASU beginning in the first quarter of 2019. The Company will adopt the standard using the transition option, "Comparatives under 840 option", established by ASU 2018-11, Leases (Topic 842), Targeted Improvements (ASU 2018-11). The Company expects the primary impact upon adoption of the lease standard will be the recording of a right-of-use asset and liability on the consolidated balance sheets in a range of approximately $2 million to $3 million, based on the present value of future lease payments. The Company does not believe the standard will materially affect the consolidated balance sheet, net income, liquidity or debt covenant compliance under current agreements.</w:t>
      </w:r>
    </w:p>
    <w:p>
      <w:pPr>
        <w:spacing w:after="0" w:line="200" w:lineRule="exact"/>
        <w:rPr>
          <w:sz w:val="20"/>
          <w:szCs w:val="20"/>
          <w:color w:val="auto"/>
        </w:rPr>
      </w:pPr>
    </w:p>
    <w:p>
      <w:pPr>
        <w:spacing w:after="0" w:line="33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25"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On September 27, 2013, the Company entered into a credit agreement with certain banks and agents consisting of a revolver and term loan. During the years ended December 31, 2018 and 2017, the Company made repayments of $78.0 million and $107.6 million respectively, plus accrued interest, on the previously existing term loan, which completed the repayments on the outstanding revolver balance. The Company used cash and cash equivalents to fund the payments. As of December 31, 2018, there was no outstanding balance on the revolver or the term loan as such credit facility was paid in full and expired in 2018.</w:t>
      </w:r>
    </w:p>
    <w:p>
      <w:pPr>
        <w:spacing w:after="0" w:line="205"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On October 15, 2018, the Company entered into a new Credit Agreement providing the Company access to a $150 million senior revolving credit facility (“Revolver”), as previously disclosed.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swing loans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As of December 31, 2018, there was no outstanding balance on the Credit Agreement. The Credit Agreement expires on October 15, 2023.</w:t>
      </w:r>
    </w:p>
    <w:p>
      <w:pPr>
        <w:spacing w:after="0" w:line="206" w:lineRule="exact"/>
        <w:rPr>
          <w:rFonts w:ascii="Arial" w:cs="Arial" w:eastAsia="Arial" w:hAnsi="Arial"/>
          <w:sz w:val="18"/>
          <w:szCs w:val="18"/>
          <w:color w:val="auto"/>
        </w:rPr>
      </w:pPr>
    </w:p>
    <w:p>
      <w:pPr>
        <w:ind w:left="660"/>
        <w:spacing w:after="0" w:line="262" w:lineRule="auto"/>
        <w:rPr>
          <w:rFonts w:ascii="Arial" w:cs="Arial" w:eastAsia="Arial" w:hAnsi="Arial"/>
          <w:sz w:val="18"/>
          <w:szCs w:val="18"/>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2018, the Company was in compliance with its covenants under the Credit Agreement.</w:t>
      </w:r>
    </w:p>
    <w:p>
      <w:pPr>
        <w:spacing w:after="0" w:line="225" w:lineRule="exact"/>
        <w:rPr>
          <w:rFonts w:ascii="Arial" w:cs="Arial" w:eastAsia="Arial" w:hAnsi="Arial"/>
          <w:sz w:val="18"/>
          <w:szCs w:val="18"/>
          <w:color w:val="auto"/>
        </w:rPr>
      </w:pPr>
    </w:p>
    <w:p>
      <w:pPr>
        <w:ind w:left="660" w:right="20"/>
        <w:spacing w:after="0" w:line="262" w:lineRule="auto"/>
        <w:rPr>
          <w:rFonts w:ascii="Arial" w:cs="Arial" w:eastAsia="Arial" w:hAnsi="Arial"/>
          <w:sz w:val="18"/>
          <w:szCs w:val="18"/>
          <w:color w:val="0000EE"/>
        </w:rPr>
      </w:pPr>
      <w:hyperlink w:anchor="page40">
        <w:r>
          <w:rPr>
            <w:rFonts w:ascii="Arial" w:cs="Arial" w:eastAsia="Arial" w:hAnsi="Arial"/>
            <w:sz w:val="18"/>
            <w:szCs w:val="18"/>
            <w:color w:val="auto"/>
          </w:rPr>
          <w:t xml:space="preserve">Interest expense for the years ended December 31, 2018 and 2017 are presented within the "Other, net" section of the </w:t>
        </w:r>
        <w:r>
          <w:rPr>
            <w:rFonts w:ascii="Arial" w:cs="Arial" w:eastAsia="Arial" w:hAnsi="Arial"/>
            <w:sz w:val="18"/>
            <w:szCs w:val="18"/>
            <w:u w:val="single" w:color="auto"/>
            <w:color w:val="0000EE"/>
          </w:rPr>
          <w:t>Consolidated</w:t>
        </w:r>
      </w:hyperlink>
      <w:r>
        <w:rPr>
          <w:rFonts w:ascii="Arial" w:cs="Arial" w:eastAsia="Arial" w:hAnsi="Arial"/>
          <w:sz w:val="18"/>
          <w:szCs w:val="18"/>
          <w:color w:val="auto"/>
        </w:rPr>
        <w:t xml:space="preserve"> </w:t>
      </w:r>
      <w:hyperlink w:anchor="page40">
        <w:r>
          <w:rPr>
            <w:rFonts w:ascii="Arial" w:cs="Arial" w:eastAsia="Arial" w:hAnsi="Arial"/>
            <w:sz w:val="18"/>
            <w:szCs w:val="18"/>
            <w:u w:val="single" w:color="auto"/>
            <w:color w:val="0000EE"/>
          </w:rPr>
          <w:t>Statements of Income</w:t>
        </w:r>
        <w:r>
          <w:rPr>
            <w:rFonts w:ascii="Arial" w:cs="Arial" w:eastAsia="Arial" w:hAnsi="Arial"/>
            <w:sz w:val="18"/>
            <w:szCs w:val="18"/>
            <w:color w:val="0000EE"/>
          </w:rPr>
          <w:t xml:space="preserve"> </w:t>
        </w:r>
        <w:r>
          <w:rPr>
            <w:rFonts w:ascii="Arial" w:cs="Arial" w:eastAsia="Arial" w:hAnsi="Arial"/>
            <w:sz w:val="18"/>
            <w:szCs w:val="18"/>
            <w:color w:val="000000"/>
          </w:rPr>
          <w:t>and expenses associated with the term loan and revolver were $0.8 million and $3.0 million, respectively.</w:t>
        </w:r>
      </w:hyperlink>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INCOME TAXES,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 differences are expected to be recovered or settled. Deferred income tax expense is measured by the net change in deferred income tax assets and liabilities during the year.</w:t>
      </w:r>
    </w:p>
    <w:p>
      <w:pPr>
        <w:spacing w:after="0" w:line="127"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On December 22, 2017, President Trump signed into law the Tax Cuts and Jobs Act (the “Act”), a tax reform bill which, among other items, reduced the current federal income tax rate to 21% from 35%. The rate reduction was effective as of January 1, 2018, and is permanent.</w:t>
      </w:r>
    </w:p>
    <w:p>
      <w:pPr>
        <w:spacing w:after="0" w:line="120" w:lineRule="exact"/>
        <w:rPr>
          <w:rFonts w:ascii="Arial" w:cs="Arial" w:eastAsia="Arial" w:hAnsi="Arial"/>
          <w:sz w:val="18"/>
          <w:szCs w:val="18"/>
          <w:color w:val="auto"/>
        </w:rPr>
      </w:pPr>
    </w:p>
    <w:p>
      <w:pPr>
        <w:jc w:val="both"/>
        <w:ind w:left="660"/>
        <w:spacing w:after="0" w:line="251" w:lineRule="auto"/>
        <w:rPr>
          <w:rFonts w:ascii="Arial" w:cs="Arial" w:eastAsia="Arial" w:hAnsi="Arial"/>
          <w:sz w:val="18"/>
          <w:szCs w:val="18"/>
          <w:color w:val="auto"/>
        </w:rPr>
      </w:pPr>
      <w:r>
        <w:rPr>
          <w:rFonts w:ascii="Arial" w:cs="Arial" w:eastAsia="Arial" w:hAnsi="Arial"/>
          <w:sz w:val="18"/>
          <w:szCs w:val="18"/>
          <w:color w:val="auto"/>
        </w:rPr>
        <w:t>The Act caused the Company’s deferred income taxes to be revalued during calendar year 2017, resulting in a provisional reduction to income tax expense of $38.4 million in that period. As changes in tax laws or rates are enacted, deferred tax assets and liabilities are adjusted through income tax expense. Pursuant to the guidance within SEC Staff Accounting Bulletin No. 118 (“SAB 118”), as of December 31, 2017, the Company recognized the provisional effects of the enactment of the Act for which measurement could be reasonably estimated. Adjustments to these provisional amounts that are identified within the subsequent measurement period of up to one year from the enactment date are included as an adjustment to tax expense from continuing operations in the period the amounts are determined. The Company has completed its accounting for the income tax effects of the Act and no material adjustments were recorded during calendar year 2018. The one time transition tax calculation, a separate provision of the Act, was also competed and was not material.</w:t>
      </w:r>
    </w:p>
    <w:p>
      <w:pPr>
        <w:spacing w:after="0" w:line="13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foreign components of income before the provision for income taxes were not material for the year ended December 31, 2018,</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2017 and 2016. The components of the provision for income taxes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Currently payable: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63"/>
        </w:trPr>
        <w:tc>
          <w:tcPr>
            <w:tcW w:w="5180" w:type="dxa"/>
            <w:vAlign w:val="bottom"/>
          </w:tcPr>
          <w:p>
            <w:pPr>
              <w:ind w:left="3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83,010,387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133,166,194</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136,124,497</w:t>
            </w:r>
          </w:p>
        </w:tc>
      </w:tr>
      <w:tr>
        <w:trPr>
          <w:trHeight w:val="277"/>
        </w:trPr>
        <w:tc>
          <w:tcPr>
            <w:tcW w:w="5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3,743,781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3,984,000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3,805,000</w:t>
            </w:r>
          </w:p>
        </w:tc>
      </w:tr>
      <w:tr>
        <w:trPr>
          <w:trHeight w:val="264"/>
        </w:trPr>
        <w:tc>
          <w:tcPr>
            <w:tcW w:w="5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1,776,837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2,440,000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540,000</w:t>
            </w:r>
          </w:p>
        </w:tc>
      </w:tr>
      <w:tr>
        <w:trPr>
          <w:trHeight w:val="25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88,531,005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139,590,194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140,469,497</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Deferred income tax (benefit) expense: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5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Primarily federal</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(4,367,155)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(14,585,412)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22,500,000</w:t>
            </w:r>
          </w:p>
        </w:tc>
      </w:tr>
      <w:tr>
        <w:trPr>
          <w:trHeight w:val="244"/>
        </w:trPr>
        <w:tc>
          <w:tcPr>
            <w:tcW w:w="5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84,163,850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125,004,782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162,969,497</w:t>
            </w: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income tax rates are different from the statutory federal income tax rates for the following reasons: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INCOME TAXES,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6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0.5</w:t>
            </w:r>
          </w:p>
        </w:tc>
      </w:tr>
      <w:tr>
        <w:trPr>
          <w:trHeight w:val="27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production exclusion</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Research tax credit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(0.8)</w:t>
            </w:r>
          </w:p>
        </w:tc>
      </w:tr>
      <w:tr>
        <w:trPr>
          <w:trHeight w:val="27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(reduction) in reserve for uncertain tax provisions</w:t>
            </w: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Change in tax rate on deferred taxes</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Foreign derived intangible income deduction</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4"/>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0.1</w:t>
            </w: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tax effect of temporary differences which give rise to deferred income tax assets and liabilities at December 31, 2018 and 2017, are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Assets:</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Accruals not currently deductible</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Stock based compensation</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deferred income tax assets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Liabilities:</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Excess tax over book depreciation</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deferred income tax liability</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deferred income taxes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126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52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5,111,242</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4,546,767</w:t>
            </w:r>
          </w:p>
        </w:tc>
      </w:tr>
      <w:tr>
        <w:trPr>
          <w:trHeight w:val="270"/>
        </w:trPr>
        <w:tc>
          <w:tcPr>
            <w:tcW w:w="3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9,586,372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8,594,640</w:t>
            </w:r>
          </w:p>
        </w:tc>
      </w:tr>
      <w:tr>
        <w:trPr>
          <w:trHeight w:val="277"/>
        </w:trPr>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356,039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3,679,680</w:t>
            </w:r>
          </w:p>
        </w:tc>
      </w:tr>
      <w:tr>
        <w:trPr>
          <w:trHeight w:val="24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15,053,653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16,821,087</w:t>
            </w:r>
          </w:p>
        </w:tc>
      </w:tr>
      <w:tr>
        <w:trPr>
          <w:trHeight w:val="540"/>
        </w:trPr>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(39,835,025)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(46,123,681)</w:t>
            </w:r>
          </w:p>
        </w:tc>
      </w:tr>
      <w:tr>
        <w:trPr>
          <w:trHeight w:val="270"/>
        </w:trPr>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(23,341,226)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(18,972,334)</w:t>
            </w:r>
          </w:p>
        </w:tc>
      </w:tr>
      <w:tr>
        <w:trPr>
          <w:trHeight w:val="270"/>
        </w:trPr>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(5,089,042)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(4,172,726)</w:t>
            </w:r>
          </w:p>
        </w:tc>
      </w:tr>
      <w:tr>
        <w:trPr>
          <w:trHeight w:val="277"/>
        </w:trPr>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(1,309,849)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(6,440,990)</w:t>
            </w:r>
          </w:p>
        </w:tc>
      </w:tr>
      <w:tr>
        <w:trPr>
          <w:trHeight w:val="250"/>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(69,575,142)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(75,709,731)</w:t>
            </w:r>
          </w:p>
        </w:tc>
      </w:tr>
      <w:tr>
        <w:trPr>
          <w:trHeight w:val="250"/>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(54,521,489)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(58,888,644)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-2091690</wp:posOffset>
            </wp:positionV>
            <wp:extent cx="635444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4445" cy="18034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-1740535</wp:posOffset>
            </wp:positionV>
            <wp:extent cx="635444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-1397000</wp:posOffset>
            </wp:positionV>
            <wp:extent cx="635444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-1054100</wp:posOffset>
            </wp:positionV>
            <wp:extent cx="635444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-711200</wp:posOffset>
            </wp:positionV>
            <wp:extent cx="635444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-368300</wp:posOffset>
            </wp:positionV>
            <wp:extent cx="635444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4100"/>
          </w:cols>
          <w:pgMar w:left="240" w:top="118" w:right="239" w:bottom="1440" w:gutter="0" w:footer="0" w:header="0"/>
          <w:type w:val="continuous"/>
        </w:sectPr>
      </w:pP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paid in cash were approximately $86.9 million, $126.0 million and $144.1 million in 2018, 2017 and 2016, respectively.</w:t>
      </w:r>
    </w:p>
    <w:p>
      <w:pPr>
        <w:spacing w:after="0" w:line="144" w:lineRule="exact"/>
        <w:rPr>
          <w:sz w:val="20"/>
          <w:szCs w:val="20"/>
          <w:color w:val="auto"/>
        </w:rPr>
      </w:pPr>
    </w:p>
    <w:p>
      <w:pPr>
        <w:ind w:left="660" w:right="20"/>
        <w:spacing w:after="0" w:line="262" w:lineRule="auto"/>
        <w:rPr>
          <w:sz w:val="20"/>
          <w:szCs w:val="20"/>
          <w:color w:val="auto"/>
        </w:rPr>
      </w:pPr>
      <w:r>
        <w:rPr>
          <w:rFonts w:ascii="Arial" w:cs="Arial" w:eastAsia="Arial" w:hAnsi="Arial"/>
          <w:sz w:val="18"/>
          <w:szCs w:val="18"/>
          <w:color w:val="auto"/>
        </w:rPr>
        <w:t>The Company follows the provisions of the Financial Accounting Standards Codification 740 (“ASC 740”), “Income Taxes.” A reconciliation of the beginning and ending amount of unrecognized tax benefits is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5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4,435,000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3,408,000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5,375,000</w:t>
            </w: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1,677,000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941,000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756,000</w:t>
            </w:r>
          </w:p>
        </w:tc>
      </w:tr>
      <w:tr>
        <w:trPr>
          <w:trHeight w:val="27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in prior years</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283,000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487,000</w:t>
            </w: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color w:val="auto"/>
              </w:rPr>
              <w:t>Reductions for tax positions in prior years</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(2,949,000)</w:t>
            </w:r>
          </w:p>
        </w:tc>
      </w:tr>
      <w:tr>
        <w:trPr>
          <w:trHeight w:val="27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as a result of completed audit examinations</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Reductions as a result of a lapse of the applicable statute of</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540" w:type="dxa"/>
            <w:vAlign w:val="bottom"/>
          </w:tcPr>
          <w:p>
            <w:pPr>
              <w:ind w:left="20"/>
              <w:spacing w:after="0"/>
              <w:rPr>
                <w:sz w:val="20"/>
                <w:szCs w:val="20"/>
                <w:color w:val="auto"/>
              </w:rPr>
            </w:pPr>
            <w:r>
              <w:rPr>
                <w:rFonts w:ascii="Arial" w:cs="Arial" w:eastAsia="Arial" w:hAnsi="Arial"/>
                <w:sz w:val="18"/>
                <w:szCs w:val="18"/>
                <w:color w:val="auto"/>
              </w:rPr>
              <w:t>limitations</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(261,000)</w:t>
            </w:r>
          </w:p>
        </w:tc>
      </w:tr>
      <w:tr>
        <w:trPr>
          <w:trHeight w:val="25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4,678,000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3,408,000</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recognized, unrecognized tax benefits would affect the effective tax rate.</w:t>
      </w:r>
    </w:p>
    <w:p>
      <w:pPr>
        <w:sectPr>
          <w:pgSz w:w="11900" w:h="16838" w:orient="portrait"/>
          <w:cols w:equalWidth="0" w:num="1">
            <w:col w:w="11420"/>
          </w:cols>
          <w:pgMar w:left="240" w:top="118" w:right="2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118"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INCOME TAXES,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recognizes interest and penalties related to unrecognized tax benefits through the provision for income taxes. The Company has accrued approximately $315,000 and $433,000 for interest as of December 31, 2018 and 2017, respectively. Interest recorded during 2018, 2017 and 2016 was not considered significant.</w:t>
      </w:r>
    </w:p>
    <w:p>
      <w:pPr>
        <w:spacing w:after="0" w:line="12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is also subject to periodic and routine audits in both domestic and foreign tax jurisdictions, and it is reasonably possible that the amounts of unrecognized tax benefits could change as a result of an audit.</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Based on the current audits in process, the payment of taxes as a result of audit settlements, and the completion of tax examinations, the Company does not expect these to have a material impact on the Company’s financial position or results of operations.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For the majority of tax jurisdictions, the Company is no longer subject to U.S. federal, state and local, or non-U.S. income tax examinations by tax authorities for years before 2014.</w:t>
      </w:r>
    </w:p>
    <w:p>
      <w:pPr>
        <w:spacing w:after="0" w:line="30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BENEFIT PLAN</w:t>
      </w:r>
    </w:p>
    <w:p>
      <w:pPr>
        <w:spacing w:after="0" w:line="144"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2018, 2017 and 2016 the Company’s contributions were approximately $8.2 million, $7.7 million and $6.5 million, respectively. The increase in each of the years was due to increased employee participation in the plan.</w:t>
      </w:r>
    </w:p>
    <w:p>
      <w:pPr>
        <w:spacing w:after="0" w:line="1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does not provide health care benefits to retired employees.</w:t>
      </w:r>
    </w:p>
    <w:p>
      <w:pPr>
        <w:spacing w:after="0" w:line="33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225"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At December 31, 2018, the Company had four equity incentive plans which include two stock option plans, a restricted stock plan and an employee stock purchase plan. All of the plans and any material amendments thereto have previously been approved by shareholders.</w:t>
      </w:r>
    </w:p>
    <w:p>
      <w:pPr>
        <w:spacing w:after="0" w:line="3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Employee Stock Option Plan</w:t>
      </w:r>
    </w:p>
    <w:p>
      <w:pPr>
        <w:spacing w:after="0" w:line="144"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In May 2014, the Employee Stock Option Plan was approved by shareholders, amending and restating a prior plan. The Company may grant up to 24,000,000 shares of common stock under the plan. The purpose of the plan is to provide an opportunity to use stock options as a means of recruiting new managerial and technical personnel and as a means for retaining certain employees of the Company by allowing them to purchase shares of common stock of the Corporation and thereby have an additional incentive to contribute to the prosperity of the Company.</w:t>
      </w:r>
    </w:p>
    <w:p>
      <w:pPr>
        <w:spacing w:after="0" w:line="124"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The Company has granted options on 12,787,960 shares (net of shares from canceled/expired options) under the plan through December 31, 2018. Under the plan, the option exercise price equals the stock’s market price on date of grant. The options vest after one to five years, and expire after five to ten years.</w:t>
      </w:r>
    </w:p>
    <w:p>
      <w:pPr>
        <w:spacing w:after="0" w:line="201" w:lineRule="exact"/>
        <w:rPr>
          <w:rFonts w:ascii="Arial" w:cs="Arial" w:eastAsia="Arial" w:hAnsi="Arial"/>
          <w:sz w:val="18"/>
          <w:szCs w:val="18"/>
          <w:color w:val="auto"/>
        </w:rPr>
      </w:pPr>
    </w:p>
    <w:p>
      <w:pPr>
        <w:ind w:left="660" w:right="20"/>
        <w:spacing w:after="0" w:line="262" w:lineRule="auto"/>
        <w:rPr>
          <w:rFonts w:ascii="Arial" w:cs="Arial" w:eastAsia="Arial" w:hAnsi="Arial"/>
          <w:sz w:val="18"/>
          <w:szCs w:val="18"/>
          <w:color w:val="auto"/>
        </w:rPr>
      </w:pPr>
      <w:r>
        <w:rPr>
          <w:rFonts w:ascii="Arial" w:cs="Arial" w:eastAsia="Arial" w:hAnsi="Arial"/>
          <w:sz w:val="18"/>
          <w:szCs w:val="18"/>
          <w:color w:val="auto"/>
        </w:rPr>
        <w:t>The fair value of each option grant in the Employee Stock Option Plan was estimated on the date of grant using the Black-Scholes option pricing model with the following weighted-average assumptions for the indicated periods: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3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1"/>
                <w:szCs w:val="21"/>
                <w:color w:val="auto"/>
                <w:vertAlign w:val="superscript"/>
              </w:rPr>
              <w:t>(2)</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1"/>
                <w:szCs w:val="21"/>
                <w:color w:val="auto"/>
                <w:vertAlign w:val="superscript"/>
              </w:rPr>
              <w:t>(3)</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term of options (in years)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4.7</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r>
    </w:tbl>
    <w:p>
      <w:pPr>
        <w:spacing w:after="0" w:line="350" w:lineRule="exact"/>
        <w:rPr>
          <w:sz w:val="20"/>
          <w:szCs w:val="20"/>
          <w:color w:val="auto"/>
        </w:rPr>
      </w:pPr>
    </w:p>
    <w:p>
      <w:pPr>
        <w:ind w:left="5620" w:right="2640" w:hanging="4964"/>
        <w:spacing w:after="0" w:line="543" w:lineRule="auto"/>
        <w:tabs>
          <w:tab w:leader="none" w:pos="10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Company's estimated cash dividend yield over the expected term of option grant. 55</w:t>
      </w:r>
    </w:p>
    <w:p>
      <w:pPr>
        <w:sectPr>
          <w:pgSz w:w="11900" w:h="16838" w:orient="portrait"/>
          <w:cols w:equalWidth="0" w:num="1">
            <w:col w:w="11420"/>
          </w:cols>
          <w:pgMar w:left="240" w:top="118" w:right="239" w:bottom="1440" w:gutter="0" w:footer="0" w:header="0"/>
        </w:sectPr>
      </w:pPr>
    </w:p>
    <w:bookmarkStart w:id="55" w:name="page56"/>
    <w:bookmarkEnd w:id="55"/>
    <w:p>
      <w:pPr>
        <w:jc w:val="center"/>
        <w:ind w:right="-11"/>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387" w:lineRule="exact"/>
        <w:rPr>
          <w:rFonts w:ascii="Arial" w:cs="Arial" w:eastAsia="Arial" w:hAnsi="Arial"/>
          <w:sz w:val="18"/>
          <w:szCs w:val="18"/>
          <w:color w:val="auto"/>
        </w:rPr>
      </w:pPr>
    </w:p>
    <w:p>
      <w:pPr>
        <w:ind w:left="1532" w:right="20" w:hanging="884"/>
        <w:spacing w:after="0" w:line="262" w:lineRule="auto"/>
        <w:tabs>
          <w:tab w:leader="none" w:pos="88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15" w:lineRule="exact"/>
        <w:rPr>
          <w:rFonts w:ascii="Arial" w:cs="Arial" w:eastAsia="Arial" w:hAnsi="Arial"/>
          <w:sz w:val="18"/>
          <w:szCs w:val="18"/>
          <w:color w:val="auto"/>
        </w:rPr>
      </w:pPr>
    </w:p>
    <w:p>
      <w:pPr>
        <w:ind w:left="1072" w:hanging="424"/>
        <w:spacing w:after="0"/>
        <w:tabs>
          <w:tab w:leader="none" w:pos="10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Represents the U.S. Treasury yield over the expected term of the option grant.</w:t>
      </w:r>
    </w:p>
    <w:p>
      <w:pPr>
        <w:spacing w:after="0" w:line="144" w:lineRule="exact"/>
        <w:rPr>
          <w:rFonts w:ascii="Arial" w:cs="Arial" w:eastAsia="Arial" w:hAnsi="Arial"/>
          <w:sz w:val="18"/>
          <w:szCs w:val="18"/>
          <w:color w:val="auto"/>
        </w:rPr>
      </w:pPr>
    </w:p>
    <w:p>
      <w:pPr>
        <w:ind w:left="1532" w:hanging="884"/>
        <w:spacing w:after="0" w:line="256" w:lineRule="auto"/>
        <w:tabs>
          <w:tab w:leader="none" w:pos="884"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21" w:lineRule="exact"/>
        <w:rPr>
          <w:sz w:val="20"/>
          <w:szCs w:val="20"/>
          <w:color w:val="auto"/>
        </w:rPr>
      </w:pPr>
    </w:p>
    <w:p>
      <w:pPr>
        <w:ind w:left="652"/>
        <w:spacing w:after="0" w:line="262" w:lineRule="auto"/>
        <w:rPr>
          <w:sz w:val="20"/>
          <w:szCs w:val="20"/>
          <w:color w:val="auto"/>
        </w:rPr>
      </w:pPr>
      <w:r>
        <w:rPr>
          <w:rFonts w:ascii="Arial" w:cs="Arial" w:eastAsia="Arial" w:hAnsi="Arial"/>
          <w:sz w:val="18"/>
          <w:szCs w:val="18"/>
          <w:color w:val="auto"/>
        </w:rPr>
        <w:t>As of December 31, 2018, there was $8,445,267 of unrecognized compensation cost related to share-based payments which is expected to be recognized over the remaining vesting periods, with a weighted-average period of 1.90 years.</w:t>
      </w:r>
    </w:p>
    <w:p>
      <w:pPr>
        <w:spacing w:after="0" w:line="115" w:lineRule="exact"/>
        <w:rPr>
          <w:sz w:val="20"/>
          <w:szCs w:val="20"/>
          <w:color w:val="auto"/>
        </w:rPr>
      </w:pPr>
    </w:p>
    <w:p>
      <w:pPr>
        <w:ind w:left="652"/>
        <w:spacing w:after="0" w:line="262" w:lineRule="auto"/>
        <w:rPr>
          <w:sz w:val="20"/>
          <w:szCs w:val="20"/>
          <w:color w:val="auto"/>
        </w:rPr>
      </w:pPr>
      <w:r>
        <w:rPr>
          <w:rFonts w:ascii="Arial" w:cs="Arial" w:eastAsia="Arial" w:hAnsi="Arial"/>
          <w:sz w:val="18"/>
          <w:szCs w:val="18"/>
          <w:color w:val="auto"/>
        </w:rPr>
        <w:t>A summary of the status of the Company’s employee stock option plan at December 31, 2018, 2017 and 2016, and changes during the same periods are presented in the tables below.</w:t>
      </w:r>
    </w:p>
    <w:p>
      <w:pPr>
        <w:sectPr>
          <w:pgSz w:w="11900" w:h="16838" w:orient="portrait"/>
          <w:cols w:equalWidth="0" w:num="1">
            <w:col w:w="11412"/>
          </w:cols>
          <w:pgMar w:left="248"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52"/>
        <w:spacing w:after="0"/>
        <w:rPr>
          <w:sz w:val="20"/>
          <w:szCs w:val="20"/>
          <w:color w:val="auto"/>
        </w:rPr>
      </w:pPr>
      <w:r>
        <w:rPr>
          <w:rFonts w:ascii="Arial" w:cs="Arial" w:eastAsia="Arial" w:hAnsi="Arial"/>
          <w:sz w:val="17"/>
          <w:szCs w:val="17"/>
          <w:color w:val="auto"/>
        </w:rPr>
        <w:t>Outstanding at Beginning of Year</w:t>
      </w:r>
    </w:p>
    <w:p>
      <w:pPr>
        <w:spacing w:after="0" w:line="88" w:lineRule="exact"/>
        <w:rPr>
          <w:sz w:val="20"/>
          <w:szCs w:val="20"/>
          <w:color w:val="auto"/>
        </w:rPr>
      </w:pPr>
    </w:p>
    <w:p>
      <w:pPr>
        <w:ind w:left="1052"/>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1052"/>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1052"/>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1052"/>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1052"/>
        <w:spacing w:after="0"/>
        <w:rPr>
          <w:sz w:val="20"/>
          <w:szCs w:val="20"/>
          <w:color w:val="auto"/>
        </w:rPr>
      </w:pPr>
      <w:r>
        <w:rPr>
          <w:rFonts w:ascii="Arial" w:cs="Arial" w:eastAsia="Arial" w:hAnsi="Arial"/>
          <w:sz w:val="18"/>
          <w:szCs w:val="18"/>
          <w:color w:val="auto"/>
        </w:rPr>
        <w:t>Exercisable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Outstanding at Beginning of Year</w:t>
      </w:r>
    </w:p>
    <w:p>
      <w:pPr>
        <w:spacing w:after="0" w:line="77" w:lineRule="exact"/>
        <w:rPr>
          <w:sz w:val="20"/>
          <w:szCs w:val="20"/>
          <w:color w:val="auto"/>
        </w:rPr>
      </w:pPr>
    </w:p>
    <w:p>
      <w:pPr>
        <w:ind w:left="672"/>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Exercisable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72"/>
        <w:spacing w:after="0"/>
        <w:rPr>
          <w:sz w:val="20"/>
          <w:szCs w:val="20"/>
          <w:color w:val="auto"/>
        </w:rPr>
      </w:pPr>
      <w:r>
        <w:rPr>
          <w:rFonts w:ascii="Arial" w:cs="Arial" w:eastAsia="Arial" w:hAnsi="Arial"/>
          <w:sz w:val="18"/>
          <w:szCs w:val="18"/>
          <w:color w:val="auto"/>
        </w:rPr>
        <w:t>Outstanding at Beginning of Year</w:t>
      </w:r>
    </w:p>
    <w:p>
      <w:pPr>
        <w:spacing w:after="0" w:line="77" w:lineRule="exact"/>
        <w:rPr>
          <w:sz w:val="20"/>
          <w:szCs w:val="20"/>
          <w:color w:val="auto"/>
        </w:rPr>
      </w:pPr>
    </w:p>
    <w:p>
      <w:pPr>
        <w:ind w:left="672"/>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Exercisable at End of Year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26035</wp:posOffset>
            </wp:positionV>
            <wp:extent cx="3336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380" w:type="dxa"/>
            <w:vAlign w:val="bottom"/>
          </w:tcPr>
          <w:p>
            <w:pPr>
              <w:spacing w:after="0"/>
              <w:rPr>
                <w:sz w:val="14"/>
                <w:szCs w:val="14"/>
                <w:color w:val="auto"/>
              </w:rPr>
            </w:pPr>
          </w:p>
        </w:tc>
        <w:tc>
          <w:tcPr>
            <w:tcW w:w="9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9"/>
              </w:rPr>
              <w:t>Wtd. Avg.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3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rPr>
              <w:t>Ex. Price</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Contract Life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(000)</w:t>
            </w:r>
          </w:p>
        </w:tc>
        <w:tc>
          <w:tcPr>
            <w:tcW w:w="400" w:type="dxa"/>
            <w:vAlign w:val="bottom"/>
            <w:tcBorders>
              <w:bottom w:val="single" w:sz="8" w:color="auto"/>
            </w:tcBorders>
          </w:tcPr>
          <w:p>
            <w:pPr>
              <w:spacing w:after="0"/>
              <w:rPr>
                <w:sz w:val="17"/>
                <w:szCs w:val="17"/>
                <w:color w:val="auto"/>
              </w:rPr>
            </w:pPr>
          </w:p>
        </w:tc>
      </w:tr>
      <w:tr>
        <w:trPr>
          <w:trHeight w:val="256"/>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11,837</w:t>
            </w:r>
          </w:p>
        </w:tc>
        <w:tc>
          <w:tcPr>
            <w:tcW w:w="88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(4,278)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38,097</w:t>
            </w:r>
          </w:p>
        </w:tc>
      </w:tr>
      <w:tr>
        <w:trPr>
          <w:trHeight w:val="277"/>
        </w:trPr>
        <w:tc>
          <w:tcPr>
            <w:tcW w:w="380" w:type="dxa"/>
            <w:vAlign w:val="bottom"/>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3"/>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8,944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8"/>
              </w:rPr>
              <w:t>2.8 Yrs</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24,881</w:t>
            </w:r>
          </w:p>
        </w:tc>
      </w:tr>
      <w:tr>
        <w:trPr>
          <w:trHeight w:val="270"/>
        </w:trPr>
        <w:tc>
          <w:tcPr>
            <w:tcW w:w="1560" w:type="dxa"/>
            <w:vAlign w:val="bottom"/>
            <w:gridSpan w:val="4"/>
          </w:tcPr>
          <w:p>
            <w:pPr>
              <w:jc w:val="right"/>
              <w:spacing w:after="0"/>
              <w:rPr>
                <w:sz w:val="20"/>
                <w:szCs w:val="20"/>
                <w:color w:val="auto"/>
              </w:rPr>
            </w:pPr>
            <w:r>
              <w:rPr>
                <w:rFonts w:ascii="Arial" w:cs="Arial" w:eastAsia="Arial" w:hAnsi="Arial"/>
                <w:sz w:val="18"/>
                <w:szCs w:val="18"/>
                <w:color w:val="auto"/>
              </w:rPr>
              <w:t>4,101</w:t>
            </w:r>
          </w:p>
        </w:tc>
        <w:tc>
          <w:tcPr>
            <w:tcW w:w="88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8"/>
              </w:rPr>
              <w:t>1.7 Yrs</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16,162</w:t>
            </w:r>
          </w:p>
        </w:tc>
      </w:tr>
      <w:tr>
        <w:trPr>
          <w:trHeight w:val="575"/>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rPr>
              <w:t>Wtd. Avg.</w:t>
            </w:r>
          </w:p>
        </w:tc>
        <w:tc>
          <w:tcPr>
            <w:tcW w:w="14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1300" w:type="dxa"/>
            <w:vAlign w:val="bottom"/>
            <w:gridSpan w:val="3"/>
          </w:tcPr>
          <w:p>
            <w:pPr>
              <w:ind w:left="3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8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9"/>
              </w:rPr>
              <w:t>Wtd. Avg.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Value</w:t>
            </w:r>
          </w:p>
        </w:tc>
      </w:tr>
      <w:tr>
        <w:trPr>
          <w:trHeight w:val="196"/>
        </w:trPr>
        <w:tc>
          <w:tcPr>
            <w:tcW w:w="118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Ex. Price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Contract Life</w:t>
            </w:r>
          </w:p>
        </w:tc>
        <w:tc>
          <w:tcPr>
            <w:tcW w:w="1020" w:type="dxa"/>
            <w:vAlign w:val="bottom"/>
            <w:gridSpan w:val="3"/>
          </w:tcPr>
          <w:p>
            <w:pPr>
              <w:jc w:val="center"/>
              <w:ind w:right="239"/>
              <w:spacing w:after="0"/>
              <w:rPr>
                <w:sz w:val="20"/>
                <w:szCs w:val="20"/>
                <w:color w:val="auto"/>
              </w:rPr>
            </w:pPr>
            <w:r>
              <w:rPr>
                <w:rFonts w:ascii="Arial" w:cs="Arial" w:eastAsia="Arial" w:hAnsi="Arial"/>
                <w:sz w:val="14"/>
                <w:szCs w:val="14"/>
                <w:b w:val="1"/>
                <w:bCs w:val="1"/>
                <w:color w:val="auto"/>
              </w:rPr>
              <w:t>(000)</w:t>
            </w:r>
          </w:p>
        </w:tc>
        <w:tc>
          <w:tcPr>
            <w:tcW w:w="400" w:type="dxa"/>
            <w:vAlign w:val="bottom"/>
          </w:tcPr>
          <w:p>
            <w:pPr>
              <w:spacing w:after="0"/>
              <w:rPr>
                <w:sz w:val="17"/>
                <w:szCs w:val="17"/>
                <w:color w:val="auto"/>
              </w:rPr>
            </w:pPr>
          </w:p>
        </w:tc>
      </w:tr>
      <w:tr>
        <w:trPr>
          <w:trHeight w:val="256"/>
        </w:trPr>
        <w:tc>
          <w:tcPr>
            <w:tcW w:w="118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14,252</w:t>
            </w:r>
          </w:p>
        </w:tc>
        <w:tc>
          <w:tcPr>
            <w:tcW w:w="12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3"/>
          </w:tcPr>
          <w:p>
            <w:pPr>
              <w:jc w:val="center"/>
              <w:ind w:left="553"/>
              <w:spacing w:after="0"/>
              <w:rPr>
                <w:sz w:val="20"/>
                <w:szCs w:val="20"/>
                <w:color w:val="auto"/>
              </w:rPr>
            </w:pPr>
            <w:r>
              <w:rPr>
                <w:rFonts w:ascii="Arial" w:cs="Arial" w:eastAsia="Arial" w:hAnsi="Arial"/>
                <w:sz w:val="18"/>
                <w:szCs w:val="18"/>
                <w:color w:val="auto"/>
                <w:w w:val="99"/>
              </w:rPr>
              <w:t>15</w:t>
            </w: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r>
      <w:tr>
        <w:trPr>
          <w:trHeight w:val="270"/>
        </w:trPr>
        <w:tc>
          <w:tcPr>
            <w:tcW w:w="1180" w:type="dxa"/>
            <w:vAlign w:val="bottom"/>
            <w:gridSpan w:val="2"/>
          </w:tcPr>
          <w:p>
            <w:pPr>
              <w:jc w:val="right"/>
              <w:ind w:right="2"/>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3"/>
          </w:tcPr>
          <w:p>
            <w:pPr>
              <w:jc w:val="center"/>
              <w:ind w:left="553"/>
              <w:spacing w:after="0"/>
              <w:rPr>
                <w:sz w:val="20"/>
                <w:szCs w:val="20"/>
                <w:color w:val="auto"/>
              </w:rPr>
            </w:pPr>
            <w:r>
              <w:rPr>
                <w:rFonts w:ascii="Arial" w:cs="Arial" w:eastAsia="Arial" w:hAnsi="Arial"/>
                <w:sz w:val="18"/>
                <w:szCs w:val="18"/>
                <w:color w:val="auto"/>
                <w:w w:val="99"/>
              </w:rPr>
              <w:t>20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3"/>
          </w:tcPr>
          <w:p>
            <w:pPr>
              <w:jc w:val="center"/>
              <w:ind w:left="553"/>
              <w:spacing w:after="0"/>
              <w:rPr>
                <w:sz w:val="20"/>
                <w:szCs w:val="20"/>
                <w:color w:val="auto"/>
              </w:rPr>
            </w:pPr>
            <w:r>
              <w:rPr>
                <w:rFonts w:ascii="Arial" w:cs="Arial" w:eastAsia="Arial" w:hAnsi="Arial"/>
                <w:sz w:val="18"/>
                <w:szCs w:val="18"/>
                <w:color w:val="auto"/>
                <w:w w:val="99"/>
              </w:rPr>
              <w:t>13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25,156</w:t>
            </w:r>
          </w:p>
        </w:tc>
        <w:tc>
          <w:tcPr>
            <w:tcW w:w="4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-2366010</wp:posOffset>
            </wp:positionV>
            <wp:extent cx="635444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4445" cy="18034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-2014855</wp:posOffset>
            </wp:positionV>
            <wp:extent cx="635444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-1671320</wp:posOffset>
            </wp:positionV>
            <wp:extent cx="635444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4445" cy="17145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-513715</wp:posOffset>
            </wp:positionV>
            <wp:extent cx="633730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37300" cy="18034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-162560</wp:posOffset>
            </wp:positionV>
            <wp:extent cx="633730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33" w:lineRule="exact"/>
        <w:rPr>
          <w:sz w:val="20"/>
          <w:szCs w:val="20"/>
          <w:color w:val="auto"/>
        </w:rPr>
      </w:pPr>
    </w:p>
    <w:p>
      <w:pPr>
        <w:ind w:left="2220" w:hanging="1490"/>
        <w:spacing w:after="0"/>
        <w:tabs>
          <w:tab w:leader="none" w:pos="2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14605</wp:posOffset>
            </wp:positionV>
            <wp:extent cx="633730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11,837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61"/>
              <w:spacing w:after="0"/>
              <w:rPr>
                <w:sz w:val="20"/>
                <w:szCs w:val="20"/>
                <w:color w:val="auto"/>
              </w:rPr>
            </w:pPr>
            <w:r>
              <w:rPr>
                <w:rFonts w:ascii="Arial" w:cs="Arial" w:eastAsia="Arial" w:hAnsi="Arial"/>
                <w:sz w:val="18"/>
                <w:szCs w:val="18"/>
                <w:color w:val="auto"/>
              </w:rPr>
              <w:t>2.7 Yrs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58,202</w:t>
            </w:r>
          </w:p>
        </w:tc>
      </w:tr>
      <w:tr>
        <w:trPr>
          <w:trHeight w:val="27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5,297</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center"/>
              <w:ind w:right="161"/>
              <w:spacing w:after="0"/>
              <w:rPr>
                <w:sz w:val="20"/>
                <w:szCs w:val="20"/>
                <w:color w:val="auto"/>
              </w:rPr>
            </w:pPr>
            <w:r>
              <w:rPr>
                <w:rFonts w:ascii="Arial" w:cs="Arial" w:eastAsia="Arial" w:hAnsi="Arial"/>
                <w:sz w:val="18"/>
                <w:szCs w:val="18"/>
                <w:color w:val="auto"/>
                <w:w w:val="99"/>
              </w:rPr>
              <w:t>2 Yrs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32,152</w:t>
            </w:r>
          </w:p>
        </w:tc>
      </w:tr>
      <w:tr>
        <w:trPr>
          <w:trHeight w:val="737"/>
        </w:trPr>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Wtd. Avg.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15"/>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0"/>
              <w:spacing w:after="0"/>
              <w:rPr>
                <w:sz w:val="20"/>
                <w:szCs w:val="20"/>
                <w:color w:val="auto"/>
              </w:rPr>
            </w:pPr>
            <w:r>
              <w:rPr>
                <w:rFonts w:ascii="Arial" w:cs="Arial" w:eastAsia="Arial" w:hAnsi="Arial"/>
                <w:sz w:val="14"/>
                <w:szCs w:val="14"/>
                <w:b w:val="1"/>
                <w:bCs w:val="1"/>
                <w:color w:val="auto"/>
              </w:rPr>
              <w:t>Value</w:t>
            </w:r>
          </w:p>
        </w:tc>
      </w:tr>
      <w:tr>
        <w:trPr>
          <w:trHeight w:val="196"/>
        </w:trPr>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 Life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(000)</w:t>
            </w:r>
          </w:p>
        </w:tc>
      </w:tr>
      <w:tr>
        <w:trPr>
          <w:trHeight w:val="256"/>
        </w:trPr>
        <w:tc>
          <w:tcPr>
            <w:tcW w:w="1200" w:type="dxa"/>
            <w:vAlign w:val="bottom"/>
          </w:tcPr>
          <w:p>
            <w:pPr>
              <w:jc w:val="right"/>
              <w:ind w:right="15"/>
              <w:spacing w:after="0"/>
              <w:rPr>
                <w:sz w:val="20"/>
                <w:szCs w:val="20"/>
                <w:color w:val="auto"/>
              </w:rPr>
            </w:pPr>
            <w:r>
              <w:rPr>
                <w:rFonts w:ascii="Arial" w:cs="Arial" w:eastAsia="Arial" w:hAnsi="Arial"/>
                <w:sz w:val="18"/>
                <w:szCs w:val="18"/>
                <w:color w:val="auto"/>
              </w:rPr>
              <w:t>17,692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1200" w:type="dxa"/>
            <w:vAlign w:val="bottom"/>
          </w:tcPr>
          <w:p>
            <w:pPr>
              <w:jc w:val="right"/>
              <w:ind w:right="15"/>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00" w:type="dxa"/>
            <w:vAlign w:val="bottom"/>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31,790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-513715</wp:posOffset>
            </wp:positionV>
            <wp:extent cx="635444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4445" cy="18034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-162560</wp:posOffset>
            </wp:positionV>
            <wp:extent cx="635444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33" w:lineRule="exact"/>
        <w:rPr>
          <w:sz w:val="20"/>
          <w:szCs w:val="20"/>
          <w:color w:val="auto"/>
        </w:rPr>
      </w:pPr>
    </w:p>
    <w:p>
      <w:pPr>
        <w:ind w:left="2340" w:hanging="1502"/>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14605</wp:posOffset>
            </wp:positionV>
            <wp:extent cx="635444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43"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14,252</w:t>
            </w:r>
          </w:p>
        </w:tc>
        <w:tc>
          <w:tcPr>
            <w:tcW w:w="6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 Yrs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67,763</w:t>
            </w:r>
          </w:p>
        </w:tc>
      </w:tr>
      <w:tr>
        <w:trPr>
          <w:trHeight w:val="270"/>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4,855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040" w:type="dxa"/>
            <w:vAlign w:val="bottom"/>
          </w:tcPr>
          <w:p>
            <w:pPr>
              <w:jc w:val="center"/>
              <w:spacing w:after="0"/>
              <w:rPr>
                <w:sz w:val="20"/>
                <w:szCs w:val="20"/>
                <w:color w:val="auto"/>
              </w:rPr>
            </w:pPr>
            <w:r>
              <w:rPr>
                <w:rFonts w:ascii="Arial" w:cs="Arial" w:eastAsia="Arial" w:hAnsi="Arial"/>
                <w:sz w:val="18"/>
                <w:szCs w:val="18"/>
                <w:color w:val="auto"/>
              </w:rPr>
              <w:t>2.3 Yrs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30,021</w:t>
            </w:r>
          </w:p>
        </w:tc>
      </w:tr>
    </w:tbl>
    <w:p>
      <w:pPr>
        <w:spacing w:after="0" w:line="200" w:lineRule="exact"/>
        <w:rPr>
          <w:sz w:val="20"/>
          <w:szCs w:val="20"/>
          <w:color w:val="auto"/>
        </w:rPr>
      </w:pPr>
    </w:p>
    <w:p>
      <w:pPr>
        <w:sectPr>
          <w:pgSz w:w="11900" w:h="16838" w:orient="portrait"/>
          <w:cols w:equalWidth="0" w:num="2">
            <w:col w:w="4672" w:space="720"/>
            <w:col w:w="6020"/>
          </w:cols>
          <w:pgMar w:left="248" w:top="118" w:right="239" w:bottom="1440" w:gutter="0" w:footer="0" w:header="0"/>
          <w:type w:val="continuous"/>
        </w:sectPr>
      </w:pPr>
    </w:p>
    <w:p>
      <w:pPr>
        <w:spacing w:after="0" w:line="272"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12"/>
          </w:cols>
          <w:pgMar w:left="248" w:top="118"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38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 summary of the status of the Company’s non-vested employee stock option activity for the years ended December 31, 2018, 2017, and 2016, are presented in the table below:</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7"/>
                <w:szCs w:val="17"/>
                <w:color w:val="auto"/>
              </w:rPr>
            </w:pPr>
          </w:p>
        </w:tc>
      </w:tr>
      <w:tr>
        <w:trPr>
          <w:trHeight w:val="175"/>
        </w:trPr>
        <w:tc>
          <w:tcPr>
            <w:tcW w:w="3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Wtd. Avg</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Wtd. Avg</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rPr>
              <w:t>Wtd. Avg</w:t>
            </w:r>
          </w:p>
        </w:tc>
      </w:tr>
      <w:tr>
        <w:trPr>
          <w:trHeight w:val="162"/>
        </w:trPr>
        <w:tc>
          <w:tcPr>
            <w:tcW w:w="3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rPr>
              <w:t>Grant</w:t>
            </w:r>
          </w:p>
        </w:tc>
      </w:tr>
      <w:tr>
        <w:trPr>
          <w:trHeight w:val="162"/>
        </w:trPr>
        <w:tc>
          <w:tcPr>
            <w:tcW w:w="38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Date</w:t>
            </w:r>
          </w:p>
        </w:tc>
      </w:tr>
      <w:tr>
        <w:trPr>
          <w:trHeight w:val="196"/>
        </w:trPr>
        <w:tc>
          <w:tcPr>
            <w:tcW w:w="3840" w:type="dxa"/>
            <w:vAlign w:val="bottom"/>
          </w:tcPr>
          <w:p>
            <w:pPr>
              <w:spacing w:after="0"/>
              <w:rPr>
                <w:sz w:val="17"/>
                <w:szCs w:val="17"/>
                <w:color w:val="auto"/>
              </w:rPr>
            </w:pPr>
          </w:p>
        </w:tc>
        <w:tc>
          <w:tcPr>
            <w:tcW w:w="880" w:type="dxa"/>
            <w:vAlign w:val="bottom"/>
          </w:tcPr>
          <w:p>
            <w:pPr>
              <w:jc w:val="right"/>
              <w:ind w:right="19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7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Stock Options at Beginning of Year</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6,540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r>
        <w:trPr>
          <w:trHeight w:val="263"/>
        </w:trPr>
        <w:tc>
          <w:tcPr>
            <w:tcW w:w="3840" w:type="dxa"/>
            <w:vAlign w:val="bottom"/>
          </w:tcPr>
          <w:p>
            <w:pPr>
              <w:ind w:left="20"/>
              <w:spacing w:after="0"/>
              <w:rPr>
                <w:sz w:val="20"/>
                <w:szCs w:val="20"/>
                <w:color w:val="auto"/>
              </w:rPr>
            </w:pPr>
            <w:r>
              <w:rPr>
                <w:rFonts w:ascii="Arial" w:cs="Arial" w:eastAsia="Arial" w:hAnsi="Arial"/>
                <w:sz w:val="16"/>
                <w:szCs w:val="16"/>
                <w:color w:val="auto"/>
              </w:rPr>
              <w:t>Granted</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4</w:t>
            </w:r>
          </w:p>
        </w:tc>
      </w:tr>
      <w:tr>
        <w:trPr>
          <w:trHeight w:val="27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r>
        <w:trPr>
          <w:trHeight w:val="264"/>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r>
      <w:tr>
        <w:trPr>
          <w:trHeight w:val="25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Stock Options at End of Year</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Non-employee Director Stock Option Plan</w:t>
      </w:r>
    </w:p>
    <w:p>
      <w:pPr>
        <w:spacing w:after="0" w:line="14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 2012, an Amended and Restated Non-employee Director Stock Option Plan, covering a total of 1,000,000 shares of common stock, was approved by shareholders replacing a prior plan. The Company has granted options on 483,940 shares (net of shares from canceled options) under the new director plan and 1,074,480 shares (net of shares from canceled options) under a prior plan through December 31, 2018. Under the shareholder approved plans, the option exercise price equals the stock's market price on date of grant. The options vest after six months, and expire after ten years.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grant in the Non-employee Director Stock Option Plans was estimated on the date of grant using the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Black-Scholes option pricing model with the following weighted-average assumptions for the indicated periods:</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3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1"/>
                <w:szCs w:val="21"/>
                <w:color w:val="auto"/>
                <w:vertAlign w:val="superscript"/>
              </w:rPr>
              <w:t>(2)</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1"/>
                <w:szCs w:val="21"/>
                <w:color w:val="auto"/>
                <w:vertAlign w:val="superscript"/>
              </w:rPr>
              <w:t>(3)</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Expected term of options (in years)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6.2</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r>
    </w:tbl>
    <w:p>
      <w:pPr>
        <w:spacing w:after="0" w:line="350"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Company's estimated cash dividend yield over the expected term of option grant.</w:t>
      </w:r>
    </w:p>
    <w:p>
      <w:pPr>
        <w:spacing w:after="0" w:line="144"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1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U.S. Treasury yield over the expected term of the option grant.</w:t>
      </w:r>
    </w:p>
    <w:p>
      <w:pPr>
        <w:spacing w:after="0" w:line="144"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period of time that options granted are expected to be outstanding. Based on analysis of historical option exercise activity, the Company has determined that non-employee directors exhibit similar exercise and post-vesting termination behavior.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there was $23,003 of unrecognized compensation cost related to share-based payments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7" w:name="page58"/>
    <w:bookmarkEnd w:id="57"/>
    <w:p>
      <w:pPr>
        <w:jc w:val="center"/>
        <w:ind w:right="8"/>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52" w:hanging="652"/>
        <w:spacing w:after="0"/>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387" w:lineRule="exact"/>
        <w:rPr>
          <w:rFonts w:ascii="Arial" w:cs="Arial" w:eastAsia="Arial" w:hAnsi="Arial"/>
          <w:sz w:val="18"/>
          <w:szCs w:val="18"/>
          <w:color w:val="auto"/>
        </w:rPr>
      </w:pPr>
    </w:p>
    <w:p>
      <w:pPr>
        <w:ind w:left="652" w:right="20"/>
        <w:spacing w:after="0" w:line="262" w:lineRule="auto"/>
        <w:rPr>
          <w:rFonts w:ascii="Arial" w:cs="Arial" w:eastAsia="Arial" w:hAnsi="Arial"/>
          <w:sz w:val="18"/>
          <w:szCs w:val="18"/>
          <w:color w:val="auto"/>
        </w:rPr>
      </w:pPr>
      <w:r>
        <w:rPr>
          <w:rFonts w:ascii="Arial" w:cs="Arial" w:eastAsia="Arial" w:hAnsi="Arial"/>
          <w:sz w:val="18"/>
          <w:szCs w:val="18"/>
          <w:color w:val="auto"/>
        </w:rPr>
        <w:t>A summary of the status of the Company’s Non-employee Director Stock Option Plan at December 31, 2018, 2017, and 2016, and changes during the same periods are presented in the tables and narrative below:</w:t>
      </w:r>
    </w:p>
    <w:p>
      <w:pPr>
        <w:sectPr>
          <w:pgSz w:w="11900" w:h="16838" w:orient="portrait"/>
          <w:cols w:equalWidth="0" w:num="1">
            <w:col w:w="11412"/>
          </w:cols>
          <w:pgMar w:left="248"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72"/>
        <w:spacing w:after="0"/>
        <w:rPr>
          <w:sz w:val="20"/>
          <w:szCs w:val="20"/>
          <w:color w:val="auto"/>
        </w:rPr>
      </w:pPr>
      <w:r>
        <w:rPr>
          <w:rFonts w:ascii="Arial" w:cs="Arial" w:eastAsia="Arial" w:hAnsi="Arial"/>
          <w:sz w:val="17"/>
          <w:szCs w:val="17"/>
          <w:color w:val="auto"/>
        </w:rPr>
        <w:t>Outstanding at Beginning of Year</w:t>
      </w:r>
    </w:p>
    <w:p>
      <w:pPr>
        <w:spacing w:after="0" w:line="88"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Exercisable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Outstanding at Beginning of Year</w:t>
      </w:r>
    </w:p>
    <w:p>
      <w:pPr>
        <w:spacing w:after="0" w:line="77" w:lineRule="exact"/>
        <w:rPr>
          <w:sz w:val="20"/>
          <w:szCs w:val="20"/>
          <w:color w:val="auto"/>
        </w:rPr>
      </w:pPr>
    </w:p>
    <w:p>
      <w:pPr>
        <w:ind w:left="672"/>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Exercisable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72"/>
        <w:spacing w:after="0"/>
        <w:rPr>
          <w:sz w:val="20"/>
          <w:szCs w:val="20"/>
          <w:color w:val="auto"/>
        </w:rPr>
      </w:pPr>
      <w:r>
        <w:rPr>
          <w:rFonts w:ascii="Arial" w:cs="Arial" w:eastAsia="Arial" w:hAnsi="Arial"/>
          <w:sz w:val="18"/>
          <w:szCs w:val="18"/>
          <w:color w:val="auto"/>
        </w:rPr>
        <w:t>Outstanding at Beginning of Year</w:t>
      </w:r>
    </w:p>
    <w:p>
      <w:pPr>
        <w:spacing w:after="0" w:line="77" w:lineRule="exact"/>
        <w:rPr>
          <w:sz w:val="20"/>
          <w:szCs w:val="20"/>
          <w:color w:val="auto"/>
        </w:rPr>
      </w:pPr>
    </w:p>
    <w:p>
      <w:pPr>
        <w:ind w:left="672"/>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Outstanding at End of Year</w:t>
      </w:r>
    </w:p>
    <w:p>
      <w:pPr>
        <w:spacing w:after="0" w:line="63" w:lineRule="exact"/>
        <w:rPr>
          <w:sz w:val="20"/>
          <w:szCs w:val="20"/>
          <w:color w:val="auto"/>
        </w:rPr>
      </w:pPr>
    </w:p>
    <w:p>
      <w:pPr>
        <w:ind w:left="672"/>
        <w:spacing w:after="0"/>
        <w:rPr>
          <w:sz w:val="20"/>
          <w:szCs w:val="20"/>
          <w:color w:val="auto"/>
        </w:rPr>
      </w:pPr>
      <w:r>
        <w:rPr>
          <w:rFonts w:ascii="Arial" w:cs="Arial" w:eastAsia="Arial" w:hAnsi="Arial"/>
          <w:sz w:val="18"/>
          <w:szCs w:val="18"/>
          <w:color w:val="auto"/>
        </w:rPr>
        <w:t>Exercisable at End of Year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26035</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9"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Wtd. Avg.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Wtd. Avg.</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1180" w:type="dxa"/>
            <w:vAlign w:val="bottom"/>
          </w:tcPr>
          <w:p>
            <w:pPr>
              <w:jc w:val="right"/>
              <w:ind w:right="339"/>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 Price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 Life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(000)</w:t>
            </w:r>
          </w:p>
        </w:tc>
      </w:tr>
      <w:tr>
        <w:trPr>
          <w:trHeight w:val="256"/>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-342265</wp:posOffset>
            </wp:positionV>
            <wp:extent cx="633730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3730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8890</wp:posOffset>
            </wp:positionV>
            <wp:extent cx="633730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33" w:lineRule="exact"/>
        <w:rPr>
          <w:sz w:val="20"/>
          <w:szCs w:val="20"/>
          <w:color w:val="auto"/>
        </w:rPr>
      </w:pPr>
    </w:p>
    <w:p>
      <w:pPr>
        <w:ind w:left="2620" w:hanging="1490"/>
        <w:spacing w:after="0"/>
        <w:tabs>
          <w:tab w:leader="none" w:pos="2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13</w:t>
      </w:r>
    </w:p>
    <w:p>
      <w:pPr>
        <w:spacing w:after="0" w:line="63"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633730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362</w:t>
            </w:r>
          </w:p>
        </w:tc>
        <w:tc>
          <w:tcPr>
            <w:tcW w:w="9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6 Yrs</w:t>
            </w: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1,582</w:t>
            </w:r>
          </w:p>
        </w:tc>
      </w:tr>
      <w:tr>
        <w:trPr>
          <w:trHeight w:val="270"/>
        </w:trPr>
        <w:tc>
          <w:tcPr>
            <w:tcW w:w="1140" w:type="dxa"/>
            <w:vAlign w:val="bottom"/>
          </w:tcPr>
          <w:p>
            <w:pPr>
              <w:spacing w:after="0"/>
              <w:rPr>
                <w:sz w:val="23"/>
                <w:szCs w:val="23"/>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354</w:t>
            </w:r>
          </w:p>
        </w:tc>
        <w:tc>
          <w:tcPr>
            <w:tcW w:w="900" w:type="dxa"/>
            <w:vAlign w:val="bottom"/>
          </w:tcPr>
          <w:p>
            <w:pPr>
              <w:jc w:val="right"/>
              <w:ind w:right="537"/>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6 Yrs</w:t>
            </w: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1,582</w:t>
            </w:r>
          </w:p>
        </w:tc>
      </w:tr>
      <w:tr>
        <w:trPr>
          <w:trHeight w:val="575"/>
        </w:trPr>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6"/>
              </w:rPr>
              <w:t>2017</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62"/>
        </w:trPr>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Wtd. Avg.</w:t>
            </w: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Intrinsic</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1140" w:type="dxa"/>
            <w:vAlign w:val="bottom"/>
          </w:tcPr>
          <w:p>
            <w:pPr>
              <w:jc w:val="right"/>
              <w:ind w:right="219"/>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Remaining</w:t>
            </w: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96"/>
        </w:trPr>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(000)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 Price</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Contract Life</w:t>
            </w:r>
          </w:p>
        </w:tc>
        <w:tc>
          <w:tcPr>
            <w:tcW w:w="120" w:type="dxa"/>
            <w:vAlign w:val="bottom"/>
          </w:tcPr>
          <w:p>
            <w:pPr>
              <w:spacing w:after="0"/>
              <w:rPr>
                <w:sz w:val="17"/>
                <w:szCs w:val="17"/>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(000)</w:t>
            </w:r>
          </w:p>
        </w:tc>
        <w:tc>
          <w:tcPr>
            <w:tcW w:w="2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56"/>
        </w:trPr>
        <w:tc>
          <w:tcPr>
            <w:tcW w:w="1140" w:type="dxa"/>
            <w:vAlign w:val="bottom"/>
          </w:tcPr>
          <w:p>
            <w:pPr>
              <w:jc w:val="right"/>
              <w:spacing w:after="0"/>
              <w:rPr>
                <w:sz w:val="20"/>
                <w:szCs w:val="20"/>
                <w:color w:val="auto"/>
              </w:rPr>
            </w:pPr>
            <w:r>
              <w:rPr>
                <w:rFonts w:ascii="Arial" w:cs="Arial" w:eastAsia="Arial" w:hAnsi="Arial"/>
                <w:sz w:val="18"/>
                <w:szCs w:val="18"/>
                <w:color w:val="auto"/>
              </w:rPr>
              <w:t>381</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0"/>
        </w:trPr>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-342265</wp:posOffset>
            </wp:positionV>
            <wp:extent cx="635444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4445" cy="18034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8890</wp:posOffset>
            </wp:positionV>
            <wp:extent cx="635444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33" w:lineRule="exact"/>
        <w:rPr>
          <w:sz w:val="20"/>
          <w:szCs w:val="20"/>
          <w:color w:val="auto"/>
        </w:rPr>
      </w:pPr>
    </w:p>
    <w:p>
      <w:pPr>
        <w:ind w:left="2240" w:hanging="1401"/>
        <w:spacing w:after="0"/>
        <w:tabs>
          <w:tab w:leader="none" w:pos="2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14</w:t>
      </w:r>
    </w:p>
    <w:p>
      <w:pPr>
        <w:spacing w:after="0" w:line="6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635444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jc w:val="right"/>
              <w:ind w:right="16"/>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rPr>
              <w:t>6.1 Yrs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2,565</w:t>
            </w:r>
          </w:p>
        </w:tc>
      </w:tr>
      <w:tr>
        <w:trPr>
          <w:trHeight w:val="270"/>
        </w:trPr>
        <w:tc>
          <w:tcPr>
            <w:tcW w:w="1200" w:type="dxa"/>
            <w:vAlign w:val="bottom"/>
          </w:tcPr>
          <w:p>
            <w:pPr>
              <w:jc w:val="right"/>
              <w:ind w:right="16"/>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rPr>
              <w:t>6.1 Yrs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2,565</w:t>
            </w:r>
          </w:p>
        </w:tc>
      </w:tr>
      <w:tr>
        <w:trPr>
          <w:trHeight w:val="737"/>
        </w:trPr>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Wtd. Avg.</w:t>
            </w:r>
          </w:p>
        </w:tc>
        <w:tc>
          <w:tcPr>
            <w:tcW w:w="180" w:type="dxa"/>
            <w:vAlign w:val="bottom"/>
          </w:tcPr>
          <w:p>
            <w:pPr>
              <w:spacing w:after="0"/>
              <w:rPr>
                <w:sz w:val="14"/>
                <w:szCs w:val="14"/>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40" w:type="dxa"/>
            <w:vAlign w:val="bottom"/>
          </w:tcPr>
          <w:p>
            <w:pPr>
              <w:jc w:val="right"/>
              <w:ind w:right="116"/>
              <w:spacing w:after="0"/>
              <w:rPr>
                <w:sz w:val="20"/>
                <w:szCs w:val="20"/>
                <w:color w:val="auto"/>
              </w:rPr>
            </w:pPr>
            <w:r>
              <w:rPr>
                <w:rFonts w:ascii="Arial" w:cs="Arial" w:eastAsia="Arial" w:hAnsi="Arial"/>
                <w:sz w:val="14"/>
                <w:szCs w:val="14"/>
                <w:b w:val="1"/>
                <w:bCs w:val="1"/>
                <w:color w:val="auto"/>
              </w:rPr>
              <w:t>Wtd. Avg.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Value</w:t>
            </w:r>
          </w:p>
        </w:tc>
      </w:tr>
      <w:tr>
        <w:trPr>
          <w:trHeight w:val="196"/>
        </w:trPr>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Ex. Price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 Life</w:t>
            </w:r>
          </w:p>
        </w:tc>
        <w:tc>
          <w:tcPr>
            <w:tcW w:w="180" w:type="dxa"/>
            <w:vAlign w:val="bottom"/>
          </w:tcPr>
          <w:p>
            <w:pPr>
              <w:spacing w:after="0"/>
              <w:rPr>
                <w:sz w:val="17"/>
                <w:szCs w:val="17"/>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(000)</w:t>
            </w:r>
          </w:p>
        </w:tc>
      </w:tr>
      <w:tr>
        <w:trPr>
          <w:trHeight w:val="256"/>
        </w:trPr>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70"/>
        </w:trPr>
        <w:tc>
          <w:tcPr>
            <w:tcW w:w="1200" w:type="dxa"/>
            <w:vAlign w:val="bottom"/>
          </w:tcPr>
          <w:p>
            <w:pPr>
              <w:jc w:val="right"/>
              <w:ind w:right="1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-342265</wp:posOffset>
            </wp:positionV>
            <wp:extent cx="635444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4445" cy="18034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8890</wp:posOffset>
            </wp:positionV>
            <wp:extent cx="635444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33" w:lineRule="exact"/>
        <w:rPr>
          <w:sz w:val="20"/>
          <w:szCs w:val="20"/>
          <w:color w:val="auto"/>
        </w:rPr>
      </w:pPr>
    </w:p>
    <w:p>
      <w:pPr>
        <w:ind w:left="2240" w:hanging="1401"/>
        <w:spacing w:after="0"/>
        <w:tabs>
          <w:tab w:leader="none" w:pos="2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w:t>
      </w:r>
    </w:p>
    <w:p>
      <w:pPr>
        <w:spacing w:after="0" w:line="63" w:lineRule="exact"/>
        <w:rPr>
          <w:sz w:val="20"/>
          <w:szCs w:val="20"/>
          <w:color w:val="auto"/>
        </w:rPr>
      </w:pPr>
    </w:p>
    <w:p>
      <w:pPr>
        <w:ind w:left="2240" w:hanging="1401"/>
        <w:spacing w:after="0"/>
        <w:tabs>
          <w:tab w:leader="none" w:pos="2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635444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43" w:lineRule="exact"/>
        <w:rPr>
          <w:sz w:val="20"/>
          <w:szCs w:val="20"/>
          <w:color w:val="auto"/>
        </w:rPr>
      </w:pPr>
    </w:p>
    <w:tbl>
      <w:tblPr>
        <w:tblLayout w:type="fixed"/>
        <w:tblInd w:w="800" w:type="dxa"/>
        <w:tblCellMar>
          <w:top w:w="0" w:type="dxa"/>
          <w:left w:w="0" w:type="dxa"/>
          <w:bottom w:w="0" w:type="dxa"/>
          <w:right w:w="0" w:type="dxa"/>
        </w:tblCellMar>
      </w:tblPr>
      <w:tr>
        <w:trPr>
          <w:trHeight w:val="217"/>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381</w:t>
            </w:r>
          </w:p>
        </w:tc>
        <w:tc>
          <w:tcPr>
            <w:tcW w:w="6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040" w:type="dxa"/>
            <w:vAlign w:val="bottom"/>
          </w:tcPr>
          <w:p>
            <w:pPr>
              <w:ind w:left="240"/>
              <w:spacing w:after="0"/>
              <w:rPr>
                <w:sz w:val="20"/>
                <w:szCs w:val="20"/>
                <w:color w:val="auto"/>
              </w:rPr>
            </w:pPr>
            <w:r>
              <w:rPr>
                <w:rFonts w:ascii="Arial" w:cs="Arial" w:eastAsia="Arial" w:hAnsi="Arial"/>
                <w:sz w:val="18"/>
                <w:szCs w:val="18"/>
                <w:color w:val="auto"/>
              </w:rPr>
              <w:t>6.4 Yrs</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70"/>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381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040" w:type="dxa"/>
            <w:vAlign w:val="bottom"/>
          </w:tcPr>
          <w:p>
            <w:pPr>
              <w:ind w:left="240"/>
              <w:spacing w:after="0"/>
              <w:rPr>
                <w:sz w:val="20"/>
                <w:szCs w:val="20"/>
                <w:color w:val="auto"/>
              </w:rPr>
            </w:pPr>
            <w:r>
              <w:rPr>
                <w:rFonts w:ascii="Arial" w:cs="Arial" w:eastAsia="Arial" w:hAnsi="Arial"/>
                <w:sz w:val="18"/>
                <w:szCs w:val="18"/>
                <w:color w:val="auto"/>
              </w:rPr>
              <w:t>6.4 Yrs</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2,180</w:t>
            </w:r>
          </w:p>
        </w:tc>
      </w:tr>
    </w:tbl>
    <w:p>
      <w:pPr>
        <w:spacing w:after="0" w:line="200" w:lineRule="exact"/>
        <w:rPr>
          <w:sz w:val="20"/>
          <w:szCs w:val="20"/>
          <w:color w:val="auto"/>
        </w:rPr>
      </w:pPr>
    </w:p>
    <w:p>
      <w:pPr>
        <w:sectPr>
          <w:pgSz w:w="11900" w:h="16838" w:orient="portrait"/>
          <w:cols w:equalWidth="0" w:num="2">
            <w:col w:w="4772" w:space="720"/>
            <w:col w:w="5920"/>
          </w:cols>
          <w:pgMar w:left="248" w:top="118" w:right="239" w:bottom="1440" w:gutter="0" w:footer="0" w:header="0"/>
          <w:type w:val="continuous"/>
        </w:sectPr>
      </w:pPr>
    </w:p>
    <w:p>
      <w:pPr>
        <w:spacing w:after="0" w:line="326" w:lineRule="exact"/>
        <w:rPr>
          <w:sz w:val="20"/>
          <w:szCs w:val="20"/>
          <w:color w:val="auto"/>
        </w:rPr>
      </w:pPr>
    </w:p>
    <w:p>
      <w:pPr>
        <w:ind w:left="652"/>
        <w:spacing w:after="0" w:line="262" w:lineRule="auto"/>
        <w:rPr>
          <w:sz w:val="20"/>
          <w:szCs w:val="20"/>
          <w:color w:val="auto"/>
        </w:rPr>
      </w:pPr>
      <w:r>
        <w:rPr>
          <w:rFonts w:ascii="Arial" w:cs="Arial" w:eastAsia="Arial" w:hAnsi="Arial"/>
          <w:sz w:val="18"/>
          <w:szCs w:val="18"/>
          <w:color w:val="auto"/>
        </w:rPr>
        <w:t>A summary of the status of the Company’s nonvested Non-employee Director Stock Option Plan activity for the years ended December 31, 2018, 2017, and 2016, are presented in the table below:</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12"/>
          </w:cols>
          <w:pgMar w:left="248" w:top="118"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STOCK-BASED COMPENSATION PLANS, continued</w:t>
      </w:r>
    </w:p>
    <w:p>
      <w:pPr>
        <w:spacing w:after="0" w:line="200" w:lineRule="exact"/>
        <w:rPr>
          <w:sz w:val="20"/>
          <w:szCs w:val="20"/>
          <w:color w:val="auto"/>
        </w:rPr>
      </w:pP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2018</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w w:val="96"/>
              </w:rPr>
              <w:t>2016</w:t>
            </w:r>
          </w:p>
        </w:tc>
      </w:tr>
      <w:tr>
        <w:trPr>
          <w:trHeight w:val="175"/>
        </w:trPr>
        <w:tc>
          <w:tcPr>
            <w:tcW w:w="3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Wtd. Avg</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Wtd. Avg</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rPr>
              <w:t>Wtd. Avg</w:t>
            </w:r>
          </w:p>
        </w:tc>
      </w:tr>
      <w:tr>
        <w:trPr>
          <w:trHeight w:val="162"/>
        </w:trPr>
        <w:tc>
          <w:tcPr>
            <w:tcW w:w="3620" w:type="dxa"/>
            <w:vAlign w:val="bottom"/>
          </w:tcPr>
          <w:p>
            <w:pPr>
              <w:spacing w:after="0"/>
              <w:rPr>
                <w:sz w:val="14"/>
                <w:szCs w:val="14"/>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3620" w:type="dxa"/>
            <w:vAlign w:val="bottom"/>
          </w:tcPr>
          <w:p>
            <w:pPr>
              <w:spacing w:after="0"/>
              <w:rPr>
                <w:sz w:val="17"/>
                <w:szCs w:val="17"/>
                <w:color w:val="auto"/>
              </w:rPr>
            </w:pP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rPr>
              <w:t>Fair Value</w:t>
            </w:r>
          </w:p>
        </w:tc>
      </w:tr>
      <w:tr>
        <w:trPr>
          <w:trHeight w:val="215"/>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Options at Beginning of</w:t>
            </w: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4</w:t>
            </w:r>
          </w:p>
        </w:tc>
      </w:tr>
      <w:tr>
        <w:trPr>
          <w:trHeight w:val="27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r>
      <w:tr>
        <w:trPr>
          <w:trHeight w:val="264"/>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5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stock options at End of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Purchase Plan</w:t>
      </w:r>
    </w:p>
    <w:p>
      <w:pPr>
        <w:spacing w:after="0" w:line="14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2013, the Gentex Corporation Employee Stock Purchase Plan covering 2,000,000 shares of common stock was approved by the shareholders, replacing a prior plan. Under such plan, the Company sells shares at 85% of the stock’s market price at the date of purchase. Under ASC 718, the 15% discounted value is recognized as compensation expense. The following table summarizes shares sold to employees under the 2013 Plan in the years ended December 31, 2018, 2017 and 2016:</w:t>
      </w: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Cumulative Shares</w:t>
            </w:r>
          </w:p>
        </w:tc>
        <w:tc>
          <w:tcPr>
            <w:tcW w:w="160" w:type="dxa"/>
            <w:vAlign w:val="bottom"/>
          </w:tcPr>
          <w:p>
            <w:pPr>
              <w:spacing w:after="0"/>
              <w:rPr>
                <w:sz w:val="14"/>
                <w:szCs w:val="14"/>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rPr>
              <w:t>Average Fair</w:t>
            </w:r>
          </w:p>
        </w:tc>
      </w:tr>
      <w:tr>
        <w:trPr>
          <w:trHeight w:val="19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w:t>
            </w: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4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Issued in 2018</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9"/>
              </w:rPr>
              <w:t>Value 2018</w:t>
            </w:r>
          </w:p>
        </w:tc>
      </w:tr>
      <w:tr>
        <w:trPr>
          <w:trHeight w:val="25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Employee Stock Purchase Plan</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177,846</w:t>
            </w:r>
          </w:p>
        </w:tc>
        <w:tc>
          <w:tcPr>
            <w:tcW w:w="2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175,479</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177,781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18.38</w:t>
            </w: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Restricted Stock Plan</w:t>
      </w:r>
    </w:p>
    <w:p>
      <w:pPr>
        <w:spacing w:after="0" w:line="144"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In 2015, an amendment to the Company’s Second Restricted Stock Plan was approved by shareholders. The Plan amendment increased the maximum number of shares that may be subject to awards to 9,000,000 shares and to extend the Plan’s termination date to February 19, 2025. The purpose of this plan is to permit grants of shares, subject to restrictions, to employees of the Company as a means of retaining and rewarding them for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2,637,853 shares outstanding and has issued 6,376,394 shares under the plan as of December 31, 2018. During 2018, 2017, and 2016, 279,420, 228,630 and 246,660 shares, respectively, were granted with a restriction period of five years, as well as 762,749 and 628,015 share grants during 2018 and 2017, respectively, with a restriction of four years, the cliff vest after the restriction period with no additional restrictions, at market prices ranging from $20.21 to $23.14 in 2018, $18.97 to $21.33 in 2017, and $14.70 to $19.69 in 2016, and has unearned stock-based compensation of $34,824,960 associated with these restricted stock grants. The unearned stock-based compensation related to these grants is being amortized to compensation expense over the applicable restriction periods. Amortization expense of restricted stock for years ended December 31, 2018, 2017 and 2016 was $8,841,985, $5,353,339, and $3,885,042 respectively.</w:t>
      </w:r>
    </w:p>
    <w:p>
      <w:pPr>
        <w:spacing w:after="0" w:line="31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44"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126" w:lineRule="exact"/>
        <w:rPr>
          <w:rFonts w:ascii="Arial" w:cs="Arial" w:eastAsia="Arial" w:hAnsi="Arial"/>
          <w:sz w:val="18"/>
          <w:szCs w:val="18"/>
          <w:color w:val="auto"/>
        </w:rPr>
      </w:pPr>
    </w:p>
    <w:p>
      <w:pPr>
        <w:jc w:val="both"/>
        <w:ind w:left="6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6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583,672,971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567,492,812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554,945,912</w:t>
            </w:r>
          </w:p>
        </w:tc>
        <w:tc>
          <w:tcPr>
            <w:tcW w:w="0" w:type="dxa"/>
            <w:vAlign w:val="bottom"/>
          </w:tcPr>
          <w:p>
            <w:pPr>
              <w:spacing w:after="0"/>
              <w:rPr>
                <w:sz w:val="1"/>
                <w:szCs w:val="1"/>
                <w:color w:val="auto"/>
              </w:rPr>
            </w:pPr>
          </w:p>
        </w:tc>
      </w:tr>
      <w:tr>
        <w:trPr>
          <w:trHeight w:val="260"/>
        </w:trPr>
        <w:tc>
          <w:tcPr>
            <w:tcW w:w="4660" w:type="dxa"/>
            <w:vAlign w:val="bottom"/>
          </w:tcPr>
          <w:p>
            <w:pPr>
              <w:ind w:left="700"/>
              <w:spacing w:after="0"/>
              <w:rPr>
                <w:sz w:val="20"/>
                <w:szCs w:val="20"/>
                <w:color w:val="auto"/>
              </w:rPr>
            </w:pPr>
            <w:r>
              <w:rPr>
                <w:rFonts w:ascii="Arial" w:cs="Arial" w:eastAsia="Arial" w:hAnsi="Arial"/>
                <w:sz w:val="16"/>
                <w:szCs w:val="16"/>
                <w:color w:val="auto"/>
              </w:rPr>
              <w:t>Germany</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333,002,878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351,123,204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328,208,190</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Japan</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209,311,790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185,261,067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154,005,299</w:t>
            </w:r>
          </w:p>
        </w:tc>
        <w:tc>
          <w:tcPr>
            <w:tcW w:w="0" w:type="dxa"/>
            <w:vAlign w:val="bottom"/>
          </w:tcPr>
          <w:p>
            <w:pPr>
              <w:spacing w:after="0"/>
              <w:rPr>
                <w:sz w:val="1"/>
                <w:szCs w:val="1"/>
                <w:color w:val="auto"/>
              </w:rPr>
            </w:pPr>
          </w:p>
        </w:tc>
      </w:tr>
      <w:tr>
        <w:trPr>
          <w:trHeight w:val="260"/>
        </w:trPr>
        <w:tc>
          <w:tcPr>
            <w:tcW w:w="4660" w:type="dxa"/>
            <w:vAlign w:val="bottom"/>
          </w:tcPr>
          <w:p>
            <w:pPr>
              <w:ind w:left="700"/>
              <w:spacing w:after="0"/>
              <w:rPr>
                <w:sz w:val="20"/>
                <w:szCs w:val="20"/>
                <w:color w:val="auto"/>
              </w:rPr>
            </w:pPr>
            <w:r>
              <w:rPr>
                <w:rFonts w:ascii="Arial" w:cs="Arial" w:eastAsia="Arial" w:hAnsi="Arial"/>
                <w:sz w:val="16"/>
                <w:szCs w:val="16"/>
                <w:color w:val="auto"/>
              </w:rPr>
              <w:t>Other Countries</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665,210,657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654,250,385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602,532,841</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42,865,401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36,745,110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39,232,514</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1,834,063,697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1,794,872,578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1,678,924,756</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495,471,799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512,895,699</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497,753,966</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12,653,748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10,462,653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13,988,969</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508,125,547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523,358,352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511,742,935</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1,449,910,935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1,472,061,650</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1,457,989,335</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14,333,098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9,576,514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9,384,154</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621,190,035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870,415,748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842,246,344</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2,085,434,068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2,352,053,912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2,309,619,833</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Depreciation &amp; Amortization:</w:t>
            </w: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97,279,052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95,378,100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86,567,248</w:t>
            </w: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422,844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300,935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290,296</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4,484,918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3,891,873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1,729,886</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102,186,814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99,570,908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88,587,430</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4660" w:type="dxa"/>
            <w:vAlign w:val="bottom"/>
          </w:tcPr>
          <w:p>
            <w:pPr>
              <w:ind w:left="380"/>
              <w:spacing w:after="0"/>
              <w:rPr>
                <w:sz w:val="20"/>
                <w:szCs w:val="20"/>
                <w:color w:val="auto"/>
              </w:rPr>
            </w:pPr>
            <w:r>
              <w:rPr>
                <w:rFonts w:ascii="Arial" w:cs="Arial" w:eastAsia="Arial" w:hAnsi="Arial"/>
                <w:sz w:val="16"/>
                <w:szCs w:val="16"/>
                <w:color w:val="auto"/>
              </w:rPr>
              <w:t>Automotive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84,337,455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82,703,576</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99,811,083</w:t>
            </w:r>
          </w:p>
        </w:tc>
        <w:tc>
          <w:tcPr>
            <w:tcW w:w="0" w:type="dxa"/>
            <w:vAlign w:val="bottom"/>
          </w:tcPr>
          <w:p>
            <w:pPr>
              <w:spacing w:after="0"/>
              <w:rPr>
                <w:sz w:val="1"/>
                <w:szCs w:val="1"/>
                <w:color w:val="auto"/>
              </w:rPr>
            </w:pPr>
          </w:p>
        </w:tc>
      </w:tr>
      <w:tr>
        <w:trPr>
          <w:trHeight w:val="280"/>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1,447,494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200,262</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205,621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21,166,986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20,944,269</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85,990,570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104,040,919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120,955,614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Other includes Dimmable Aircraft Windows and Fire Protection Products. Major product line revenues included within these segments are as follows:</w:t>
      </w:r>
    </w:p>
    <w:p>
      <w:pPr>
        <w:spacing w:after="0" w:line="31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2016</w:t>
            </w:r>
          </w:p>
        </w:tc>
      </w:tr>
      <w:tr>
        <w:trPr>
          <w:trHeight w:val="210"/>
        </w:trPr>
        <w:tc>
          <w:tcPr>
            <w:tcW w:w="4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Automotive Products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60"/>
        </w:trPr>
        <w:tc>
          <w:tcPr>
            <w:tcW w:w="46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60"/>
        </w:trPr>
        <w:tc>
          <w:tcPr>
            <w:tcW w:w="4640" w:type="dxa"/>
            <w:vAlign w:val="bottom"/>
          </w:tcPr>
          <w:p>
            <w:pPr>
              <w:ind w:left="380"/>
              <w:spacing w:after="0"/>
              <w:rPr>
                <w:sz w:val="20"/>
                <w:szCs w:val="20"/>
                <w:color w:val="auto"/>
              </w:rPr>
            </w:pPr>
            <w:r>
              <w:rPr>
                <w:rFonts w:ascii="Arial" w:cs="Arial" w:eastAsia="Arial" w:hAnsi="Arial"/>
                <w:sz w:val="16"/>
                <w:szCs w:val="16"/>
                <w:color w:val="auto"/>
              </w:rPr>
              <w:t>Automotive Mirrors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1,598,589,777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1,573,222,820</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1,456,963,758</w:t>
            </w: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HomeLink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Modules*</w:t>
            </w: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192,608,519</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184,904,648</w:t>
            </w: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182,728,485</w:t>
            </w:r>
          </w:p>
        </w:tc>
      </w:tr>
      <w:tr>
        <w:trPr>
          <w:trHeight w:val="217"/>
        </w:trPr>
        <w:tc>
          <w:tcPr>
            <w:tcW w:w="4640" w:type="dxa"/>
            <w:vAlign w:val="bottom"/>
          </w:tcPr>
          <w:p>
            <w:pPr>
              <w:ind w:left="160"/>
              <w:spacing w:after="0"/>
              <w:rPr>
                <w:sz w:val="20"/>
                <w:szCs w:val="20"/>
                <w:color w:val="auto"/>
              </w:rPr>
            </w:pPr>
            <w:r>
              <w:rPr>
                <w:rFonts w:ascii="Arial" w:cs="Arial" w:eastAsia="Arial" w:hAnsi="Arial"/>
                <w:sz w:val="16"/>
                <w:szCs w:val="16"/>
                <w:color w:val="auto"/>
              </w:rPr>
              <w:t>Total Automotive Products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1,791,198,296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1,758,127,468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1,639,692,243</w:t>
            </w:r>
          </w:p>
        </w:tc>
      </w:tr>
      <w:tr>
        <w:trPr>
          <w:trHeight w:val="47"/>
        </w:trPr>
        <w:tc>
          <w:tcPr>
            <w:tcW w:w="4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24"/>
        </w:trPr>
        <w:tc>
          <w:tcPr>
            <w:tcW w:w="4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24"/>
        </w:trPr>
        <w:tc>
          <w:tcPr>
            <w:tcW w:w="4640" w:type="dxa"/>
            <w:vAlign w:val="bottom"/>
          </w:tcPr>
          <w:p>
            <w:pPr>
              <w:ind w:left="160"/>
              <w:spacing w:after="0"/>
              <w:rPr>
                <w:sz w:val="20"/>
                <w:szCs w:val="20"/>
                <w:color w:val="auto"/>
              </w:rPr>
            </w:pPr>
            <w:r>
              <w:rPr>
                <w:rFonts w:ascii="Arial" w:cs="Arial" w:eastAsia="Arial" w:hAnsi="Arial"/>
                <w:sz w:val="16"/>
                <w:szCs w:val="16"/>
                <w:color w:val="auto"/>
              </w:rPr>
              <w:t>Other Products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42,865,401</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36,745,110</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39,232,513</w:t>
            </w:r>
          </w:p>
        </w:tc>
      </w:tr>
      <w:tr>
        <w:trPr>
          <w:trHeight w:val="47"/>
        </w:trPr>
        <w:tc>
          <w:tcPr>
            <w:tcW w:w="4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24"/>
        </w:trPr>
        <w:tc>
          <w:tcPr>
            <w:tcW w:w="464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17"/>
        </w:trPr>
        <w:tc>
          <w:tcPr>
            <w:tcW w:w="46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1,834,063,697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1,794,872,578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1,678,924,756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12700</wp:posOffset>
            </wp:positionV>
            <wp:extent cx="34048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26035"/>
                    </a:xfrm>
                    <a:prstGeom prst="rect">
                      <a:avLst/>
                    </a:prstGeom>
                    <a:noFill/>
                  </pic:spPr>
                </pic:pic>
              </a:graphicData>
            </a:graphic>
          </wp:anchor>
        </w:drawing>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*Excludes HomeLink</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revenue integrated into automotive mirrors.</w:t>
      </w:r>
    </w:p>
    <w:p>
      <w:pPr>
        <w:sectPr>
          <w:pgSz w:w="11900" w:h="16838" w:orient="portrait"/>
          <w:cols w:equalWidth="0" w:num="1">
            <w:col w:w="11420"/>
          </w:cols>
          <w:pgMar w:left="240" w:top="118" w:right="239" w:bottom="144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118" w:right="23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Corporate assets are principally cash and cash equivalents, investments, deferred income taxes and corporate fixed assets. Depreciation &amp; Amortization on corporate fixed assets are allocated to the Automotive and Other segments when reviewing operating results. Substantially all long-lived assets are located in the U.S.</w:t>
      </w:r>
    </w:p>
    <w:p>
      <w:pPr>
        <w:spacing w:after="0" w:line="12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Automotive Products revenues in the “Other countries” category are sales to customer automotive manufacturing plants in Korea, Mexico, Canada, Hungary, China, and the United Kingdom as well as other foreign automotive customers. Most of the Company’s non-U.S. sales are invoiced and paid in U.S. dollars. During the years ended December 31, 2018, 2017 and 2016, approximately 8%, 8% and 7% of the Company’s net sales were invoiced and paid in foreign currencies, respectively.</w:t>
      </w:r>
    </w:p>
    <w:p>
      <w:pPr>
        <w:spacing w:after="0" w:line="12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2018, the Company had three automotive customers (including direct sales to OEM customers and sales through their Tier 1 suppliers), which individually accounted for 10% or more of net sales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98"/>
        </w:trPr>
        <w:tc>
          <w:tcPr>
            <w:tcW w:w="21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234"/>
              <w:spacing w:after="0"/>
              <w:rPr>
                <w:sz w:val="20"/>
                <w:szCs w:val="20"/>
                <w:color w:val="auto"/>
              </w:rPr>
            </w:pPr>
            <w:r>
              <w:rPr>
                <w:rFonts w:ascii="Arial" w:cs="Arial" w:eastAsia="Arial" w:hAnsi="Arial"/>
                <w:sz w:val="16"/>
                <w:szCs w:val="16"/>
                <w:b w:val="1"/>
                <w:bCs w:val="1"/>
                <w:color w:val="auto"/>
              </w:rPr>
              <w:t>Toyota Motor</w:t>
            </w:r>
          </w:p>
        </w:tc>
        <w:tc>
          <w:tcPr>
            <w:tcW w:w="18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14"/>
              <w:spacing w:after="0"/>
              <w:rPr>
                <w:sz w:val="20"/>
                <w:szCs w:val="20"/>
                <w:color w:val="auto"/>
              </w:rPr>
            </w:pPr>
            <w:r>
              <w:rPr>
                <w:rFonts w:ascii="Arial" w:cs="Arial" w:eastAsia="Arial" w:hAnsi="Arial"/>
                <w:sz w:val="16"/>
                <w:szCs w:val="16"/>
                <w:b w:val="1"/>
                <w:bCs w:val="1"/>
                <w:color w:val="auto"/>
              </w:rPr>
              <w:t>Ford Motor</w:t>
            </w:r>
          </w:p>
        </w:tc>
        <w:tc>
          <w:tcPr>
            <w:tcW w:w="1500" w:type="dxa"/>
            <w:vAlign w:val="bottom"/>
            <w:shd w:val="clear" w:color="auto" w:fill="CCEEFF"/>
          </w:tcPr>
          <w:p>
            <w:pPr>
              <w:spacing w:after="0"/>
              <w:rPr>
                <w:sz w:val="17"/>
                <w:szCs w:val="17"/>
                <w:color w:val="auto"/>
              </w:rPr>
            </w:pPr>
          </w:p>
        </w:tc>
      </w:tr>
      <w:tr>
        <w:trPr>
          <w:trHeight w:val="234"/>
        </w:trPr>
        <w:tc>
          <w:tcPr>
            <w:tcW w:w="2100" w:type="dxa"/>
            <w:vAlign w:val="bottom"/>
            <w:shd w:val="clear" w:color="auto" w:fill="CCEEFF"/>
          </w:tcPr>
          <w:p>
            <w:pPr>
              <w:spacing w:after="0"/>
              <w:rPr>
                <w:sz w:val="20"/>
                <w:szCs w:val="20"/>
                <w:color w:val="auto"/>
              </w:rPr>
            </w:pPr>
          </w:p>
        </w:tc>
        <w:tc>
          <w:tcPr>
            <w:tcW w:w="3000" w:type="dxa"/>
            <w:vAlign w:val="bottom"/>
            <w:shd w:val="clear" w:color="auto" w:fill="CCEEFF"/>
          </w:tcPr>
          <w:p>
            <w:pPr>
              <w:jc w:val="right"/>
              <w:ind w:right="374"/>
              <w:spacing w:after="0"/>
              <w:rPr>
                <w:sz w:val="20"/>
                <w:szCs w:val="20"/>
                <w:color w:val="auto"/>
              </w:rPr>
            </w:pPr>
            <w:r>
              <w:rPr>
                <w:rFonts w:ascii="Arial" w:cs="Arial" w:eastAsia="Arial" w:hAnsi="Arial"/>
                <w:sz w:val="16"/>
                <w:szCs w:val="16"/>
                <w:b w:val="1"/>
                <w:bCs w:val="1"/>
                <w:color w:val="auto"/>
              </w:rPr>
              <w:t>Company</w:t>
            </w:r>
          </w:p>
        </w:tc>
        <w:tc>
          <w:tcPr>
            <w:tcW w:w="1800" w:type="dxa"/>
            <w:vAlign w:val="bottom"/>
            <w:shd w:val="clear" w:color="auto" w:fill="CCEEFF"/>
          </w:tcPr>
          <w:p>
            <w:pPr>
              <w:jc w:val="right"/>
              <w:ind w:right="172"/>
              <w:spacing w:after="0"/>
              <w:rPr>
                <w:sz w:val="20"/>
                <w:szCs w:val="20"/>
                <w:color w:val="auto"/>
              </w:rPr>
            </w:pPr>
            <w:r>
              <w:rPr>
                <w:rFonts w:ascii="Arial" w:cs="Arial" w:eastAsia="Arial" w:hAnsi="Arial"/>
                <w:sz w:val="16"/>
                <w:szCs w:val="16"/>
                <w:b w:val="1"/>
                <w:bCs w:val="1"/>
                <w:color w:val="auto"/>
              </w:rPr>
              <w:t>Volkswagen Group</w:t>
            </w:r>
          </w:p>
        </w:tc>
        <w:tc>
          <w:tcPr>
            <w:tcW w:w="1600" w:type="dxa"/>
            <w:vAlign w:val="bottom"/>
            <w:shd w:val="clear" w:color="auto" w:fill="CCEEFF"/>
          </w:tcPr>
          <w:p>
            <w:pPr>
              <w:jc w:val="right"/>
              <w:ind w:right="474"/>
              <w:spacing w:after="0"/>
              <w:rPr>
                <w:sz w:val="20"/>
                <w:szCs w:val="20"/>
                <w:color w:val="auto"/>
              </w:rPr>
            </w:pPr>
            <w:r>
              <w:rPr>
                <w:rFonts w:ascii="Arial" w:cs="Arial" w:eastAsia="Arial" w:hAnsi="Arial"/>
                <w:sz w:val="16"/>
                <w:szCs w:val="16"/>
                <w:b w:val="1"/>
                <w:bCs w:val="1"/>
                <w:color w:val="auto"/>
              </w:rPr>
              <w:t>Company</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6"/>
                <w:szCs w:val="16"/>
                <w:b w:val="1"/>
                <w:bCs w:val="1"/>
                <w:color w:val="auto"/>
              </w:rPr>
              <w:t>Daimler Group</w:t>
            </w:r>
          </w:p>
        </w:tc>
      </w:tr>
      <w:tr>
        <w:trPr>
          <w:trHeight w:val="263"/>
        </w:trPr>
        <w:tc>
          <w:tcPr>
            <w:tcW w:w="2100" w:type="dxa"/>
            <w:vAlign w:val="bottom"/>
          </w:tcPr>
          <w:p>
            <w:pPr>
              <w:jc w:val="right"/>
              <w:ind w:right="1590"/>
              <w:spacing w:after="0"/>
              <w:rPr>
                <w:sz w:val="20"/>
                <w:szCs w:val="20"/>
                <w:color w:val="auto"/>
              </w:rPr>
            </w:pPr>
            <w:r>
              <w:rPr>
                <w:rFonts w:ascii="Arial" w:cs="Arial" w:eastAsia="Arial" w:hAnsi="Arial"/>
                <w:sz w:val="18"/>
                <w:szCs w:val="18"/>
                <w:color w:val="auto"/>
                <w:w w:val="99"/>
              </w:rPr>
              <w:t>2018</w:t>
            </w:r>
          </w:p>
        </w:tc>
        <w:tc>
          <w:tcPr>
            <w:tcW w:w="30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80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6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210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99"/>
              </w:rPr>
              <w:t>2017</w:t>
            </w:r>
          </w:p>
        </w:tc>
        <w:tc>
          <w:tcPr>
            <w:tcW w:w="3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1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2100" w:type="dxa"/>
            <w:vAlign w:val="bottom"/>
          </w:tcPr>
          <w:p>
            <w:pPr>
              <w:jc w:val="right"/>
              <w:ind w:right="1590"/>
              <w:spacing w:after="0"/>
              <w:rPr>
                <w:sz w:val="20"/>
                <w:szCs w:val="20"/>
                <w:color w:val="auto"/>
              </w:rPr>
            </w:pPr>
            <w:r>
              <w:rPr>
                <w:rFonts w:ascii="Arial" w:cs="Arial" w:eastAsia="Arial" w:hAnsi="Arial"/>
                <w:sz w:val="18"/>
                <w:szCs w:val="18"/>
                <w:color w:val="auto"/>
                <w:w w:val="99"/>
              </w:rPr>
              <w:t>2016</w:t>
            </w:r>
          </w:p>
        </w:tc>
        <w:tc>
          <w:tcPr>
            <w:tcW w:w="30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8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60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 Less than 10 percent.</w:t>
      </w:r>
    </w:p>
    <w:p>
      <w:pPr>
        <w:spacing w:after="0" w:line="2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QUARTERLY FINANCIAL INFORMATION (UNAUDITED)</w:t>
      </w:r>
    </w:p>
    <w:p>
      <w:pPr>
        <w:spacing w:after="0" w:line="225"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following table sets forth selected financial information for all of the quarters during the years ended December 31, 2018 and 2017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210820</wp:posOffset>
            </wp:positionV>
            <wp:extent cx="5419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394" w:lineRule="exact"/>
        <w:rPr>
          <w:sz w:val="20"/>
          <w:szCs w:val="20"/>
          <w:color w:val="auto"/>
        </w:rPr>
      </w:pPr>
    </w:p>
    <w:tbl>
      <w:tblPr>
        <w:tblLayout w:type="fixed"/>
        <w:tblInd w:w="178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5"/>
          </w:tcPr>
          <w:p>
            <w:pPr>
              <w:ind w:left="40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465,420</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453,535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454,981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443,139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460,253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438,628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453,409</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459,570</w:t>
            </w:r>
          </w:p>
        </w:tc>
        <w:tc>
          <w:tcPr>
            <w:tcW w:w="0" w:type="dxa"/>
            <w:vAlign w:val="bottom"/>
          </w:tcPr>
          <w:p>
            <w:pPr>
              <w:spacing w:after="0"/>
              <w:rPr>
                <w:sz w:val="1"/>
                <w:szCs w:val="1"/>
                <w:color w:val="auto"/>
              </w:rPr>
            </w:pPr>
          </w:p>
        </w:tc>
      </w:tr>
      <w:tr>
        <w:trPr>
          <w:trHeight w:val="66"/>
        </w:trPr>
        <w:tc>
          <w:tcPr>
            <w:tcW w:w="17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7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172,628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175,801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172,804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167,208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172,990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171,230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172,044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180,290</w:t>
            </w:r>
          </w:p>
        </w:tc>
        <w:tc>
          <w:tcPr>
            <w:tcW w:w="0" w:type="dxa"/>
            <w:vAlign w:val="bottom"/>
          </w:tcPr>
          <w:p>
            <w:pPr>
              <w:spacing w:after="0"/>
              <w:rPr>
                <w:sz w:val="1"/>
                <w:szCs w:val="1"/>
                <w:color w:val="auto"/>
              </w:rPr>
            </w:pPr>
          </w:p>
        </w:tc>
      </w:tr>
      <w:tr>
        <w:trPr>
          <w:trHeight w:val="60"/>
        </w:trPr>
        <w:tc>
          <w:tcPr>
            <w:tcW w:w="1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128,515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126,683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125,865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125,499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133,994</w:t>
            </w:r>
          </w:p>
        </w:tc>
        <w:tc>
          <w:tcPr>
            <w:tcW w:w="0" w:type="dxa"/>
            <w:vAlign w:val="bottom"/>
          </w:tcPr>
          <w:p>
            <w:pPr>
              <w:spacing w:after="0"/>
              <w:rPr>
                <w:sz w:val="1"/>
                <w:szCs w:val="1"/>
                <w:color w:val="auto"/>
              </w:rPr>
            </w:pPr>
          </w:p>
        </w:tc>
      </w:tr>
      <w:tr>
        <w:trPr>
          <w:trHeight w:val="66"/>
        </w:trPr>
        <w:tc>
          <w:tcPr>
            <w:tcW w:w="17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7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111,249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97,557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109,024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88,536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111,336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90,230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106,275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130,469</w:t>
            </w:r>
          </w:p>
        </w:tc>
        <w:tc>
          <w:tcPr>
            <w:tcW w:w="0" w:type="dxa"/>
            <w:vAlign w:val="bottom"/>
          </w:tcPr>
          <w:p>
            <w:pPr>
              <w:spacing w:after="0"/>
              <w:rPr>
                <w:sz w:val="1"/>
                <w:szCs w:val="1"/>
                <w:color w:val="auto"/>
              </w:rPr>
            </w:pPr>
          </w:p>
        </w:tc>
      </w:tr>
      <w:tr>
        <w:trPr>
          <w:trHeight w:val="60"/>
        </w:trPr>
        <w:tc>
          <w:tcPr>
            <w:tcW w:w="1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Share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94"/>
        </w:trPr>
        <w:tc>
          <w:tcPr>
            <w:tcW w:w="178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foreign currency translation adjustments, and unrealized movement in derivative financial instruments designated as hedges.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For the Twelve Months ended December 31,</w:t>
            </w:r>
          </w:p>
        </w:tc>
      </w:tr>
      <w:tr>
        <w:trPr>
          <w:trHeight w:val="276"/>
        </w:trPr>
        <w:tc>
          <w:tcPr>
            <w:tcW w:w="48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0"/>
        </w:trPr>
        <w:tc>
          <w:tcPr>
            <w:tcW w:w="4840" w:type="dxa"/>
            <w:vAlign w:val="bottom"/>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645,030</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(2,862,999)</w:t>
            </w:r>
          </w:p>
        </w:tc>
        <w:tc>
          <w:tcPr>
            <w:tcW w:w="14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(44,909)</w:t>
            </w:r>
          </w:p>
        </w:tc>
      </w:tr>
      <w:tr>
        <w:trPr>
          <w:trHeight w:val="273"/>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loss before reclassifications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(2,319,917)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3,508,029</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(2,818,090)</w:t>
            </w:r>
          </w:p>
        </w:tc>
      </w:tr>
      <w:tr>
        <w:trPr>
          <w:trHeight w:val="250"/>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(2,319,917)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3,508,029</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(2,818,090)</w:t>
            </w:r>
          </w:p>
        </w:tc>
      </w:tr>
      <w:tr>
        <w:trPr>
          <w:trHeight w:val="257"/>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(1,674,887)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645,030</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(2,862,999)</w:t>
            </w:r>
          </w:p>
        </w:tc>
      </w:tr>
      <w:tr>
        <w:trPr>
          <w:trHeight w:val="254"/>
        </w:trPr>
        <w:tc>
          <w:tcPr>
            <w:tcW w:w="4840" w:type="dxa"/>
            <w:vAlign w:val="bottom"/>
          </w:tcPr>
          <w:p>
            <w:pPr>
              <w:ind w:left="20"/>
              <w:spacing w:after="0"/>
              <w:rPr>
                <w:sz w:val="20"/>
                <w:szCs w:val="20"/>
                <w:color w:val="auto"/>
              </w:rPr>
            </w:pPr>
            <w:r>
              <w:rPr>
                <w:rFonts w:ascii="Arial" w:cs="Arial" w:eastAsia="Arial" w:hAnsi="Arial"/>
                <w:sz w:val="16"/>
                <w:szCs w:val="16"/>
                <w:color w:val="auto"/>
              </w:rPr>
              <w:t>Unrealized gains (losses) on available-for-sale securities: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6,626,379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2,788,975</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829,907</w:t>
            </w:r>
          </w:p>
        </w:tc>
      </w:tr>
      <w:tr>
        <w:trPr>
          <w:trHeight w:val="260"/>
        </w:trPr>
        <w:tc>
          <w:tcPr>
            <w:tcW w:w="4840" w:type="dxa"/>
            <w:vAlign w:val="bottom"/>
          </w:tcPr>
          <w:p>
            <w:pPr>
              <w:ind w:left="260"/>
              <w:spacing w:after="0"/>
              <w:rPr>
                <w:sz w:val="20"/>
                <w:szCs w:val="20"/>
                <w:color w:val="auto"/>
              </w:rPr>
            </w:pPr>
            <w:r>
              <w:rPr>
                <w:rFonts w:ascii="Arial" w:cs="Arial" w:eastAsia="Arial" w:hAnsi="Arial"/>
                <w:sz w:val="14"/>
                <w:szCs w:val="14"/>
                <w:color w:val="auto"/>
              </w:rPr>
              <w:t>ASU 2016-01 adoption impact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(6,642,727)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 before reclassifications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1,675,823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4,444,360</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2,167,196</w:t>
            </w:r>
          </w:p>
        </w:tc>
      </w:tr>
      <w:tr>
        <w:trPr>
          <w:trHeight w:val="218"/>
        </w:trPr>
        <w:tc>
          <w:tcPr>
            <w:tcW w:w="484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 comprehensive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8"/>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(1,584,926)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(606,956)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(208,128)</w:t>
            </w:r>
          </w:p>
        </w:tc>
      </w:tr>
      <w:tr>
        <w:trPr>
          <w:trHeight w:val="25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(6,551,830)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3,837,404</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1,959,068</w:t>
            </w:r>
          </w:p>
        </w:tc>
      </w:tr>
      <w:tr>
        <w:trPr>
          <w:trHeight w:val="250"/>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6,626,379</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2,788,975</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(losses) on derivatives: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0"/>
        </w:trPr>
        <w:tc>
          <w:tcPr>
            <w:tcW w:w="4840" w:type="dxa"/>
            <w:vAlign w:val="bottom"/>
          </w:tcPr>
          <w:p>
            <w:pPr>
              <w:ind w:left="260"/>
              <w:spacing w:after="0"/>
              <w:rPr>
                <w:sz w:val="20"/>
                <w:szCs w:val="20"/>
                <w:color w:val="auto"/>
              </w:rPr>
            </w:pPr>
            <w:r>
              <w:rPr>
                <w:rFonts w:ascii="Arial" w:cs="Arial" w:eastAsia="Arial" w:hAnsi="Arial"/>
                <w:sz w:val="16"/>
                <w:szCs w:val="16"/>
                <w:color w:val="auto"/>
              </w:rPr>
              <w:t>Balance at beginning of period</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(78,026)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(1,197,281)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(1,915,834)</w:t>
            </w:r>
          </w:p>
        </w:tc>
      </w:tr>
      <w:tr>
        <w:trPr>
          <w:trHeight w:val="28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248,042</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(672,419)</w:t>
            </w:r>
          </w:p>
        </w:tc>
      </w:tr>
      <w:tr>
        <w:trPr>
          <w:trHeight w:val="218"/>
        </w:trPr>
        <w:tc>
          <w:tcPr>
            <w:tcW w:w="484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 comprehensive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8"/>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income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871,213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1,390,972</w:t>
            </w:r>
          </w:p>
        </w:tc>
      </w:tr>
      <w:tr>
        <w:trPr>
          <w:trHeight w:val="250"/>
        </w:trPr>
        <w:tc>
          <w:tcPr>
            <w:tcW w:w="4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current-period change</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78,026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1,119,255</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718,553</w:t>
            </w:r>
          </w:p>
        </w:tc>
      </w:tr>
      <w:tr>
        <w:trPr>
          <w:trHeight w:val="237"/>
        </w:trPr>
        <w:tc>
          <w:tcPr>
            <w:tcW w:w="4840" w:type="dxa"/>
            <w:vAlign w:val="bottom"/>
          </w:tcPr>
          <w:p>
            <w:pPr>
              <w:ind w:left="260"/>
              <w:spacing w:after="0"/>
              <w:rPr>
                <w:sz w:val="20"/>
                <w:szCs w:val="20"/>
                <w:color w:val="auto"/>
              </w:rPr>
            </w:pPr>
            <w:r>
              <w:rPr>
                <w:rFonts w:ascii="Arial" w:cs="Arial" w:eastAsia="Arial" w:hAnsi="Arial"/>
                <w:sz w:val="16"/>
                <w:szCs w:val="16"/>
                <w:color w:val="auto"/>
              </w:rPr>
              <w:t>Balance at end of period</w:t>
            </w: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(78,026)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(1,197,281)</w:t>
            </w:r>
          </w:p>
        </w:tc>
      </w:tr>
      <w:tr>
        <w:trPr>
          <w:trHeight w:val="189"/>
        </w:trPr>
        <w:tc>
          <w:tcPr>
            <w:tcW w:w="48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251"/>
        </w:trPr>
        <w:tc>
          <w:tcPr>
            <w:tcW w:w="484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 end of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(1,600,338)</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7,193,383</w:t>
            </w:r>
          </w:p>
        </w:tc>
        <w:tc>
          <w:tcPr>
            <w:tcW w:w="14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(1,271,305)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3810</wp:posOffset>
            </wp:positionV>
            <wp:extent cx="23755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75535" cy="26035"/>
                    </a:xfrm>
                    <a:prstGeom prst="rect">
                      <a:avLst/>
                    </a:prstGeom>
                    <a:noFill/>
                  </pic:spPr>
                </pic:pic>
              </a:graphicData>
            </a:graphic>
          </wp:anchor>
        </w:drawing>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amounts are shown net of tax. Amounts in parentheses indicate debits.</w:t>
      </w:r>
    </w:p>
    <w:p>
      <w:pPr>
        <w:spacing w:after="0" w:line="225" w:lineRule="exact"/>
        <w:rPr>
          <w:sz w:val="20"/>
          <w:szCs w:val="20"/>
          <w:color w:val="auto"/>
        </w:rPr>
      </w:pPr>
    </w:p>
    <w:p>
      <w:pPr>
        <w:ind w:left="420" w:right="20"/>
        <w:spacing w:after="0" w:line="262" w:lineRule="auto"/>
        <w:rPr>
          <w:sz w:val="20"/>
          <w:szCs w:val="20"/>
          <w:color w:val="auto"/>
        </w:rPr>
      </w:pPr>
      <w:r>
        <w:rPr>
          <w:rFonts w:ascii="Arial" w:cs="Arial" w:eastAsia="Arial" w:hAnsi="Arial"/>
          <w:sz w:val="18"/>
          <w:szCs w:val="18"/>
          <w:color w:val="auto"/>
        </w:rPr>
        <w:t>The following table presents details of reclassifications out of other comprehensive income for the twelve months ended December 31, 2018, 2017 and 2016.</w:t>
      </w:r>
    </w:p>
    <w:p>
      <w:pPr>
        <w:spacing w:after="0" w:line="130"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jc w:val="center"/>
              <w:ind w:left="42"/>
              <w:spacing w:after="0"/>
              <w:rPr>
                <w:sz w:val="20"/>
                <w:szCs w:val="20"/>
                <w:color w:val="auto"/>
              </w:rPr>
            </w:pPr>
            <w:r>
              <w:rPr>
                <w:rFonts w:ascii="Arial" w:cs="Arial" w:eastAsia="Arial" w:hAnsi="Arial"/>
                <w:sz w:val="14"/>
                <w:szCs w:val="14"/>
                <w:b w:val="1"/>
                <w:bCs w:val="1"/>
                <w:color w:val="auto"/>
              </w:rPr>
              <w:t>Affected Line item in the</w:t>
            </w:r>
          </w:p>
        </w:tc>
      </w:tr>
      <w:tr>
        <w:trPr>
          <w:trHeight w:val="162"/>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Details about Accumulated Other</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jc w:val="center"/>
              <w:ind w:left="42"/>
              <w:spacing w:after="0"/>
              <w:rPr>
                <w:sz w:val="20"/>
                <w:szCs w:val="20"/>
                <w:color w:val="auto"/>
              </w:rPr>
            </w:pPr>
            <w:r>
              <w:rPr>
                <w:rFonts w:ascii="Arial" w:cs="Arial" w:eastAsia="Arial" w:hAnsi="Arial"/>
                <w:sz w:val="14"/>
                <w:szCs w:val="14"/>
                <w:b w:val="1"/>
                <w:bCs w:val="1"/>
                <w:color w:val="auto"/>
              </w:rPr>
              <w:t>Statement of Consolidated</w:t>
            </w:r>
          </w:p>
        </w:tc>
      </w:tr>
      <w:tr>
        <w:trPr>
          <w:trHeight w:val="196"/>
        </w:trPr>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 Components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jc w:val="center"/>
              <w:ind w:left="42"/>
              <w:spacing w:after="0"/>
              <w:rPr>
                <w:sz w:val="20"/>
                <w:szCs w:val="20"/>
                <w:color w:val="auto"/>
              </w:rPr>
            </w:pPr>
            <w:r>
              <w:rPr>
                <w:rFonts w:ascii="Arial" w:cs="Arial" w:eastAsia="Arial" w:hAnsi="Arial"/>
                <w:sz w:val="14"/>
                <w:szCs w:val="14"/>
                <w:b w:val="1"/>
                <w:bCs w:val="1"/>
                <w:color w:val="auto"/>
              </w:rPr>
              <w:t>Income</w:t>
            </w:r>
          </w:p>
        </w:tc>
      </w:tr>
      <w:tr>
        <w:trPr>
          <w:trHeight w:val="258"/>
        </w:trPr>
        <w:tc>
          <w:tcPr>
            <w:tcW w:w="2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460" w:type="dxa"/>
            <w:vAlign w:val="bottom"/>
            <w:tcBorders>
              <w:top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For the Twelve Months ended December 31,</w:t>
            </w:r>
          </w:p>
        </w:tc>
        <w:tc>
          <w:tcPr>
            <w:tcW w:w="2200" w:type="dxa"/>
            <w:vAlign w:val="bottom"/>
            <w:tcBorders>
              <w:top w:val="single" w:sz="8" w:color="auto"/>
            </w:tcBorders>
          </w:tcPr>
          <w:p>
            <w:pPr>
              <w:spacing w:after="0"/>
              <w:rPr>
                <w:sz w:val="22"/>
                <w:szCs w:val="22"/>
                <w:color w:val="auto"/>
              </w:rPr>
            </w:pPr>
          </w:p>
        </w:tc>
      </w:tr>
      <w:tr>
        <w:trPr>
          <w:trHeight w:val="276"/>
        </w:trPr>
        <w:tc>
          <w:tcPr>
            <w:tcW w:w="2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2200" w:type="dxa"/>
            <w:vAlign w:val="bottom"/>
            <w:tcBorders>
              <w:bottom w:val="single" w:sz="8" w:color="CCEEFF"/>
            </w:tcBorders>
          </w:tcPr>
          <w:p>
            <w:pPr>
              <w:spacing w:after="0"/>
              <w:rPr>
                <w:sz w:val="24"/>
                <w:szCs w:val="24"/>
                <w:color w:val="auto"/>
              </w:rPr>
            </w:pPr>
          </w:p>
        </w:tc>
      </w:tr>
      <w:tr>
        <w:trPr>
          <w:trHeight w:val="20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and (losses) 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r>
      <w:tr>
        <w:trPr>
          <w:trHeight w:val="21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60"/>
        </w:trPr>
        <w:tc>
          <w:tcPr>
            <w:tcW w:w="2920" w:type="dxa"/>
            <w:vAlign w:val="bottom"/>
            <w:gridSpan w:val="2"/>
          </w:tcPr>
          <w:p>
            <w:pPr>
              <w:ind w:left="260"/>
              <w:spacing w:after="0"/>
              <w:rPr>
                <w:sz w:val="20"/>
                <w:szCs w:val="20"/>
                <w:color w:val="auto"/>
              </w:rPr>
            </w:pPr>
            <w:r>
              <w:rPr>
                <w:rFonts w:ascii="Arial" w:cs="Arial" w:eastAsia="Arial" w:hAnsi="Arial"/>
                <w:sz w:val="16"/>
                <w:szCs w:val="16"/>
                <w:color w:val="auto"/>
              </w:rPr>
              <w:t>Realized gain on sale of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2,006,235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933,778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320,197</w:t>
            </w:r>
          </w:p>
        </w:tc>
        <w:tc>
          <w:tcPr>
            <w:tcW w:w="2200" w:type="dxa"/>
            <w:vAlign w:val="bottom"/>
          </w:tcPr>
          <w:p>
            <w:pPr>
              <w:ind w:left="140"/>
              <w:spacing w:after="0"/>
              <w:rPr>
                <w:sz w:val="20"/>
                <w:szCs w:val="20"/>
                <w:color w:val="auto"/>
              </w:rPr>
            </w:pPr>
            <w:r>
              <w:rPr>
                <w:rFonts w:ascii="Arial" w:cs="Arial" w:eastAsia="Arial" w:hAnsi="Arial"/>
                <w:sz w:val="16"/>
                <w:szCs w:val="16"/>
                <w:color w:val="auto"/>
              </w:rPr>
              <w:t>Other, net</w:t>
            </w:r>
          </w:p>
        </w:tc>
      </w:tr>
      <w:tr>
        <w:trPr>
          <w:trHeight w:val="273"/>
        </w:trPr>
        <w:tc>
          <w:tcPr>
            <w:tcW w:w="29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(421,309)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(112,069)</w:t>
            </w:r>
          </w:p>
        </w:tc>
        <w:tc>
          <w:tcPr>
            <w:tcW w:w="2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r>
      <w:tr>
        <w:trPr>
          <w:trHeight w:val="250"/>
        </w:trPr>
        <w:tc>
          <w:tcPr>
            <w:tcW w:w="2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1,584,926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606,956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208,128</w:t>
            </w:r>
          </w:p>
        </w:tc>
        <w:tc>
          <w:tcPr>
            <w:tcW w:w="2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of tax</w:t>
            </w:r>
          </w:p>
        </w:tc>
      </w:tr>
      <w:tr>
        <w:trPr>
          <w:trHeight w:val="189"/>
        </w:trPr>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r>
      <w:tr>
        <w:trPr>
          <w:trHeight w:val="218"/>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Unrealized gains (losses) 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4"/>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80"/>
        </w:trPr>
        <w:tc>
          <w:tcPr>
            <w:tcW w:w="29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Realized loss on interest rate swap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123,142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(1,340,329)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(2,139,958)</w:t>
            </w:r>
          </w:p>
        </w:tc>
        <w:tc>
          <w:tcPr>
            <w:tcW w:w="2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r>
      <w:tr>
        <w:trPr>
          <w:trHeight w:val="264"/>
        </w:trPr>
        <w:tc>
          <w:tcPr>
            <w:tcW w:w="29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748,986</w:t>
            </w:r>
          </w:p>
        </w:tc>
        <w:tc>
          <w:tcPr>
            <w:tcW w:w="2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r>
      <w:tr>
        <w:trPr>
          <w:trHeight w:val="264"/>
        </w:trPr>
        <w:tc>
          <w:tcPr>
            <w:tcW w:w="2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97,282</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(871,213)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(1,390,972)</w:t>
            </w:r>
          </w:p>
        </w:tc>
        <w:tc>
          <w:tcPr>
            <w:tcW w:w="2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189"/>
        </w:trPr>
        <w:tc>
          <w:tcPr>
            <w:tcW w:w="2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r>
      <w:tr>
        <w:trPr>
          <w:trHeight w:val="247"/>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1,682,208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(1,182,844)</w:t>
            </w:r>
          </w:p>
        </w:tc>
        <w:tc>
          <w:tcPr>
            <w:tcW w:w="2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151"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18" w:right="239" w:bottom="1151"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82"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223" w:lineRule="exact"/>
        <w:rPr>
          <w:sz w:val="20"/>
          <w:szCs w:val="20"/>
          <w:color w:val="auto"/>
        </w:rPr>
      </w:pPr>
    </w:p>
    <w:p>
      <w:pPr>
        <w:jc w:val="both"/>
        <w:ind w:left="660" w:right="20"/>
        <w:spacing w:after="0" w:line="233" w:lineRule="auto"/>
        <w:rPr>
          <w:sz w:val="20"/>
          <w:szCs w:val="20"/>
          <w:color w:val="auto"/>
        </w:rPr>
      </w:pPr>
      <w:r>
        <w:rPr>
          <w:rFonts w:ascii="Arial" w:cs="Arial" w:eastAsia="Arial" w:hAnsi="Arial"/>
          <w:sz w:val="18"/>
          <w:szCs w:val="18"/>
          <w:color w:val="auto"/>
        </w:rPr>
        <w:t>The Company recorded Goodwill of $307.4 million related to the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acquisition, which occurred in September 2013. The carrying value of Goodwill as of both December 31, 2018 and December 31, 2017 was $307.4 million as set forth in the table below.</w:t>
      </w:r>
    </w:p>
    <w:p>
      <w:pPr>
        <w:spacing w:after="0" w:line="200" w:lineRule="exact"/>
        <w:rPr>
          <w:sz w:val="20"/>
          <w:szCs w:val="20"/>
          <w:color w:val="auto"/>
        </w:rPr>
      </w:pPr>
    </w:p>
    <w:p>
      <w:pPr>
        <w:spacing w:after="0" w:line="219" w:lineRule="exact"/>
        <w:rPr>
          <w:sz w:val="20"/>
          <w:szCs w:val="20"/>
          <w:color w:val="auto"/>
        </w:rPr>
      </w:pPr>
    </w:p>
    <w:tbl>
      <w:tblPr>
        <w:tblLayout w:type="fixed"/>
        <w:tblInd w:w="1800" w:type="dxa"/>
        <w:tblCellMar>
          <w:top w:w="0" w:type="dxa"/>
          <w:left w:w="0" w:type="dxa"/>
          <w:bottom w:w="0" w:type="dxa"/>
          <w:right w:w="0" w:type="dxa"/>
        </w:tblCellMar>
      </w:tblPr>
      <w:tr>
        <w:trPr>
          <w:trHeight w:val="196"/>
        </w:trPr>
        <w:tc>
          <w:tcPr>
            <w:tcW w:w="7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Carrying Amount</w:t>
            </w:r>
          </w:p>
        </w:tc>
      </w:tr>
      <w:tr>
        <w:trPr>
          <w:trHeight w:val="256"/>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r>
      <w:tr>
        <w:trPr>
          <w:trHeight w:val="250"/>
        </w:trPr>
        <w:tc>
          <w:tcPr>
            <w:tcW w:w="71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Divestitures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20" w:type="dxa"/>
            <w:vAlign w:val="bottom"/>
          </w:tcPr>
          <w:p>
            <w:pPr>
              <w:ind w:left="40"/>
              <w:spacing w:after="0"/>
              <w:rPr>
                <w:sz w:val="20"/>
                <w:szCs w:val="20"/>
                <w:color w:val="auto"/>
              </w:rPr>
            </w:pPr>
            <w:r>
              <w:rPr>
                <w:rFonts w:ascii="Arial" w:cs="Arial" w:eastAsia="Arial" w:hAnsi="Arial"/>
                <w:sz w:val="18"/>
                <w:szCs w:val="18"/>
                <w:color w:val="auto"/>
              </w:rPr>
              <w:t>Impairments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2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307,365,845</w:t>
            </w: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reviews goodwill for impairment during the fourth quarter on an annual basis or more frequently if events or changes in circumstances indicate that goodwill might be impaired. The Company has not recognized any impairment of goodwill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general industry, market and macro-economic conditions. No such matters were noted in 2018.</w:t>
      </w:r>
    </w:p>
    <w:p>
      <w:pPr>
        <w:spacing w:after="0" w:line="209"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Intangible Assets and related change in carrying values are set forth in the table below as of December 31, 2018 and December 31, 2017.</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Other Intangible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Gross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Net</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Assumed Useful Life</w:t>
            </w:r>
          </w:p>
        </w:tc>
      </w:tr>
      <w:tr>
        <w:trPr>
          <w:trHeight w:val="256"/>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 Names and Trademarks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52,000,000</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52,000,000</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Indefinite</w:t>
            </w:r>
          </w:p>
        </w:tc>
      </w:tr>
      <w:tr>
        <w:trPr>
          <w:trHeight w:val="257"/>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tc>
        <w:tc>
          <w:tcPr>
            <w:tcW w:w="220" w:type="dxa"/>
            <w:vAlign w:val="bottom"/>
          </w:tcPr>
          <w:p>
            <w:pPr>
              <w:spacing w:after="0"/>
              <w:rPr>
                <w:sz w:val="22"/>
                <w:szCs w:val="22"/>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180,000,000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(78,750,000)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
              <w:spacing w:after="0"/>
              <w:rPr>
                <w:sz w:val="20"/>
                <w:szCs w:val="20"/>
                <w:color w:val="auto"/>
              </w:rPr>
            </w:pPr>
            <w:r>
              <w:rPr>
                <w:rFonts w:ascii="Arial" w:cs="Arial" w:eastAsia="Arial" w:hAnsi="Arial"/>
                <w:sz w:val="18"/>
                <w:szCs w:val="18"/>
                <w:color w:val="auto"/>
              </w:rPr>
              <w:t>101,250,000</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rPr>
              <w:t>12 years</w:t>
            </w:r>
          </w:p>
        </w:tc>
      </w:tr>
      <w:tr>
        <w:trPr>
          <w:trHeight w:val="25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43,000,000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(22,575,000)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20,425,000</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10 years</w:t>
            </w:r>
          </w:p>
        </w:tc>
      </w:tr>
      <w:tr>
        <w:trPr>
          <w:trHeight w:val="250"/>
        </w:trPr>
        <w:tc>
          <w:tcPr>
            <w:tcW w:w="4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Exclusive Licensing Agreement</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96,000,000</w:t>
            </w:r>
          </w:p>
        </w:tc>
        <w:tc>
          <w:tcPr>
            <w:tcW w:w="1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96,000,000</w:t>
            </w:r>
          </w:p>
        </w:tc>
        <w:tc>
          <w:tcPr>
            <w:tcW w:w="15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rPr>
              <w:t>Indefinite</w:t>
            </w:r>
          </w:p>
        </w:tc>
      </w:tr>
      <w:tr>
        <w:trPr>
          <w:trHeight w:val="257"/>
        </w:trPr>
        <w:tc>
          <w:tcPr>
            <w:tcW w:w="4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Total other identifiable intangible assets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371,000,000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(101,325,000)</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269,675,000</w:t>
            </w: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918"/>
        </w:trPr>
        <w:tc>
          <w:tcPr>
            <w:tcW w:w="4060" w:type="dxa"/>
            <w:vAlign w:val="bottom"/>
            <w:gridSpan w:val="2"/>
          </w:tcPr>
          <w:p>
            <w:pPr>
              <w:spacing w:after="0"/>
              <w:rPr>
                <w:sz w:val="20"/>
                <w:szCs w:val="20"/>
                <w:color w:val="auto"/>
              </w:rPr>
            </w:pPr>
            <w:r>
              <w:rPr>
                <w:rFonts w:ascii="Arial" w:cs="Arial" w:eastAsia="Arial" w:hAnsi="Arial"/>
                <w:sz w:val="18"/>
                <w:szCs w:val="18"/>
                <w:color w:val="auto"/>
              </w:rPr>
              <w:t>As of December 31, 2017:</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7"/>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jc w:val="right"/>
              <w:ind w:right="96"/>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4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Other Intangible Assets</w:t>
            </w:r>
          </w:p>
        </w:tc>
        <w:tc>
          <w:tcPr>
            <w:tcW w:w="220" w:type="dxa"/>
            <w:vAlign w:val="bottom"/>
          </w:tcPr>
          <w:p>
            <w:pPr>
              <w:spacing w:after="0"/>
              <w:rPr>
                <w:sz w:val="17"/>
                <w:szCs w:val="17"/>
                <w:color w:val="auto"/>
              </w:rPr>
            </w:pPr>
          </w:p>
        </w:tc>
        <w:tc>
          <w:tcPr>
            <w:tcW w:w="1340" w:type="dxa"/>
            <w:vAlign w:val="bottom"/>
          </w:tcPr>
          <w:p>
            <w:pPr>
              <w:jc w:val="right"/>
              <w:ind w:right="573"/>
              <w:spacing w:after="0"/>
              <w:rPr>
                <w:sz w:val="20"/>
                <w:szCs w:val="20"/>
                <w:color w:val="auto"/>
              </w:rPr>
            </w:pPr>
            <w:r>
              <w:rPr>
                <w:rFonts w:ascii="Arial" w:cs="Arial" w:eastAsia="Arial" w:hAnsi="Arial"/>
                <w:sz w:val="14"/>
                <w:szCs w:val="14"/>
                <w:b w:val="1"/>
                <w:bCs w:val="1"/>
                <w:color w:val="auto"/>
              </w:rPr>
              <w:t>Gross</w:t>
            </w:r>
          </w:p>
        </w:tc>
        <w:tc>
          <w:tcPr>
            <w:tcW w:w="1140" w:type="dxa"/>
            <w:vAlign w:val="bottom"/>
          </w:tcPr>
          <w:p>
            <w:pPr>
              <w:jc w:val="right"/>
              <w:ind w:right="116"/>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1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Assumed Useful Life</w:t>
            </w:r>
          </w:p>
        </w:tc>
      </w:tr>
      <w:tr>
        <w:trPr>
          <w:trHeight w:val="256"/>
        </w:trPr>
        <w:tc>
          <w:tcPr>
            <w:tcW w:w="4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 Names and Trademarks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52,000,000  $</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3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center"/>
              <w:ind w:right="272"/>
              <w:spacing w:after="0"/>
              <w:rPr>
                <w:sz w:val="20"/>
                <w:szCs w:val="20"/>
                <w:color w:val="auto"/>
              </w:rPr>
            </w:pPr>
            <w:r>
              <w:rPr>
                <w:rFonts w:ascii="Arial" w:cs="Arial" w:eastAsia="Arial" w:hAnsi="Arial"/>
                <w:sz w:val="18"/>
                <w:szCs w:val="18"/>
                <w:color w:val="auto"/>
              </w:rPr>
              <w:t>Indefinite</w:t>
            </w:r>
          </w:p>
        </w:tc>
        <w:tc>
          <w:tcPr>
            <w:tcW w:w="80" w:type="dxa"/>
            <w:vAlign w:val="bottom"/>
          </w:tcPr>
          <w:p>
            <w:pPr>
              <w:spacing w:after="0"/>
              <w:rPr>
                <w:sz w:val="22"/>
                <w:szCs w:val="22"/>
                <w:color w:val="auto"/>
              </w:rPr>
            </w:pPr>
          </w:p>
        </w:tc>
      </w:tr>
      <w:tr>
        <w:trPr>
          <w:trHeight w:val="257"/>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tc>
        <w:tc>
          <w:tcPr>
            <w:tcW w:w="220" w:type="dxa"/>
            <w:vAlign w:val="bottom"/>
          </w:tcPr>
          <w:p>
            <w:pPr>
              <w:spacing w:after="0"/>
              <w:rPr>
                <w:sz w:val="22"/>
                <w:szCs w:val="22"/>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180,000,000</w:t>
            </w:r>
          </w:p>
        </w:tc>
        <w:tc>
          <w:tcPr>
            <w:tcW w:w="1140" w:type="dxa"/>
            <w:vAlign w:val="bottom"/>
          </w:tcPr>
          <w:p>
            <w:pPr>
              <w:jc w:val="right"/>
              <w:spacing w:after="0"/>
              <w:rPr>
                <w:sz w:val="20"/>
                <w:szCs w:val="20"/>
                <w:color w:val="auto"/>
              </w:rPr>
            </w:pPr>
            <w:r>
              <w:rPr>
                <w:rFonts w:ascii="Arial" w:cs="Arial" w:eastAsia="Arial" w:hAnsi="Arial"/>
                <w:sz w:val="18"/>
                <w:szCs w:val="18"/>
                <w:color w:val="auto"/>
              </w:rPr>
              <w:t>(63,750,000)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116,250,000</w:t>
            </w:r>
          </w:p>
        </w:tc>
        <w:tc>
          <w:tcPr>
            <w:tcW w:w="380" w:type="dxa"/>
            <w:vAlign w:val="bottom"/>
          </w:tcPr>
          <w:p>
            <w:pPr>
              <w:spacing w:after="0"/>
              <w:rPr>
                <w:sz w:val="22"/>
                <w:szCs w:val="22"/>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rPr>
              <w:t>12 years</w:t>
            </w:r>
          </w:p>
        </w:tc>
      </w:tr>
      <w:tr>
        <w:trPr>
          <w:trHeight w:val="25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43,000,000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24,725,000</w:t>
            </w: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center"/>
              <w:ind w:right="272"/>
              <w:spacing w:after="0"/>
              <w:rPr>
                <w:sz w:val="20"/>
                <w:szCs w:val="20"/>
                <w:color w:val="auto"/>
              </w:rPr>
            </w:pPr>
            <w:r>
              <w:rPr>
                <w:rFonts w:ascii="Arial" w:cs="Arial" w:eastAsia="Arial" w:hAnsi="Arial"/>
                <w:sz w:val="18"/>
                <w:szCs w:val="18"/>
                <w:color w:val="auto"/>
              </w:rPr>
              <w:t>10 years</w:t>
            </w:r>
          </w:p>
        </w:tc>
        <w:tc>
          <w:tcPr>
            <w:tcW w:w="80" w:type="dxa"/>
            <w:vAlign w:val="bottom"/>
          </w:tcPr>
          <w:p>
            <w:pPr>
              <w:spacing w:after="0"/>
              <w:rPr>
                <w:sz w:val="22"/>
                <w:szCs w:val="22"/>
                <w:color w:val="auto"/>
              </w:rPr>
            </w:pP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Exclusive Licensing Agreement</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96,000,000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3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center"/>
              <w:ind w:right="272"/>
              <w:spacing w:after="0"/>
              <w:rPr>
                <w:sz w:val="20"/>
                <w:szCs w:val="20"/>
                <w:color w:val="auto"/>
              </w:rPr>
            </w:pPr>
            <w:r>
              <w:rPr>
                <w:rFonts w:ascii="Arial" w:cs="Arial" w:eastAsia="Arial" w:hAnsi="Arial"/>
                <w:sz w:val="18"/>
                <w:szCs w:val="18"/>
                <w:color w:val="auto"/>
              </w:rPr>
              <w:t>Indefinite</w:t>
            </w:r>
          </w:p>
        </w:tc>
        <w:tc>
          <w:tcPr>
            <w:tcW w:w="80" w:type="dxa"/>
            <w:vAlign w:val="bottom"/>
          </w:tcPr>
          <w:p>
            <w:pPr>
              <w:spacing w:after="0"/>
              <w:rPr>
                <w:sz w:val="21"/>
                <w:szCs w:val="21"/>
                <w:color w:val="auto"/>
              </w:rPr>
            </w:pPr>
          </w:p>
        </w:tc>
      </w:tr>
      <w:tr>
        <w:trPr>
          <w:trHeight w:val="257"/>
        </w:trPr>
        <w:tc>
          <w:tcPr>
            <w:tcW w:w="4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Total other identifiable intangible assets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371,000,000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(82,025,000)</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288,975,000</w:t>
            </w: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r>
      <w:tr>
        <w:trPr>
          <w:trHeight w:val="891"/>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73"/>
              <w:spacing w:after="0"/>
              <w:rPr>
                <w:sz w:val="20"/>
                <w:szCs w:val="20"/>
                <w:color w:val="auto"/>
              </w:rPr>
            </w:pPr>
            <w:r>
              <w:rPr>
                <w:rFonts w:ascii="Arial" w:cs="Arial" w:eastAsia="Arial" w:hAnsi="Arial"/>
                <w:sz w:val="18"/>
                <w:szCs w:val="18"/>
                <w:color w:val="auto"/>
              </w:rPr>
              <w:t>63</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8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Accumulated amortization on patents and intangible assets was approximately $122.3 million and $101.0 million at December 31, 2018 and 2017, respectively. Amortization expense on patents and other intangible assets was approximately $22.5 million, $22.5 million, and $22.3 million in calendar years 2018, 2017 and 2016, respectively. At December 31, 2018, patents had a weighted average amortized life of 10 years.</w:t>
      </w:r>
    </w:p>
    <w:p>
      <w:pPr>
        <w:spacing w:after="0" w:line="20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Excluding the impact of any future acquisitions, the Company anticipates amortization expense including patents and other intangible assets for each of the years ended December 31, 2019, 2020, and 2021 to be approximately $22 million annually, approximately $21 million for 2022, and approximately $19 million for the year ended December 31, 2023.</w:t>
      </w:r>
    </w:p>
    <w:p>
      <w:pPr>
        <w:spacing w:after="0" w:line="202" w:lineRule="exact"/>
        <w:rPr>
          <w:sz w:val="20"/>
          <w:szCs w:val="20"/>
          <w:color w:val="auto"/>
        </w:rPr>
      </w:pPr>
    </w:p>
    <w:p>
      <w:pPr>
        <w:ind w:left="1300" w:hanging="563"/>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shows the Company’s Automotive and Other Products revenue disaggregated by geographical location for Automotive Products for the twelve month periods ended December 31, 2018 and 2017:</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680" w:type="dxa"/>
            <w:vAlign w:val="bottom"/>
            <w:gridSpan w:val="4"/>
            <w:shd w:val="clear" w:color="auto" w:fill="CCEEFF"/>
          </w:tcPr>
          <w:p>
            <w:pPr>
              <w:jc w:val="right"/>
              <w:ind w:right="1230"/>
              <w:spacing w:after="0"/>
              <w:rPr>
                <w:sz w:val="20"/>
                <w:szCs w:val="20"/>
                <w:color w:val="auto"/>
              </w:rPr>
            </w:pPr>
            <w:r>
              <w:rPr>
                <w:rFonts w:ascii="Arial" w:cs="Arial" w:eastAsia="Arial" w:hAnsi="Arial"/>
                <w:sz w:val="18"/>
                <w:szCs w:val="18"/>
                <w:b w:val="1"/>
                <w:bCs w:val="1"/>
                <w:color w:val="auto"/>
              </w:rPr>
              <w:t>For the Twelve Months ended December 31,</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Revenue</w:t>
            </w:r>
          </w:p>
        </w:tc>
        <w:tc>
          <w:tcPr>
            <w:tcW w:w="7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Products</w:t>
            </w:r>
          </w:p>
        </w:tc>
        <w:tc>
          <w:tcPr>
            <w:tcW w:w="7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U.S.</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583,672,971</w:t>
            </w:r>
          </w:p>
        </w:tc>
        <w:tc>
          <w:tcPr>
            <w:tcW w:w="440" w:type="dxa"/>
            <w:vAlign w:val="bottom"/>
          </w:tcPr>
          <w:p>
            <w:pPr>
              <w:spacing w:after="0"/>
              <w:rPr>
                <w:sz w:val="22"/>
                <w:szCs w:val="22"/>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567,492,812</w:t>
            </w: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700" w:type="dxa"/>
            <w:vAlign w:val="bottom"/>
            <w:shd w:val="clear" w:color="auto" w:fill="CCEEFF"/>
          </w:tcPr>
          <w:p>
            <w:pPr>
              <w:spacing w:after="0"/>
              <w:rPr>
                <w:sz w:val="24"/>
                <w:szCs w:val="24"/>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333,002,878</w:t>
            </w: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351,123,204</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Japan</w:t>
            </w:r>
          </w:p>
        </w:tc>
        <w:tc>
          <w:tcPr>
            <w:tcW w:w="700" w:type="dxa"/>
            <w:vAlign w:val="bottom"/>
          </w:tcPr>
          <w:p>
            <w:pPr>
              <w:spacing w:after="0"/>
              <w:rPr>
                <w:sz w:val="22"/>
                <w:szCs w:val="22"/>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209,311,790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185,261,067</w:t>
            </w: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665,210,657</w:t>
            </w:r>
          </w:p>
        </w:tc>
        <w:tc>
          <w:tcPr>
            <w:tcW w:w="44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654,250,385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 Automotive Products</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1,791,198,296</w:t>
            </w:r>
          </w:p>
        </w:tc>
        <w:tc>
          <w:tcPr>
            <w:tcW w:w="440" w:type="dxa"/>
            <w:vAlign w:val="bottom"/>
          </w:tcPr>
          <w:p>
            <w:pPr>
              <w:spacing w:after="0"/>
              <w:rPr>
                <w:sz w:val="21"/>
                <w:szCs w:val="21"/>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1,758,127,468</w:t>
            </w: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Products (U.S.)</w:t>
            </w:r>
          </w:p>
        </w:tc>
        <w:tc>
          <w:tcPr>
            <w:tcW w:w="70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42,865,401</w:t>
            </w:r>
          </w:p>
        </w:tc>
        <w:tc>
          <w:tcPr>
            <w:tcW w:w="44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36,745,110</w:t>
            </w:r>
          </w:p>
        </w:tc>
      </w:tr>
      <w:tr>
        <w:trPr>
          <w:trHeight w:val="29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1,834,063,697</w:t>
            </w:r>
          </w:p>
        </w:tc>
        <w:tc>
          <w:tcPr>
            <w:tcW w:w="44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1,794,872,578</w:t>
            </w:r>
          </w:p>
        </w:tc>
      </w:tr>
      <w:tr>
        <w:trPr>
          <w:trHeight w:val="305"/>
        </w:trPr>
        <w:tc>
          <w:tcPr>
            <w:tcW w:w="5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Automotive and Other revenue by major source for the twelve month periods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9"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For the Twelve Months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Revenue</w:t>
            </w:r>
          </w:p>
        </w:tc>
        <w:tc>
          <w:tcPr>
            <w:tcW w:w="7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Segment</w:t>
            </w:r>
          </w:p>
        </w:tc>
        <w:tc>
          <w:tcPr>
            <w:tcW w:w="7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color w:val="auto"/>
              </w:rPr>
              <w:t>Automotive Mirrors &amp; Electronics</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1,598,589,777</w:t>
            </w:r>
          </w:p>
        </w:tc>
        <w:tc>
          <w:tcPr>
            <w:tcW w:w="440" w:type="dxa"/>
            <w:vAlign w:val="bottom"/>
          </w:tcPr>
          <w:p>
            <w:pPr>
              <w:spacing w:after="0"/>
              <w:rPr>
                <w:sz w:val="22"/>
                <w:szCs w:val="22"/>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1,573,222,820</w:t>
            </w: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HomeLink Modules*</w:t>
            </w:r>
          </w:p>
        </w:tc>
        <w:tc>
          <w:tcPr>
            <w:tcW w:w="70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192,608,519</w:t>
            </w:r>
          </w:p>
        </w:tc>
        <w:tc>
          <w:tcPr>
            <w:tcW w:w="44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184,904,648</w:t>
            </w:r>
          </w:p>
        </w:tc>
      </w:tr>
      <w:tr>
        <w:trPr>
          <w:trHeight w:val="24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Automotive Products</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1,791,198,296</w:t>
            </w:r>
          </w:p>
        </w:tc>
        <w:tc>
          <w:tcPr>
            <w:tcW w:w="44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1,758,127,468</w:t>
            </w:r>
          </w:p>
        </w:tc>
      </w:tr>
      <w:tr>
        <w:trPr>
          <w:trHeight w:val="324"/>
        </w:trPr>
        <w:tc>
          <w:tcPr>
            <w:tcW w:w="5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Other Segment</w:t>
            </w:r>
          </w:p>
        </w:tc>
        <w:tc>
          <w:tcPr>
            <w:tcW w:w="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Fire Protection Products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22,109,784</w:t>
            </w: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18,790,474</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Windows Products</w:t>
            </w:r>
          </w:p>
        </w:tc>
        <w:tc>
          <w:tcPr>
            <w:tcW w:w="7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20,755,617</w:t>
            </w:r>
          </w:p>
        </w:tc>
        <w:tc>
          <w:tcPr>
            <w:tcW w:w="4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17,954,636</w:t>
            </w:r>
          </w:p>
        </w:tc>
      </w:tr>
      <w:tr>
        <w:trPr>
          <w:trHeight w:val="25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Other</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42,865,401</w:t>
            </w:r>
          </w:p>
        </w:tc>
        <w:tc>
          <w:tcPr>
            <w:tcW w:w="4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36,745,110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*Excludes HomeLink revenue related to HomeLink modules integrated into automotive mirrors</w:t>
      </w: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The Company does not incur any incremental cost to obtain contracts. Costs are incurred to fulfill contracts with the OEM. However, such costs are accounted for under ASC 340-10, and are not treated as fulfillment costs under ASC 340-40.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Products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Rearview Mirrors and Electronics</w:t>
      </w:r>
    </w:p>
    <w:p>
      <w:pPr>
        <w:spacing w:after="0" w:line="2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records revenue based on the Company’s best estimate of the amount of consideration to which the entity will be entitled in exchange for transferring the promised goods to the customer.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HomeLink</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Modules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manufactures and sells HomeLink®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Dimmable Aircraft Windows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Protection Products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60" w:type="dxa"/>
            <w:vAlign w:val="bottom"/>
            <w:gridSpan w:val="15"/>
          </w:tcPr>
          <w:p>
            <w:pPr>
              <w:jc w:val="center"/>
              <w:ind w:right="5060"/>
              <w:spacing w:after="0"/>
              <w:rPr>
                <w:sz w:val="20"/>
                <w:szCs w:val="20"/>
                <w:color w:val="auto"/>
              </w:rPr>
            </w:pPr>
            <w:r>
              <w:rPr>
                <w:rFonts w:ascii="Arial" w:cs="Arial" w:eastAsia="Arial" w:hAnsi="Arial"/>
                <w:sz w:val="18"/>
                <w:szCs w:val="18"/>
                <w:b w:val="1"/>
                <w:bCs w:val="1"/>
                <w:color w:val="auto"/>
                <w:w w:val="99"/>
              </w:rPr>
              <w:t>EXHIBIT INDEX</w:t>
            </w:r>
          </w:p>
        </w:tc>
      </w:tr>
      <w:tr>
        <w:trPr>
          <w:trHeight w:val="528"/>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tcBorders>
            <w:gridSpan w:val="3"/>
          </w:tcPr>
          <w:p>
            <w:pPr>
              <w:spacing w:after="0"/>
              <w:rPr>
                <w:sz w:val="24"/>
                <w:szCs w:val="24"/>
                <w:color w:val="auto"/>
              </w:rPr>
            </w:pPr>
          </w:p>
        </w:tc>
        <w:tc>
          <w:tcPr>
            <w:tcW w:w="5060" w:type="dxa"/>
            <w:vAlign w:val="bottom"/>
            <w:gridSpan w:val="12"/>
          </w:tcPr>
          <w:p>
            <w:pPr>
              <w:spacing w:after="0"/>
              <w:rPr>
                <w:sz w:val="24"/>
                <w:szCs w:val="24"/>
                <w:color w:val="auto"/>
              </w:rPr>
            </w:pPr>
          </w:p>
        </w:tc>
      </w:tr>
      <w:tr>
        <w:trPr>
          <w:trHeight w:val="324"/>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18"/>
          </w:tcPr>
          <w:p>
            <w:pPr>
              <w:spacing w:after="0"/>
              <w:rPr>
                <w:rFonts w:ascii="Arial" w:cs="Arial" w:eastAsia="Arial" w:hAnsi="Arial"/>
                <w:sz w:val="18"/>
                <w:szCs w:val="18"/>
                <w:color w:val="0000FF"/>
              </w:rPr>
            </w:pPr>
            <w:hyperlink r:id="rId53">
              <w:r>
                <w:rPr>
                  <w:rFonts w:ascii="Arial" w:cs="Arial" w:eastAsia="Arial" w:hAnsi="Arial"/>
                  <w:sz w:val="18"/>
                  <w:szCs w:val="18"/>
                  <w:color w:val="0000FF"/>
                </w:rPr>
                <w:t>Registrant's Restated Articles of Incorporation, adopted on August 20, 2004, were filed as Exhibit 3(a) to Registrant's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on Form 10-Q dated November 2, 2004, and an Amendment to the Registrant's Restated Articles of Incorporation, adopted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as of May 18, 2012, was filed as Exhibit 3.1(i) to the Registrant's Form 8-K dated May 22, 2012, and the same are hereby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incorporated by reference, together with an Amendment to the Registrant's Restated Articles of Incorporation adopted as of</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May 15, 2014 which was included in the Registrant's Proxy statement which was filed with the Commission March 31, 2014</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and the same is hereby incorporated by reference.</w:t>
              </w:r>
            </w:hyperlink>
          </w:p>
        </w:tc>
        <w:tc>
          <w:tcPr>
            <w:tcW w:w="5940" w:type="dxa"/>
            <w:vAlign w:val="bottom"/>
            <w:tcBorders>
              <w:top w:val="single" w:sz="8" w:color="0000FF"/>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56">
              <w:r>
                <w:rPr>
                  <w:rFonts w:ascii="Arial" w:cs="Arial" w:eastAsia="Arial" w:hAnsi="Arial"/>
                  <w:sz w:val="18"/>
                  <w:szCs w:val="18"/>
                  <w:color w:val="0000FF"/>
                </w:rPr>
                <w:t>Registrant’s Bylaws as amended and restated February 27, 2003, was filed as Exhibit 3(b)(1) to Registrant’s report on Form</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10-Q dated May 5, 2003, and an Amendment to Registrant’s Bylaws adopted as of February 16, 2012 was filed as Exhibit</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3(b)</w:t>
              </w:r>
              <w:r>
                <w:rPr>
                  <w:rFonts w:ascii="Arial" w:cs="Arial" w:eastAsia="Arial" w:hAnsi="Arial"/>
                  <w:sz w:val="18"/>
                  <w:szCs w:val="18"/>
                  <w:u w:val="single" w:color="auto"/>
                  <w:color w:val="0000FF"/>
                  <w:w w:val="99"/>
                </w:rPr>
                <w:t>(ii)</w:t>
              </w:r>
              <w:r>
                <w:rPr>
                  <w:rFonts w:ascii="Arial" w:cs="Arial" w:eastAsia="Arial" w:hAnsi="Arial"/>
                  <w:sz w:val="18"/>
                  <w:szCs w:val="18"/>
                  <w:color w:val="0000FF"/>
                  <w:w w:val="99"/>
                </w:rPr>
                <w:t xml:space="preserve"> to Registrant’s Form 8-K dated February 21, 2012 and the same is hereby incorporated herein by reference.</w:t>
              </w:r>
            </w:hyperlink>
          </w:p>
        </w:tc>
        <w:tc>
          <w:tcPr>
            <w:tcW w:w="80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rFonts w:ascii="Arial" w:cs="Arial" w:eastAsia="Arial" w:hAnsi="Arial"/>
                <w:sz w:val="18"/>
                <w:szCs w:val="18"/>
                <w:color w:val="0000FF"/>
              </w:rPr>
            </w:pPr>
            <w:hyperlink r:id="rId53">
              <w:r>
                <w:rPr>
                  <w:rFonts w:ascii="Arial" w:cs="Arial" w:eastAsia="Arial" w:hAnsi="Arial"/>
                  <w:sz w:val="18"/>
                  <w:szCs w:val="18"/>
                  <w:color w:val="0000FF"/>
                </w:rPr>
                <w:t>A specimen form of certificate for the Registrant’s common stock, par value $.06 per share, was filed as part of a Registration</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53">
              <w:r>
                <w:rPr>
                  <w:rFonts w:ascii="Arial" w:cs="Arial" w:eastAsia="Arial" w:hAnsi="Arial"/>
                  <w:sz w:val="18"/>
                  <w:szCs w:val="18"/>
                  <w:color w:val="0000FF"/>
                </w:rPr>
                <w:t>Statement (Registration Number 2-74226C) as Exhibit 3(a), as amended by Amendment No. 3 to such Registration</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3">
              <w:r>
                <w:rPr>
                  <w:rFonts w:ascii="Arial" w:cs="Arial" w:eastAsia="Arial" w:hAnsi="Arial"/>
                  <w:sz w:val="18"/>
                  <w:szCs w:val="18"/>
                  <w:color w:val="0000FF"/>
                </w:rPr>
                <w:t>Statement, and the same is hereby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rFonts w:ascii="Arial" w:cs="Arial" w:eastAsia="Arial" w:hAnsi="Arial"/>
                <w:sz w:val="18"/>
                <w:szCs w:val="18"/>
                <w:color w:val="0000FF"/>
              </w:rPr>
            </w:pPr>
            <w:hyperlink r:id="rId58">
              <w:r>
                <w:rPr>
                  <w:rFonts w:ascii="Arial" w:cs="Arial" w:eastAsia="Arial" w:hAnsi="Arial"/>
                  <w:sz w:val="18"/>
                  <w:szCs w:val="18"/>
                  <w:color w:val="0000FF"/>
                </w:rPr>
                <w:t>Gentex Corporation Qualified Stock Option Plan (as amended and restated, effective February 26, 2004) was included in</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Registrant’s Proxy Statement dated April 6, 2004, filed with the Commission on April 6, 2004, and the same is hereby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incorporated herein by reference, and the same became the Gentex Corporation Employee Stock Option Plan and was</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amended as of March 4, 2005 by the First Amendment to the Gentex Corporation Qualified Stock Option Plan, which</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amendment was included in the Registrant’s Proxy Statement dated April 1, 2005, filed with the Commission on April 1, 2005,</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and the same is incorporated herein by reference.</w:t>
              </w:r>
            </w:hyperlink>
          </w:p>
        </w:tc>
        <w:tc>
          <w:tcPr>
            <w:tcW w:w="40" w:type="dxa"/>
            <w:vAlign w:val="bottom"/>
            <w:gridSpan w:val="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60">
              <w:r>
                <w:rPr>
                  <w:rFonts w:ascii="Arial" w:cs="Arial" w:eastAsia="Arial" w:hAnsi="Arial"/>
                  <w:sz w:val="18"/>
                  <w:szCs w:val="18"/>
                  <w:color w:val="0000FF"/>
                </w:rPr>
                <w:t>Specimen form of Grant Agreement for the Gentex Corporation Qualified Stock Option Plan (as amended and restated,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effective February 26, 2004 and as amended March 4, 2005), was filed as Exhibit 10(b)(3) to Registrant’s Report on Form 10-</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Q dated November 1, 2005, and the same is hereby incorporated herein by reference.</w:t>
              </w:r>
            </w:hyperlink>
          </w:p>
        </w:tc>
        <w:tc>
          <w:tcPr>
            <w:tcW w:w="3160" w:type="dxa"/>
            <w:vAlign w:val="bottom"/>
            <w:gridSpan w:val="8"/>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61">
              <w:r>
                <w:rPr>
                  <w:rFonts w:ascii="Arial" w:cs="Arial" w:eastAsia="Arial" w:hAnsi="Arial"/>
                  <w:sz w:val="18"/>
                  <w:szCs w:val="18"/>
                  <w:color w:val="0000FF"/>
                </w:rPr>
                <w:t>Gentex Corporation Second Restricted Stock Plan was filed as Exhibit 10(b)(2) to Registrant’s Report on Form 10-Q dated</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April 27, 2001, and the same is hereby incorporated herein by reference.</w:t>
              </w:r>
            </w:hyperlink>
          </w:p>
        </w:tc>
        <w:tc>
          <w:tcPr>
            <w:tcW w:w="418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62">
              <w:r>
                <w:rPr>
                  <w:rFonts w:ascii="Arial" w:cs="Arial" w:eastAsia="Arial" w:hAnsi="Arial"/>
                  <w:sz w:val="18"/>
                  <w:szCs w:val="18"/>
                  <w:color w:val="0000FF"/>
                </w:rPr>
                <w:t>First Amendment to the Gentex Corporation Second Restricted Stock Plan was filed as Exhibit 10(b)(5) to the Registrant’s</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Report on Form 10-Q dated August 4, 2008, and the same is hereby incorporated herein by reference.</w:t>
              </w:r>
            </w:hyperlink>
          </w:p>
        </w:tc>
        <w:tc>
          <w:tcPr>
            <w:tcW w:w="182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63">
              <w:r>
                <w:rPr>
                  <w:rFonts w:ascii="Arial" w:cs="Arial" w:eastAsia="Arial" w:hAnsi="Arial"/>
                  <w:sz w:val="18"/>
                  <w:szCs w:val="18"/>
                  <w:color w:val="0000FF"/>
                </w:rPr>
                <w:t>Specimen form of Grant Agreement for the Gentex Corporation Restricted Stock Plan (as amended and restated, effective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February 26, 2004), was filed as Exhibit 10(b)(4) to Registrant’s Report on Form 10-Q dated November 2, 2004, and the</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same is hereby incorporated herein by reference.</w:t>
              </w:r>
            </w:hyperlink>
          </w:p>
        </w:tc>
        <w:tc>
          <w:tcPr>
            <w:tcW w:w="6000" w:type="dxa"/>
            <w:vAlign w:val="bottom"/>
            <w:tcBorders>
              <w:top w:val="single" w:sz="8" w:color="0000FF"/>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rFonts w:ascii="Arial" w:cs="Arial" w:eastAsia="Arial" w:hAnsi="Arial"/>
                <w:sz w:val="18"/>
                <w:szCs w:val="18"/>
                <w:color w:val="0000FF"/>
              </w:rPr>
            </w:pPr>
            <w:hyperlink r:id="rId64">
              <w:r>
                <w:rPr>
                  <w:rFonts w:ascii="Arial" w:cs="Arial" w:eastAsia="Arial" w:hAnsi="Arial"/>
                  <w:sz w:val="18"/>
                  <w:szCs w:val="18"/>
                  <w:color w:val="0000FF"/>
                </w:rPr>
                <w:t>Gentex Corporation 2002 Non-Employee Director Stock Option Plan (adopted March 6, 2002) was filed as Exhibit 10(b)(4) to</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Registrant’s Report on Form 10-Q dated April 30, 2002, and the same is hereby incorporated herein by reference.</w:t>
              </w:r>
            </w:hyperlink>
          </w:p>
        </w:tc>
        <w:tc>
          <w:tcPr>
            <w:tcW w:w="960" w:type="dxa"/>
            <w:vAlign w:val="bottom"/>
            <w:gridSpan w:val="4"/>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65">
              <w:r>
                <w:rPr>
                  <w:rFonts w:ascii="Arial" w:cs="Arial" w:eastAsia="Arial" w:hAnsi="Arial"/>
                  <w:sz w:val="18"/>
                  <w:szCs w:val="18"/>
                  <w:color w:val="0000FF"/>
                </w:rPr>
                <w:t>Specimen form of Grant Agreement for the Gentex Corporation 2002 Non-Employee Director Stock Option Plan (as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amended and restated, effective February 26, 2004), was filed as Exhibit 10(b)(6) to Registrant’s Report on Form 10-Q dated</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November 2, 2004, and the same is hereby incorporated herein by reference.</w:t>
              </w:r>
            </w:hyperlink>
          </w:p>
        </w:tc>
        <w:tc>
          <w:tcPr>
            <w:tcW w:w="40" w:type="dxa"/>
            <w:vAlign w:val="bottom"/>
            <w:gridSpan w:val="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66">
              <w:r>
                <w:rPr>
                  <w:rFonts w:ascii="Arial" w:cs="Arial" w:eastAsia="Arial" w:hAnsi="Arial"/>
                  <w:sz w:val="18"/>
                  <w:szCs w:val="18"/>
                  <w:color w:val="0000FF"/>
                </w:rPr>
                <w:t>Gentex Corporation 2012 Amended and Restated Non-Employee Director Stock Option Plan (effective February 16, 2012</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41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and approved by the shareholders on May 17, 2012), was filed as Exhibit 10(b)(10) to Registrant's Report on Form 10-Q</w:t>
              </w:r>
            </w:hyperlink>
          </w:p>
        </w:tc>
        <w:tc>
          <w:tcPr>
            <w:tcW w:w="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dated August 2, 2012, and the same is incorporated herein by reference.</w:t>
              </w:r>
            </w:hyperlink>
          </w:p>
        </w:tc>
        <w:tc>
          <w:tcPr>
            <w:tcW w:w="4220" w:type="dxa"/>
            <w:vAlign w:val="bottom"/>
            <w:gridSpan w:val="10"/>
          </w:tcPr>
          <w:p>
            <w:pPr>
              <w:spacing w:after="0"/>
              <w:rPr>
                <w:sz w:val="15"/>
                <w:szCs w:val="15"/>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67">
              <w:r>
                <w:rPr>
                  <w:rFonts w:ascii="Arial" w:cs="Arial" w:eastAsia="Arial" w:hAnsi="Arial"/>
                  <w:sz w:val="18"/>
                  <w:szCs w:val="18"/>
                  <w:color w:val="0000FF"/>
                </w:rPr>
                <w:t>Specimen form of Grant Agreement for the Gentex Corporation 2012 Amended and Restated Non-Employee Director Stock</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320" w:type="dxa"/>
            <w:vAlign w:val="bottom"/>
            <w:gridSpan w:val="1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Option Plan, was filed as Exhibit 10(b)(11) to Registrant's Report on Form 10-Q dated August 2, 2012, and the same is</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incorporated herein by reference.</w:t>
              </w:r>
            </w:hyperlink>
          </w:p>
        </w:tc>
        <w:tc>
          <w:tcPr>
            <w:tcW w:w="40" w:type="dxa"/>
            <w:vAlign w:val="bottom"/>
            <w:gridSpan w:val="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6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FF"/>
              </w:rPr>
            </w:pPr>
            <w:hyperlink r:id="rId68">
              <w:r>
                <w:rPr>
                  <w:rFonts w:ascii="Arial" w:cs="Arial" w:eastAsia="Arial" w:hAnsi="Arial"/>
                  <w:sz w:val="18"/>
                  <w:szCs w:val="18"/>
                  <w:color w:val="0000FF"/>
                </w:rPr>
                <w:t>The form of Indemnity Agreement between Registrant and each of the Registrant’s directors and certain officers was filed as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160" w:type="dxa"/>
            <w:vAlign w:val="bottom"/>
            <w:gridSpan w:val="1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Exhibit 10(e) to Registrant’s Report on Form 10-Q dated October 31, 2002, and the same is hereby incorporated herein by</w:t>
              </w:r>
            </w:hyperlink>
          </w:p>
        </w:tc>
      </w:tr>
      <w:tr>
        <w:trPr>
          <w:trHeight w:val="183"/>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gridSpan w:val="18"/>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reference.</w:t>
              </w:r>
            </w:hyperlink>
          </w:p>
        </w:tc>
      </w:tr>
      <w:tr>
        <w:trPr>
          <w:trHeight w:val="61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140" w:type="dxa"/>
            <w:vAlign w:val="bottom"/>
            <w:gridSpan w:val="5"/>
          </w:tcPr>
          <w:p>
            <w:pPr>
              <w:jc w:val="right"/>
              <w:ind w:right="540"/>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67" w:name="page68"/>
    <w:bookmarkEnd w:id="67"/>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10.11</w:t>
            </w:r>
          </w:p>
        </w:tc>
        <w:tc>
          <w:tcPr>
            <w:tcW w:w="9980" w:type="dxa"/>
            <w:vAlign w:val="bottom"/>
            <w:tcBorders>
              <w:bottom w:val="single" w:sz="8" w:color="0000FF"/>
            </w:tcBorders>
            <w:gridSpan w:val="15"/>
          </w:tcPr>
          <w:p>
            <w:pPr>
              <w:spacing w:after="0"/>
              <w:rPr>
                <w:rFonts w:ascii="Arial" w:cs="Arial" w:eastAsia="Arial" w:hAnsi="Arial"/>
                <w:sz w:val="18"/>
                <w:szCs w:val="18"/>
                <w:color w:val="0000FF"/>
              </w:rPr>
            </w:pPr>
            <w:hyperlink r:id="rId69">
              <w:r>
                <w:rPr>
                  <w:rFonts w:ascii="Arial" w:cs="Arial" w:eastAsia="Arial" w:hAnsi="Arial"/>
                  <w:sz w:val="18"/>
                  <w:szCs w:val="18"/>
                  <w:color w:val="0000FF"/>
                </w:rPr>
                <w:t>Credit Agreement, dated September 27, 2013, by and between the Company, the Agent, the Syndication Agent, the</w:t>
              </w:r>
            </w:hyperlink>
          </w:p>
        </w:tc>
      </w:tr>
      <w:tr>
        <w:trPr>
          <w:trHeight w:val="183"/>
        </w:trPr>
        <w:tc>
          <w:tcPr>
            <w:tcW w:w="1380" w:type="dxa"/>
            <w:vAlign w:val="bottom"/>
          </w:tcPr>
          <w:p>
            <w:pPr>
              <w:spacing w:after="0"/>
              <w:rPr>
                <w:sz w:val="15"/>
                <w:szCs w:val="15"/>
                <w:color w:val="auto"/>
              </w:rPr>
            </w:pPr>
          </w:p>
        </w:tc>
        <w:tc>
          <w:tcPr>
            <w:tcW w:w="9980" w:type="dxa"/>
            <w:vAlign w:val="bottom"/>
            <w:gridSpan w:val="15"/>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Arranger, and the lenders thereto was filed as exhibit 10.1 to Registrant's Report on Form 8-K filed October 3, 2013, and the</w:t>
              </w:r>
            </w:hyperlink>
          </w:p>
        </w:tc>
      </w:tr>
      <w:tr>
        <w:trPr>
          <w:trHeight w:val="183"/>
        </w:trPr>
        <w:tc>
          <w:tcPr>
            <w:tcW w:w="138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same is hereby incorporated herein by reference.</w:t>
              </w:r>
            </w:hyperlink>
          </w:p>
        </w:tc>
        <w:tc>
          <w:tcPr>
            <w:tcW w:w="5980" w:type="dxa"/>
            <w:vAlign w:val="bottom"/>
            <w:tcBorders>
              <w:top w:val="single" w:sz="8" w:color="0000FF"/>
            </w:tcBorders>
            <w:gridSpan w:val="5"/>
          </w:tcPr>
          <w:p>
            <w:pPr>
              <w:spacing w:after="0"/>
              <w:rPr>
                <w:sz w:val="15"/>
                <w:szCs w:val="15"/>
                <w:color w:val="auto"/>
              </w:rPr>
            </w:pPr>
          </w:p>
        </w:tc>
        <w:tc>
          <w:tcPr>
            <w:tcW w:w="80" w:type="dxa"/>
            <w:vAlign w:val="bottom"/>
          </w:tcPr>
          <w:p>
            <w:pPr>
              <w:spacing w:after="0"/>
              <w:rPr>
                <w:sz w:val="15"/>
                <w:szCs w:val="15"/>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*10.12</w:t>
            </w:r>
          </w:p>
        </w:tc>
        <w:tc>
          <w:tcPr>
            <w:tcW w:w="9980" w:type="dxa"/>
            <w:vAlign w:val="bottom"/>
            <w:tcBorders>
              <w:bottom w:val="single" w:sz="8" w:color="0000FF"/>
            </w:tcBorders>
            <w:gridSpan w:val="15"/>
          </w:tcPr>
          <w:p>
            <w:pPr>
              <w:spacing w:after="0"/>
              <w:rPr>
                <w:rFonts w:ascii="Arial" w:cs="Arial" w:eastAsia="Arial" w:hAnsi="Arial"/>
                <w:sz w:val="18"/>
                <w:szCs w:val="18"/>
                <w:color w:val="0000FF"/>
              </w:rPr>
            </w:pPr>
            <w:hyperlink r:id="rId55">
              <w:r>
                <w:rPr>
                  <w:rFonts w:ascii="Arial" w:cs="Arial" w:eastAsia="Arial" w:hAnsi="Arial"/>
                  <w:sz w:val="18"/>
                  <w:szCs w:val="18"/>
                  <w:color w:val="0000FF"/>
                </w:rPr>
                <w:t>Gentex Corporation Employee Stock Option Plan (as amended and restated, effective February 20, 2014) was included in</w:t>
              </w:r>
            </w:hyperlink>
          </w:p>
        </w:tc>
      </w:tr>
      <w:tr>
        <w:trPr>
          <w:trHeight w:val="183"/>
        </w:trPr>
        <w:tc>
          <w:tcPr>
            <w:tcW w:w="1380" w:type="dxa"/>
            <w:vAlign w:val="bottom"/>
          </w:tcPr>
          <w:p>
            <w:pPr>
              <w:spacing w:after="0"/>
              <w:rPr>
                <w:sz w:val="15"/>
                <w:szCs w:val="15"/>
                <w:color w:val="auto"/>
              </w:rPr>
            </w:pPr>
          </w:p>
        </w:tc>
        <w:tc>
          <w:tcPr>
            <w:tcW w:w="9980" w:type="dxa"/>
            <w:vAlign w:val="bottom"/>
            <w:gridSpan w:val="15"/>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Registrant's Proxy Statement filed with the Commission on March 31, 2014, and the same is hereby incorporated herein by</w:t>
              </w:r>
            </w:hyperlink>
          </w:p>
        </w:tc>
      </w:tr>
      <w:tr>
        <w:trPr>
          <w:trHeight w:val="183"/>
        </w:trPr>
        <w:tc>
          <w:tcPr>
            <w:tcW w:w="1380" w:type="dxa"/>
            <w:vAlign w:val="bottom"/>
          </w:tcPr>
          <w:p>
            <w:pPr>
              <w:spacing w:after="0"/>
              <w:rPr>
                <w:sz w:val="15"/>
                <w:szCs w:val="15"/>
                <w:color w:val="auto"/>
              </w:rPr>
            </w:pPr>
          </w:p>
        </w:tc>
        <w:tc>
          <w:tcPr>
            <w:tcW w:w="99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reference.</w:t>
              </w:r>
            </w:hyperlink>
          </w:p>
        </w:tc>
        <w:tc>
          <w:tcPr>
            <w:tcW w:w="8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*10.13</w:t>
            </w:r>
          </w:p>
        </w:tc>
        <w:tc>
          <w:tcPr>
            <w:tcW w:w="9980" w:type="dxa"/>
            <w:vAlign w:val="bottom"/>
            <w:gridSpan w:val="15"/>
          </w:tcPr>
          <w:p>
            <w:pPr>
              <w:spacing w:after="0"/>
              <w:rPr>
                <w:rFonts w:ascii="Arial" w:cs="Arial" w:eastAsia="Arial" w:hAnsi="Arial"/>
                <w:sz w:val="18"/>
                <w:szCs w:val="18"/>
                <w:color w:val="0000FF"/>
              </w:rPr>
            </w:pPr>
            <w:hyperlink r:id="rId70">
              <w:r>
                <w:rPr>
                  <w:rFonts w:ascii="Arial" w:cs="Arial" w:eastAsia="Arial" w:hAnsi="Arial"/>
                  <w:sz w:val="18"/>
                  <w:szCs w:val="18"/>
                  <w:color w:val="0000FF"/>
                </w:rPr>
                <w:t>Specimen form of Grant Agreement for the Gentex Corporation Employee Stock Option Plan (as amended and restated,</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effective February 10, 2014 was filed as exhibit 10.3 to Registrant's Report on Form 10-Q filed August 7, 2014, and the same</w:t>
              </w:r>
            </w:hyperlink>
          </w:p>
        </w:tc>
      </w:tr>
      <w:tr>
        <w:trPr>
          <w:trHeight w:val="183"/>
        </w:trPr>
        <w:tc>
          <w:tcPr>
            <w:tcW w:w="1380" w:type="dxa"/>
            <w:vAlign w:val="bottom"/>
          </w:tcPr>
          <w:p>
            <w:pPr>
              <w:spacing w:after="0"/>
              <w:rPr>
                <w:sz w:val="15"/>
                <w:szCs w:val="15"/>
                <w:color w:val="auto"/>
              </w:rPr>
            </w:pPr>
          </w:p>
        </w:tc>
        <w:tc>
          <w:tcPr>
            <w:tcW w:w="9980" w:type="dxa"/>
            <w:vAlign w:val="bottom"/>
            <w:gridSpan w:val="15"/>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is hereby incorporated herein by reference.</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*10.14</w:t>
            </w:r>
          </w:p>
        </w:tc>
        <w:tc>
          <w:tcPr>
            <w:tcW w:w="9980" w:type="dxa"/>
            <w:vAlign w:val="bottom"/>
            <w:gridSpan w:val="15"/>
          </w:tcPr>
          <w:p>
            <w:pPr>
              <w:spacing w:after="0"/>
              <w:rPr>
                <w:rFonts w:ascii="Arial" w:cs="Arial" w:eastAsia="Arial" w:hAnsi="Arial"/>
                <w:sz w:val="18"/>
                <w:szCs w:val="18"/>
                <w:color w:val="0000FF"/>
              </w:rPr>
            </w:pPr>
            <w:hyperlink r:id="rId55">
              <w:r>
                <w:rPr>
                  <w:rFonts w:ascii="Arial" w:cs="Arial" w:eastAsia="Arial" w:hAnsi="Arial"/>
                  <w:sz w:val="18"/>
                  <w:szCs w:val="18"/>
                  <w:color w:val="0000FF"/>
                </w:rPr>
                <w:t>Amendment to the Gentex Corporation 2012 Amended and Restated Non-Employee Director Stock Option Plan (effective</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February 16, 2012) was included in the Registrant's Proxy Statement filed with the Commission on March 31, 2014, and the</w:t>
              </w:r>
            </w:hyperlink>
          </w:p>
        </w:tc>
      </w:tr>
      <w:tr>
        <w:trPr>
          <w:trHeight w:val="183"/>
        </w:trPr>
        <w:tc>
          <w:tcPr>
            <w:tcW w:w="1380" w:type="dxa"/>
            <w:vAlign w:val="bottom"/>
          </w:tcPr>
          <w:p>
            <w:pPr>
              <w:spacing w:after="0"/>
              <w:rPr>
                <w:sz w:val="15"/>
                <w:szCs w:val="15"/>
                <w:color w:val="auto"/>
              </w:rPr>
            </w:pPr>
          </w:p>
        </w:tc>
        <w:tc>
          <w:tcPr>
            <w:tcW w:w="392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same is hereby incorporated herein by reference.</w:t>
              </w:r>
            </w:hyperlink>
          </w:p>
        </w:tc>
        <w:tc>
          <w:tcPr>
            <w:tcW w:w="6060" w:type="dxa"/>
            <w:vAlign w:val="bottom"/>
            <w:gridSpan w:val="6"/>
          </w:tcPr>
          <w:p>
            <w:pPr>
              <w:spacing w:after="0"/>
              <w:rPr>
                <w:sz w:val="15"/>
                <w:szCs w:val="15"/>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*10.15</w:t>
            </w:r>
          </w:p>
        </w:tc>
        <w:tc>
          <w:tcPr>
            <w:tcW w:w="9980" w:type="dxa"/>
            <w:vAlign w:val="bottom"/>
            <w:gridSpan w:val="15"/>
          </w:tcPr>
          <w:p>
            <w:pPr>
              <w:spacing w:after="0"/>
              <w:rPr>
                <w:rFonts w:ascii="Arial" w:cs="Arial" w:eastAsia="Arial" w:hAnsi="Arial"/>
                <w:sz w:val="18"/>
                <w:szCs w:val="18"/>
                <w:color w:val="0000FF"/>
              </w:rPr>
            </w:pPr>
            <w:hyperlink r:id="rId71">
              <w:r>
                <w:rPr>
                  <w:rFonts w:ascii="Arial" w:cs="Arial" w:eastAsia="Arial" w:hAnsi="Arial"/>
                  <w:sz w:val="18"/>
                  <w:szCs w:val="18"/>
                  <w:color w:val="0000FF"/>
                </w:rPr>
                <w:t>Specimen form of Grant Agreement for the Gentex Corporation 2012 Amended and Restated Non-Employee Director Stock</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Option Plan, as amended was filed as exhibit 10.5 to Registrant's Report on Form 10-Q filed August 7, 2014, and the same is</w:t>
              </w:r>
            </w:hyperlink>
          </w:p>
        </w:tc>
      </w:tr>
      <w:tr>
        <w:trPr>
          <w:trHeight w:val="183"/>
        </w:trPr>
        <w:tc>
          <w:tcPr>
            <w:tcW w:w="1380" w:type="dxa"/>
            <w:vAlign w:val="bottom"/>
          </w:tcPr>
          <w:p>
            <w:pPr>
              <w:spacing w:after="0"/>
              <w:rPr>
                <w:sz w:val="15"/>
                <w:szCs w:val="15"/>
                <w:color w:val="auto"/>
              </w:rPr>
            </w:pPr>
          </w:p>
        </w:tc>
        <w:tc>
          <w:tcPr>
            <w:tcW w:w="9980" w:type="dxa"/>
            <w:vAlign w:val="bottom"/>
            <w:gridSpan w:val="15"/>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hereby incorporated herein by reference.</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gridSpan w:val="15"/>
          </w:tcPr>
          <w:p>
            <w:pPr>
              <w:spacing w:after="0"/>
              <w:rPr>
                <w:rFonts w:ascii="Arial" w:cs="Arial" w:eastAsia="Arial" w:hAnsi="Arial"/>
                <w:sz w:val="18"/>
                <w:szCs w:val="18"/>
                <w:color w:val="0000FF"/>
              </w:rPr>
            </w:pPr>
            <w:hyperlink r:id="rId72">
              <w:r>
                <w:rPr>
                  <w:rFonts w:ascii="Arial" w:cs="Arial" w:eastAsia="Arial" w:hAnsi="Arial"/>
                  <w:sz w:val="18"/>
                  <w:szCs w:val="18"/>
                  <w:color w:val="0000FF"/>
                </w:rPr>
                <w:t>ISDA Master Agreement between Wells Fargo Bank, N.A. and Gentex Corporation dated as of October 1, 2014 (with</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72">
              <w:r>
                <w:rPr>
                  <w:rFonts w:ascii="Arial" w:cs="Arial" w:eastAsia="Arial" w:hAnsi="Arial"/>
                  <w:sz w:val="18"/>
                  <w:szCs w:val="18"/>
                  <w:color w:val="0000FF"/>
                </w:rPr>
                <w:t>Schedule to the Master Agreement) was filed as Exhibit 10.1 to Registrant's Report on Form 10-Q dated November 10, 2014</w:t>
              </w:r>
            </w:hyperlink>
          </w:p>
        </w:tc>
      </w:tr>
      <w:tr>
        <w:trPr>
          <w:trHeight w:val="183"/>
        </w:trPr>
        <w:tc>
          <w:tcPr>
            <w:tcW w:w="1380" w:type="dxa"/>
            <w:vAlign w:val="bottom"/>
          </w:tcPr>
          <w:p>
            <w:pPr>
              <w:spacing w:after="0"/>
              <w:rPr>
                <w:sz w:val="15"/>
                <w:szCs w:val="15"/>
                <w:color w:val="auto"/>
              </w:rPr>
            </w:pPr>
          </w:p>
        </w:tc>
        <w:tc>
          <w:tcPr>
            <w:tcW w:w="9980" w:type="dxa"/>
            <w:vAlign w:val="bottom"/>
            <w:gridSpan w:val="15"/>
          </w:tcPr>
          <w:p>
            <w:pPr>
              <w:spacing w:after="0" w:line="182" w:lineRule="exact"/>
              <w:rPr>
                <w:rFonts w:ascii="Arial" w:cs="Arial" w:eastAsia="Arial" w:hAnsi="Arial"/>
                <w:sz w:val="18"/>
                <w:szCs w:val="18"/>
                <w:color w:val="0000FF"/>
              </w:rPr>
            </w:pPr>
            <w:hyperlink r:id="rId72">
              <w:r>
                <w:rPr>
                  <w:rFonts w:ascii="Arial" w:cs="Arial" w:eastAsia="Arial" w:hAnsi="Arial"/>
                  <w:sz w:val="18"/>
                  <w:szCs w:val="18"/>
                  <w:color w:val="0000FF"/>
                </w:rPr>
                <w:t>and the same is hereby incorporated herein by reference.</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*10.17</w:t>
            </w:r>
          </w:p>
        </w:tc>
        <w:tc>
          <w:tcPr>
            <w:tcW w:w="9980" w:type="dxa"/>
            <w:vAlign w:val="bottom"/>
            <w:tcBorders>
              <w:bottom w:val="single" w:sz="8" w:color="0000FF"/>
            </w:tcBorders>
            <w:gridSpan w:val="15"/>
          </w:tcPr>
          <w:p>
            <w:pPr>
              <w:spacing w:after="0"/>
              <w:rPr>
                <w:rFonts w:ascii="Arial" w:cs="Arial" w:eastAsia="Arial" w:hAnsi="Arial"/>
                <w:sz w:val="18"/>
                <w:szCs w:val="18"/>
                <w:color w:val="0000FF"/>
              </w:rPr>
            </w:pPr>
            <w:hyperlink r:id="rId73">
              <w:r>
                <w:rPr>
                  <w:rFonts w:ascii="Arial" w:cs="Arial" w:eastAsia="Arial" w:hAnsi="Arial"/>
                  <w:sz w:val="18"/>
                  <w:szCs w:val="18"/>
                  <w:color w:val="0000FF"/>
                </w:rPr>
                <w:t>Second amendment to the Gentex Corporation Second Restricted Stock Plan (as amended on February 8, 2008) was</w:t>
              </w:r>
            </w:hyperlink>
          </w:p>
        </w:tc>
      </w:tr>
      <w:tr>
        <w:trPr>
          <w:trHeight w:val="183"/>
        </w:trPr>
        <w:tc>
          <w:tcPr>
            <w:tcW w:w="1380" w:type="dxa"/>
            <w:vAlign w:val="bottom"/>
          </w:tcPr>
          <w:p>
            <w:pPr>
              <w:spacing w:after="0"/>
              <w:rPr>
                <w:sz w:val="15"/>
                <w:szCs w:val="15"/>
                <w:color w:val="auto"/>
              </w:rPr>
            </w:pPr>
          </w:p>
        </w:tc>
        <w:tc>
          <w:tcPr>
            <w:tcW w:w="998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73">
              <w:r>
                <w:rPr>
                  <w:rFonts w:ascii="Arial" w:cs="Arial" w:eastAsia="Arial" w:hAnsi="Arial"/>
                  <w:sz w:val="18"/>
                  <w:szCs w:val="18"/>
                  <w:color w:val="0000FF"/>
                </w:rPr>
                <w:t>included in the Registrant's proxy Statement filed with the Commission on April 2, 2015, and the same is hereby incorporated</w:t>
              </w:r>
            </w:hyperlink>
          </w:p>
        </w:tc>
      </w:tr>
      <w:tr>
        <w:trPr>
          <w:trHeight w:val="183"/>
        </w:trPr>
        <w:tc>
          <w:tcPr>
            <w:tcW w:w="1380" w:type="dxa"/>
            <w:vAlign w:val="bottom"/>
          </w:tcPr>
          <w:p>
            <w:pPr>
              <w:spacing w:after="0"/>
              <w:rPr>
                <w:sz w:val="15"/>
                <w:szCs w:val="15"/>
                <w:color w:val="auto"/>
              </w:rPr>
            </w:pPr>
          </w:p>
        </w:tc>
        <w:tc>
          <w:tcPr>
            <w:tcW w:w="16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herein by reference.</w:t>
              </w:r>
            </w:hyperlink>
          </w:p>
        </w:tc>
        <w:tc>
          <w:tcPr>
            <w:tcW w:w="8380" w:type="dxa"/>
            <w:vAlign w:val="bottom"/>
            <w:gridSpan w:val="12"/>
          </w:tcPr>
          <w:p>
            <w:pPr>
              <w:spacing w:after="0"/>
              <w:rPr>
                <w:sz w:val="15"/>
                <w:szCs w:val="15"/>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*10.18</w:t>
            </w:r>
          </w:p>
        </w:tc>
        <w:tc>
          <w:tcPr>
            <w:tcW w:w="9980" w:type="dxa"/>
            <w:vAlign w:val="bottom"/>
            <w:gridSpan w:val="15"/>
          </w:tcPr>
          <w:p>
            <w:pPr>
              <w:spacing w:after="0"/>
              <w:rPr>
                <w:rFonts w:ascii="Arial" w:cs="Arial" w:eastAsia="Arial" w:hAnsi="Arial"/>
                <w:sz w:val="18"/>
                <w:szCs w:val="18"/>
                <w:color w:val="0000FF"/>
              </w:rPr>
            </w:pPr>
            <w:hyperlink r:id="rId73">
              <w:r>
                <w:rPr>
                  <w:rFonts w:ascii="Arial" w:cs="Arial" w:eastAsia="Arial" w:hAnsi="Arial"/>
                  <w:sz w:val="18"/>
                  <w:szCs w:val="18"/>
                  <w:color w:val="0000FF"/>
                </w:rPr>
                <w:t>Amendment to the Gentex Corporation 2013 Employee Stock Purchase Plan (effective February 14, 2013) was included in</w:t>
              </w:r>
            </w:hyperlink>
          </w:p>
        </w:tc>
      </w:tr>
      <w:tr>
        <w:trPr>
          <w:trHeight w:val="183"/>
        </w:trPr>
        <w:tc>
          <w:tcPr>
            <w:tcW w:w="1380" w:type="dxa"/>
            <w:vAlign w:val="bottom"/>
          </w:tcPr>
          <w:p>
            <w:pPr>
              <w:spacing w:after="0"/>
              <w:rPr>
                <w:sz w:val="15"/>
                <w:szCs w:val="15"/>
                <w:color w:val="auto"/>
              </w:rPr>
            </w:pPr>
          </w:p>
        </w:tc>
        <w:tc>
          <w:tcPr>
            <w:tcW w:w="9900" w:type="dxa"/>
            <w:vAlign w:val="bottom"/>
            <w:tcBorders>
              <w:top w:val="single" w:sz="8" w:color="0000FF"/>
            </w:tcBorders>
            <w:gridSpan w:val="14"/>
          </w:tcPr>
          <w:p>
            <w:pPr>
              <w:spacing w:after="0" w:line="182"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the Registrant's Proxy Statement filed with the Commission on April 2, 2015, and is hereby incorporated herein by reference.</w:t>
              </w:r>
            </w:hyperlink>
          </w:p>
        </w:tc>
        <w:tc>
          <w:tcPr>
            <w:tcW w:w="8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tcBorders>
              <w:bottom w:val="single" w:sz="8" w:color="0000FF"/>
            </w:tcBorders>
            <w:gridSpan w:val="15"/>
          </w:tcPr>
          <w:p>
            <w:pPr>
              <w:spacing w:after="0"/>
              <w:rPr>
                <w:rFonts w:ascii="Arial" w:cs="Arial" w:eastAsia="Arial" w:hAnsi="Arial"/>
                <w:sz w:val="18"/>
                <w:szCs w:val="18"/>
                <w:color w:val="0000FF"/>
              </w:rPr>
            </w:pPr>
            <w:hyperlink r:id="rId74">
              <w:r>
                <w:rPr>
                  <w:rFonts w:ascii="Arial" w:cs="Arial" w:eastAsia="Arial" w:hAnsi="Arial"/>
                  <w:sz w:val="18"/>
                  <w:szCs w:val="18"/>
                  <w:color w:val="0000FF"/>
                </w:rPr>
                <w:t>Gentex Corporation Amended and Restated Annual Incentive Performance-Based Bonus Plan (as amended on February 15,</w:t>
              </w:r>
            </w:hyperlink>
          </w:p>
        </w:tc>
      </w:tr>
      <w:tr>
        <w:trPr>
          <w:trHeight w:val="183"/>
        </w:trPr>
        <w:tc>
          <w:tcPr>
            <w:tcW w:w="1380" w:type="dxa"/>
            <w:vAlign w:val="bottom"/>
          </w:tcPr>
          <w:p>
            <w:pPr>
              <w:spacing w:after="0"/>
              <w:rPr>
                <w:sz w:val="15"/>
                <w:szCs w:val="15"/>
                <w:color w:val="auto"/>
              </w:rPr>
            </w:pPr>
          </w:p>
        </w:tc>
        <w:tc>
          <w:tcPr>
            <w:tcW w:w="9980" w:type="dxa"/>
            <w:vAlign w:val="bottom"/>
            <w:gridSpan w:val="15"/>
          </w:tcPr>
          <w:p>
            <w:pPr>
              <w:spacing w:after="0" w:line="182" w:lineRule="exact"/>
              <w:rPr>
                <w:rFonts w:ascii="Arial" w:cs="Arial" w:eastAsia="Arial" w:hAnsi="Arial"/>
                <w:sz w:val="18"/>
                <w:szCs w:val="18"/>
                <w:color w:val="0000FF"/>
              </w:rPr>
            </w:pPr>
            <w:hyperlink r:id="rId74">
              <w:r>
                <w:rPr>
                  <w:rFonts w:ascii="Arial" w:cs="Arial" w:eastAsia="Arial" w:hAnsi="Arial"/>
                  <w:sz w:val="18"/>
                  <w:szCs w:val="18"/>
                  <w:color w:val="0000FF"/>
                </w:rPr>
                <w:t>2018) filed as an exhibit to Registrant's Report on Form 10-K dated February 21, 2018.</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138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tcBorders>
              <w:bottom w:val="single" w:sz="8" w:color="0000FF"/>
            </w:tcBorders>
            <w:gridSpan w:val="15"/>
          </w:tcPr>
          <w:p>
            <w:pPr>
              <w:spacing w:after="0"/>
              <w:rPr>
                <w:rFonts w:ascii="Arial" w:cs="Arial" w:eastAsia="Arial" w:hAnsi="Arial"/>
                <w:sz w:val="18"/>
                <w:szCs w:val="18"/>
                <w:color w:val="0000FF"/>
              </w:rPr>
            </w:pPr>
            <w:hyperlink r:id="rId75">
              <w:r>
                <w:rPr>
                  <w:rFonts w:ascii="Arial" w:cs="Arial" w:eastAsia="Arial" w:hAnsi="Arial"/>
                  <w:sz w:val="18"/>
                  <w:szCs w:val="18"/>
                  <w:color w:val="0000FF"/>
                </w:rPr>
                <w:t>Retirement from Service Agreement between Gentex Corporation and Fred Bauer filed as exhibit to Registrant's Report on</w:t>
              </w:r>
            </w:hyperlink>
          </w:p>
        </w:tc>
      </w:tr>
      <w:tr>
        <w:trPr>
          <w:trHeight w:val="183"/>
        </w:trPr>
        <w:tc>
          <w:tcPr>
            <w:tcW w:w="1380" w:type="dxa"/>
            <w:vAlign w:val="bottom"/>
          </w:tcPr>
          <w:p>
            <w:pPr>
              <w:spacing w:after="0"/>
              <w:rPr>
                <w:sz w:val="15"/>
                <w:szCs w:val="15"/>
                <w:color w:val="auto"/>
              </w:rPr>
            </w:pPr>
          </w:p>
        </w:tc>
        <w:tc>
          <w:tcPr>
            <w:tcW w:w="292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Form 10-K dated February 21, 2018.</w:t>
              </w:r>
            </w:hyperlink>
          </w:p>
        </w:tc>
        <w:tc>
          <w:tcPr>
            <w:tcW w:w="7060" w:type="dxa"/>
            <w:vAlign w:val="bottom"/>
            <w:gridSpan w:val="9"/>
          </w:tcPr>
          <w:p>
            <w:pPr>
              <w:spacing w:after="0"/>
              <w:rPr>
                <w:sz w:val="15"/>
                <w:szCs w:val="15"/>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8"/>
                <w:szCs w:val="18"/>
                <w:color w:val="auto"/>
              </w:rPr>
              <w:t>*10.21</w:t>
            </w:r>
          </w:p>
        </w:tc>
        <w:tc>
          <w:tcPr>
            <w:tcW w:w="9980" w:type="dxa"/>
            <w:vAlign w:val="bottom"/>
            <w:tcBorders>
              <w:bottom w:val="single" w:sz="8" w:color="0000FF"/>
            </w:tcBorders>
            <w:gridSpan w:val="15"/>
          </w:tcPr>
          <w:p>
            <w:pPr>
              <w:spacing w:after="0"/>
              <w:rPr>
                <w:rFonts w:ascii="Arial" w:cs="Arial" w:eastAsia="Arial" w:hAnsi="Arial"/>
                <w:sz w:val="18"/>
                <w:szCs w:val="18"/>
                <w:color w:val="0000FF"/>
              </w:rPr>
            </w:pPr>
            <w:hyperlink r:id="rId76">
              <w:r>
                <w:rPr>
                  <w:rFonts w:ascii="Arial" w:cs="Arial" w:eastAsia="Arial" w:hAnsi="Arial"/>
                  <w:sz w:val="18"/>
                  <w:szCs w:val="18"/>
                  <w:color w:val="0000FF"/>
                </w:rPr>
                <w:t>Employment Agreement between Gentex Corporation and Fred Bauer filed as exhibit to Registrant's Report on Form 10-K</w:t>
              </w:r>
            </w:hyperlink>
          </w:p>
        </w:tc>
      </w:tr>
      <w:tr>
        <w:trPr>
          <w:trHeight w:val="183"/>
        </w:trPr>
        <w:tc>
          <w:tcPr>
            <w:tcW w:w="1380" w:type="dxa"/>
            <w:vAlign w:val="bottom"/>
          </w:tcPr>
          <w:p>
            <w:pPr>
              <w:spacing w:after="0"/>
              <w:rPr>
                <w:sz w:val="15"/>
                <w:szCs w:val="15"/>
                <w:color w:val="auto"/>
              </w:rPr>
            </w:pPr>
          </w:p>
        </w:tc>
        <w:tc>
          <w:tcPr>
            <w:tcW w:w="2020" w:type="dxa"/>
            <w:vAlign w:val="bottom"/>
            <w:tcBorders>
              <w:bottom w:val="single" w:sz="8" w:color="0000FF"/>
            </w:tcBorders>
            <w:gridSpan w:val="4"/>
          </w:tcPr>
          <w:p>
            <w:pPr>
              <w:spacing w:after="0" w:line="182" w:lineRule="exact"/>
              <w:rPr>
                <w:rFonts w:ascii="Arial" w:cs="Arial" w:eastAsia="Arial" w:hAnsi="Arial"/>
                <w:sz w:val="18"/>
                <w:szCs w:val="18"/>
                <w:color w:val="0000FF"/>
                <w:w w:val="98"/>
              </w:rPr>
            </w:pPr>
            <w:hyperlink r:id="rId76">
              <w:r>
                <w:rPr>
                  <w:rFonts w:ascii="Arial" w:cs="Arial" w:eastAsia="Arial" w:hAnsi="Arial"/>
                  <w:sz w:val="18"/>
                  <w:szCs w:val="18"/>
                  <w:color w:val="0000FF"/>
                  <w:w w:val="98"/>
                </w:rPr>
                <w:t>dated February 21, 2018.</w:t>
              </w:r>
            </w:hyperlink>
          </w:p>
        </w:tc>
        <w:tc>
          <w:tcPr>
            <w:tcW w:w="7960" w:type="dxa"/>
            <w:vAlign w:val="bottom"/>
            <w:gridSpan w:val="11"/>
          </w:tcPr>
          <w:p>
            <w:pPr>
              <w:spacing w:after="0"/>
              <w:rPr>
                <w:sz w:val="15"/>
                <w:szCs w:val="15"/>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8"/>
                <w:szCs w:val="18"/>
                <w:color w:val="auto"/>
              </w:rPr>
              <w:t>*10.22</w:t>
            </w:r>
          </w:p>
        </w:tc>
        <w:tc>
          <w:tcPr>
            <w:tcW w:w="9980" w:type="dxa"/>
            <w:vAlign w:val="bottom"/>
            <w:tcBorders>
              <w:bottom w:val="single" w:sz="8" w:color="0000FF"/>
            </w:tcBorders>
            <w:gridSpan w:val="15"/>
          </w:tcPr>
          <w:p>
            <w:pPr>
              <w:spacing w:after="0"/>
              <w:rPr>
                <w:rFonts w:ascii="Arial" w:cs="Arial" w:eastAsia="Arial" w:hAnsi="Arial"/>
                <w:sz w:val="18"/>
                <w:szCs w:val="18"/>
                <w:color w:val="0000FF"/>
              </w:rPr>
            </w:pPr>
            <w:hyperlink r:id="rId77">
              <w:r>
                <w:rPr>
                  <w:rFonts w:ascii="Arial" w:cs="Arial" w:eastAsia="Arial" w:hAnsi="Arial"/>
                  <w:sz w:val="18"/>
                  <w:szCs w:val="18"/>
                  <w:color w:val="0000FF"/>
                </w:rPr>
                <w:t>Stock Redemption Agreement between Gentex Corporation and Fred Bauer filed as exhibit to Registrant's Report on Form</w:t>
              </w:r>
            </w:hyperlink>
          </w:p>
        </w:tc>
      </w:tr>
      <w:tr>
        <w:trPr>
          <w:trHeight w:val="183"/>
        </w:trPr>
        <w:tc>
          <w:tcPr>
            <w:tcW w:w="1380" w:type="dxa"/>
            <w:vAlign w:val="bottom"/>
          </w:tcPr>
          <w:p>
            <w:pPr>
              <w:spacing w:after="0"/>
              <w:rPr>
                <w:sz w:val="15"/>
                <w:szCs w:val="15"/>
                <w:color w:val="auto"/>
              </w:rPr>
            </w:pPr>
          </w:p>
        </w:tc>
        <w:tc>
          <w:tcPr>
            <w:tcW w:w="9980" w:type="dxa"/>
            <w:vAlign w:val="bottom"/>
            <w:gridSpan w:val="15"/>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10-K dated February 21, 2018.</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8"/>
                <w:szCs w:val="18"/>
                <w:color w:val="auto"/>
              </w:rPr>
              <w:t>*10.23</w:t>
            </w:r>
          </w:p>
        </w:tc>
        <w:tc>
          <w:tcPr>
            <w:tcW w:w="9980" w:type="dxa"/>
            <w:vAlign w:val="bottom"/>
            <w:tcBorders>
              <w:bottom w:val="single" w:sz="8" w:color="0000FF"/>
            </w:tcBorders>
            <w:gridSpan w:val="1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Gentex Corporation 2019 Omnibus Incentive Plan filed as exhibit to Registrant's Report on Form 10-K dated February 22,</w:t>
              </w:r>
            </w:hyperlink>
          </w:p>
        </w:tc>
      </w:tr>
      <w:tr>
        <w:trPr>
          <w:trHeight w:val="183"/>
        </w:trPr>
        <w:tc>
          <w:tcPr>
            <w:tcW w:w="1380" w:type="dxa"/>
            <w:vAlign w:val="bottom"/>
          </w:tcPr>
          <w:p>
            <w:pPr>
              <w:spacing w:after="0"/>
              <w:rPr>
                <w:sz w:val="15"/>
                <w:szCs w:val="15"/>
                <w:color w:val="auto"/>
              </w:rPr>
            </w:pPr>
          </w:p>
        </w:tc>
        <w:tc>
          <w:tcPr>
            <w:tcW w:w="400" w:type="dxa"/>
            <w:vAlign w:val="bottom"/>
            <w:tcBorders>
              <w:bottom w:val="single" w:sz="8" w:color="0000FF"/>
            </w:tcBorders>
          </w:tcPr>
          <w:p>
            <w:pPr>
              <w:spacing w:after="0" w:line="182" w:lineRule="exact"/>
              <w:rPr>
                <w:rFonts w:ascii="Arial" w:cs="Arial" w:eastAsia="Arial" w:hAnsi="Arial"/>
                <w:sz w:val="18"/>
                <w:szCs w:val="18"/>
                <w:color w:val="0000FF"/>
                <w:w w:val="94"/>
              </w:rPr>
            </w:pPr>
            <w:hyperlink w:anchor="page70">
              <w:r>
                <w:rPr>
                  <w:rFonts w:ascii="Arial" w:cs="Arial" w:eastAsia="Arial" w:hAnsi="Arial"/>
                  <w:sz w:val="18"/>
                  <w:szCs w:val="18"/>
                  <w:color w:val="0000FF"/>
                  <w:w w:val="94"/>
                </w:rPr>
                <w:t>2019</w:t>
              </w:r>
            </w:hyperlink>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*10.24</w:t>
            </w:r>
          </w:p>
        </w:tc>
        <w:tc>
          <w:tcPr>
            <w:tcW w:w="9980" w:type="dxa"/>
            <w:vAlign w:val="bottom"/>
            <w:gridSpan w:val="15"/>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Gentex Corporation Long-Term Incentive Plan filed as exhibit to Registrant's Report on Form 10-K dated February 22, 2019</w:t>
              </w:r>
            </w:hyperlink>
          </w:p>
        </w:tc>
      </w:tr>
      <w:tr>
        <w:trPr>
          <w:trHeight w:val="20"/>
        </w:trPr>
        <w:tc>
          <w:tcPr>
            <w:tcW w:w="1380" w:type="dxa"/>
            <w:vAlign w:val="bottom"/>
          </w:tcPr>
          <w:p>
            <w:pPr>
              <w:spacing w:after="0" w:line="20" w:lineRule="exact"/>
              <w:rPr>
                <w:sz w:val="1"/>
                <w:szCs w:val="1"/>
                <w:color w:val="auto"/>
              </w:rPr>
            </w:pPr>
          </w:p>
        </w:tc>
        <w:tc>
          <w:tcPr>
            <w:tcW w:w="4520" w:type="dxa"/>
            <w:vAlign w:val="bottom"/>
            <w:gridSpan w:val="10"/>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8"/>
                <w:szCs w:val="18"/>
                <w:color w:val="auto"/>
              </w:rPr>
              <w:t>*10.25</w:t>
            </w:r>
          </w:p>
        </w:tc>
        <w:tc>
          <w:tcPr>
            <w:tcW w:w="9980" w:type="dxa"/>
            <w:vAlign w:val="bottom"/>
            <w:gridSpan w:val="15"/>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Specimen form of Performance Share Award Agreement for the Gentex Corporation Long-Term Incentive Plan filed as exhibit</w:t>
              </w:r>
            </w:hyperlink>
          </w:p>
        </w:tc>
      </w:tr>
      <w:tr>
        <w:trPr>
          <w:trHeight w:val="183"/>
        </w:trPr>
        <w:tc>
          <w:tcPr>
            <w:tcW w:w="1380" w:type="dxa"/>
            <w:vAlign w:val="bottom"/>
          </w:tcPr>
          <w:p>
            <w:pPr>
              <w:spacing w:after="0"/>
              <w:rPr>
                <w:sz w:val="15"/>
                <w:szCs w:val="15"/>
                <w:color w:val="auto"/>
              </w:rPr>
            </w:pPr>
          </w:p>
        </w:tc>
        <w:tc>
          <w:tcPr>
            <w:tcW w:w="99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94">
              <w:r>
                <w:rPr>
                  <w:rFonts w:ascii="Arial" w:cs="Arial" w:eastAsia="Arial" w:hAnsi="Arial"/>
                  <w:sz w:val="18"/>
                  <w:szCs w:val="18"/>
                  <w:color w:val="0000FF"/>
                </w:rPr>
                <w:t>to Registrant's Report on Form 10-K filed February 22, 2019.</w:t>
              </w:r>
            </w:hyperlink>
          </w:p>
        </w:tc>
        <w:tc>
          <w:tcPr>
            <w:tcW w:w="8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4520" w:type="dxa"/>
            <w:vAlign w:val="bottom"/>
            <w:gridSpan w:val="10"/>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r>
      <w:tr>
        <w:trPr>
          <w:trHeight w:val="358"/>
        </w:trPr>
        <w:tc>
          <w:tcPr>
            <w:tcW w:w="1380" w:type="dxa"/>
            <w:vAlign w:val="bottom"/>
          </w:tcPr>
          <w:p>
            <w:pPr>
              <w:spacing w:after="0"/>
              <w:rPr>
                <w:sz w:val="20"/>
                <w:szCs w:val="20"/>
                <w:color w:val="auto"/>
              </w:rPr>
            </w:pPr>
            <w:r>
              <w:rPr>
                <w:rFonts w:ascii="Arial" w:cs="Arial" w:eastAsia="Arial" w:hAnsi="Arial"/>
                <w:sz w:val="18"/>
                <w:szCs w:val="18"/>
                <w:color w:val="auto"/>
              </w:rPr>
              <w:t>*10.26</w:t>
            </w:r>
          </w:p>
        </w:tc>
        <w:tc>
          <w:tcPr>
            <w:tcW w:w="998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Specimen form of Restricted Share Award Agreement for the Gentex Corporation Long-Term Incentive Plan filed as exhibit to</w:t>
              </w:r>
            </w:hyperlink>
          </w:p>
        </w:tc>
      </w:tr>
      <w:tr>
        <w:trPr>
          <w:trHeight w:val="183"/>
        </w:trPr>
        <w:tc>
          <w:tcPr>
            <w:tcW w:w="1380" w:type="dxa"/>
            <w:vAlign w:val="bottom"/>
          </w:tcPr>
          <w:p>
            <w:pPr>
              <w:spacing w:after="0"/>
              <w:rPr>
                <w:sz w:val="15"/>
                <w:szCs w:val="15"/>
                <w:color w:val="auto"/>
              </w:rPr>
            </w:pPr>
          </w:p>
        </w:tc>
        <w:tc>
          <w:tcPr>
            <w:tcW w:w="9980" w:type="dxa"/>
            <w:vAlign w:val="bottom"/>
            <w:gridSpan w:val="15"/>
          </w:tcPr>
          <w:p>
            <w:pPr>
              <w:spacing w:after="0" w:line="182" w:lineRule="exact"/>
              <w:rPr>
                <w:rFonts w:ascii="Arial" w:cs="Arial" w:eastAsia="Arial" w:hAnsi="Arial"/>
                <w:sz w:val="18"/>
                <w:szCs w:val="18"/>
                <w:color w:val="0000FF"/>
              </w:rPr>
            </w:pPr>
            <w:hyperlink w:anchor="page99">
              <w:r>
                <w:rPr>
                  <w:rFonts w:ascii="Arial" w:cs="Arial" w:eastAsia="Arial" w:hAnsi="Arial"/>
                  <w:sz w:val="18"/>
                  <w:szCs w:val="18"/>
                  <w:color w:val="0000FF"/>
                </w:rPr>
                <w:t>Registrant's Report on Form 10-K filed February 22,2019</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5" w:hanging="1385"/>
        <w:spacing w:after="0"/>
        <w:tabs>
          <w:tab w:leader="none" w:pos="1385" w:val="left"/>
        </w:tabs>
        <w:numPr>
          <w:ilvl w:val="0"/>
          <w:numId w:val="44"/>
        </w:numPr>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List of Company Subsidiaries</w:t>
        </w:r>
      </w:hyperlink>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23.1</w:t>
            </w:r>
          </w:p>
        </w:tc>
        <w:tc>
          <w:tcPr>
            <w:tcW w:w="9980" w:type="dxa"/>
            <w:vAlign w:val="bottom"/>
            <w:gridSpan w:val="4"/>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Consent of Independent Registered Public Accounting Firm</w:t>
              </w:r>
            </w:hyperlink>
          </w:p>
        </w:tc>
      </w:tr>
      <w:tr>
        <w:trPr>
          <w:trHeight w:val="20"/>
        </w:trPr>
        <w:tc>
          <w:tcPr>
            <w:tcW w:w="13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31.1</w:t>
            </w:r>
          </w:p>
        </w:tc>
        <w:tc>
          <w:tcPr>
            <w:tcW w:w="9980" w:type="dxa"/>
            <w:vAlign w:val="bottom"/>
            <w:tcBorders>
              <w:bottom w:val="single" w:sz="8" w:color="0000FF"/>
            </w:tcBorders>
            <w:gridSpan w:val="4"/>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83"/>
        </w:trPr>
        <w:tc>
          <w:tcPr>
            <w:tcW w:w="1380" w:type="dxa"/>
            <w:vAlign w:val="bottom"/>
          </w:tcPr>
          <w:p>
            <w:pPr>
              <w:spacing w:after="0"/>
              <w:rPr>
                <w:sz w:val="15"/>
                <w:szCs w:val="15"/>
                <w:color w:val="auto"/>
              </w:rPr>
            </w:pPr>
          </w:p>
        </w:tc>
        <w:tc>
          <w:tcPr>
            <w:tcW w:w="1400" w:type="dxa"/>
            <w:vAlign w:val="bottom"/>
            <w:tcBorders>
              <w:bottom w:val="single" w:sz="8" w:color="0000FF"/>
            </w:tcBorders>
          </w:tcPr>
          <w:p>
            <w:pPr>
              <w:spacing w:after="0" w:line="182" w:lineRule="exact"/>
              <w:rPr>
                <w:rFonts w:ascii="Arial" w:cs="Arial" w:eastAsia="Arial" w:hAnsi="Arial"/>
                <w:sz w:val="18"/>
                <w:szCs w:val="18"/>
                <w:color w:val="0000FF"/>
                <w:w w:val="98"/>
              </w:rPr>
            </w:pPr>
            <w:hyperlink w:anchor="page105">
              <w:r>
                <w:rPr>
                  <w:rFonts w:ascii="Arial" w:cs="Arial" w:eastAsia="Arial" w:hAnsi="Arial"/>
                  <w:sz w:val="18"/>
                  <w:szCs w:val="18"/>
                  <w:color w:val="0000FF"/>
                  <w:w w:val="98"/>
                </w:rPr>
                <w:t>(18 U.S.C. 1350).</w:t>
              </w:r>
            </w:hyperlink>
          </w:p>
        </w:tc>
        <w:tc>
          <w:tcPr>
            <w:tcW w:w="8580" w:type="dxa"/>
            <w:vAlign w:val="bottom"/>
            <w:gridSpan w:val="3"/>
          </w:tcPr>
          <w:p>
            <w:pPr>
              <w:spacing w:after="0"/>
              <w:rPr>
                <w:sz w:val="15"/>
                <w:szCs w:val="15"/>
                <w:color w:val="auto"/>
              </w:rPr>
            </w:pPr>
          </w:p>
        </w:tc>
      </w:tr>
      <w:tr>
        <w:trPr>
          <w:trHeight w:val="358"/>
        </w:trPr>
        <w:tc>
          <w:tcPr>
            <w:tcW w:w="1380" w:type="dxa"/>
            <w:vAlign w:val="bottom"/>
          </w:tcPr>
          <w:p>
            <w:pPr>
              <w:jc w:val="right"/>
              <w:ind w:right="950"/>
              <w:spacing w:after="0"/>
              <w:rPr>
                <w:sz w:val="20"/>
                <w:szCs w:val="20"/>
                <w:color w:val="auto"/>
              </w:rPr>
            </w:pPr>
            <w:r>
              <w:rPr>
                <w:rFonts w:ascii="Arial" w:cs="Arial" w:eastAsia="Arial" w:hAnsi="Arial"/>
                <w:sz w:val="18"/>
                <w:szCs w:val="18"/>
                <w:color w:val="auto"/>
                <w:w w:val="91"/>
              </w:rPr>
              <w:t>31.2</w:t>
            </w:r>
          </w:p>
        </w:tc>
        <w:tc>
          <w:tcPr>
            <w:tcW w:w="9980" w:type="dxa"/>
            <w:vAlign w:val="bottom"/>
            <w:gridSpan w:val="4"/>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Certificate of the Chief Financial Officer of Gentex Corporation pursuant to Section 302 of the Sarbanes-Oxley Act of 2002</w:t>
              </w:r>
            </w:hyperlink>
          </w:p>
        </w:tc>
      </w:tr>
      <w:tr>
        <w:trPr>
          <w:trHeight w:val="183"/>
        </w:trPr>
        <w:tc>
          <w:tcPr>
            <w:tcW w:w="1380" w:type="dxa"/>
            <w:vAlign w:val="bottom"/>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w:anchor="page106">
              <w:r>
                <w:rPr>
                  <w:rFonts w:ascii="Arial" w:cs="Arial" w:eastAsia="Arial" w:hAnsi="Arial"/>
                  <w:sz w:val="18"/>
                  <w:szCs w:val="18"/>
                  <w:color w:val="0000FF"/>
                  <w:w w:val="98"/>
                </w:rPr>
                <w:t>(18 U.S.C. 1350).</w:t>
              </w:r>
            </w:hyperlink>
          </w:p>
        </w:tc>
        <w:tc>
          <w:tcPr>
            <w:tcW w:w="85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bl>
    <w:p>
      <w:pPr>
        <w:spacing w:after="0" w:line="188" w:lineRule="exact"/>
        <w:rPr>
          <w:sz w:val="20"/>
          <w:szCs w:val="20"/>
          <w:color w:val="auto"/>
        </w:rPr>
      </w:pPr>
    </w:p>
    <w:p>
      <w:pPr>
        <w:ind w:left="1385" w:hanging="1385"/>
        <w:spacing w:after="0" w:line="246" w:lineRule="auto"/>
        <w:tabs>
          <w:tab w:leader="none" w:pos="1385" w:val="left"/>
        </w:tabs>
        <w:numPr>
          <w:ilvl w:val="0"/>
          <w:numId w:val="45"/>
        </w:numPr>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107">
        <w:r>
          <w:rPr>
            <w:rFonts w:ascii="Arial" w:cs="Arial" w:eastAsia="Arial" w:hAnsi="Arial"/>
            <w:sz w:val="18"/>
            <w:szCs w:val="18"/>
            <w:u w:val="single" w:color="auto"/>
            <w:color w:val="0000FF"/>
          </w:rPr>
          <w:t>Sarbanes-Oxley Act of 2002 (18 U.S.C. § 1350).</w:t>
        </w:r>
      </w:hyperlink>
    </w:p>
    <w:p>
      <w:pPr>
        <w:spacing w:after="0" w:line="35" w:lineRule="exact"/>
        <w:rPr>
          <w:rFonts w:ascii="Arial" w:cs="Arial" w:eastAsia="Arial" w:hAnsi="Arial"/>
          <w:sz w:val="18"/>
          <w:szCs w:val="18"/>
          <w:color w:val="auto"/>
        </w:rPr>
      </w:pPr>
    </w:p>
    <w:p>
      <w:pPr>
        <w:ind w:left="5"/>
        <w:spacing w:after="0"/>
        <w:tabs>
          <w:tab w:leader="none" w:pos="1365"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7"/>
          <w:szCs w:val="17"/>
          <w:color w:val="auto"/>
        </w:rPr>
        <w:t>XBRL Instance Document</w:t>
      </w:r>
    </w:p>
    <w:p>
      <w:pPr>
        <w:sectPr>
          <w:pgSz w:w="11900" w:h="16838" w:orient="portrait"/>
          <w:cols w:equalWidth="0" w:num="1">
            <w:col w:w="11365"/>
          </w:cols>
          <w:pgMar w:left="275" w:top="729" w:right="259" w:bottom="1440" w:gutter="0" w:footer="0" w:header="0"/>
        </w:sectPr>
      </w:pPr>
    </w:p>
    <w:p>
      <w:pPr>
        <w:spacing w:after="0" w:line="266" w:lineRule="exact"/>
        <w:rPr>
          <w:rFonts w:ascii="Arial" w:cs="Arial" w:eastAsia="Arial" w:hAnsi="Arial"/>
          <w:sz w:val="18"/>
          <w:szCs w:val="18"/>
          <w:color w:val="auto"/>
        </w:rPr>
      </w:pPr>
    </w:p>
    <w:p>
      <w:pPr>
        <w:jc w:val="center"/>
        <w:ind w:right="-4"/>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365"/>
          </w:cols>
          <w:pgMar w:left="275" w:top="729" w:right="25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34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*Indicates a compensatory plan or arrangement.</w:t>
      </w:r>
    </w:p>
    <w:p>
      <w:pPr>
        <w:spacing w:after="0" w:line="266"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179"/>
          </w:cols>
          <w:pgMar w:left="280" w:top="760"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GENTEX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OMNIBUS INCENTIVE PLAN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May 16, 2019)</w:t>
      </w:r>
    </w:p>
    <w:p>
      <w:pPr>
        <w:sectPr>
          <w:pgSz w:w="11900" w:h="16838" w:orient="portrait"/>
          <w:cols w:equalWidth="0" w:num="1">
            <w:col w:w="9019"/>
          </w:cols>
          <w:pgMar w:left="1440" w:top="360"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w:t>
            </w:r>
          </w:p>
        </w:tc>
        <w:tc>
          <w:tcPr>
            <w:tcW w:w="8080" w:type="dxa"/>
            <w:vAlign w:val="bottom"/>
            <w:gridSpan w:val="2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Purpose</w:t>
              </w:r>
            </w:hyperlink>
          </w:p>
        </w:tc>
        <w:tc>
          <w:tcPr>
            <w:tcW w:w="100" w:type="dxa"/>
            <w:vAlign w:val="bottom"/>
          </w:tcPr>
          <w:p>
            <w:pPr>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3</w:t>
              </w:r>
            </w:hyperlink>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Definitions</w:t>
              </w:r>
            </w:hyperlink>
          </w:p>
        </w:tc>
        <w:tc>
          <w:tcPr>
            <w:tcW w:w="7240" w:type="dxa"/>
            <w:vAlign w:val="bottom"/>
            <w:gridSpan w:val="22"/>
          </w:tcPr>
          <w:p>
            <w:pPr>
              <w:spacing w:after="0"/>
              <w:rPr>
                <w:sz w:val="20"/>
                <w:szCs w:val="20"/>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3</w:t>
              </w:r>
            </w:hyperlink>
          </w:p>
        </w:tc>
        <w:tc>
          <w:tcPr>
            <w:tcW w:w="100" w:type="dxa"/>
            <w:vAlign w:val="bottom"/>
          </w:tcPr>
          <w:p>
            <w:pPr>
              <w:spacing w:after="0"/>
              <w:rPr>
                <w:sz w:val="20"/>
                <w:szCs w:val="20"/>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3.</w:t>
            </w:r>
          </w:p>
        </w:tc>
        <w:tc>
          <w:tcPr>
            <w:tcW w:w="216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Shares Subject to this Plan</w:t>
              </w:r>
            </w:hyperlink>
          </w:p>
        </w:tc>
        <w:tc>
          <w:tcPr>
            <w:tcW w:w="5920" w:type="dxa"/>
            <w:vAlign w:val="bottom"/>
            <w:gridSpan w:val="8"/>
          </w:tcPr>
          <w:p>
            <w:pPr>
              <w:spacing w:after="0"/>
              <w:rPr>
                <w:sz w:val="20"/>
                <w:szCs w:val="20"/>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8</w:t>
              </w:r>
            </w:hyperlink>
          </w:p>
        </w:tc>
        <w:tc>
          <w:tcPr>
            <w:tcW w:w="100" w:type="dxa"/>
            <w:vAlign w:val="bottom"/>
          </w:tcPr>
          <w:p>
            <w:pPr>
              <w:spacing w:after="0"/>
              <w:rPr>
                <w:sz w:val="20"/>
                <w:szCs w:val="20"/>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4.</w:t>
            </w:r>
          </w:p>
        </w:tc>
        <w:tc>
          <w:tcPr>
            <w:tcW w:w="8080" w:type="dxa"/>
            <w:vAlign w:val="bottom"/>
            <w:gridSpan w:val="2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Option Rights</w:t>
              </w:r>
            </w:hyperlink>
          </w:p>
        </w:tc>
        <w:tc>
          <w:tcPr>
            <w:tcW w:w="100" w:type="dxa"/>
            <w:vAlign w:val="bottom"/>
          </w:tcPr>
          <w:p>
            <w:pPr>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9</w:t>
              </w:r>
            </w:hyperlink>
          </w:p>
        </w:tc>
        <w:tc>
          <w:tcPr>
            <w:tcW w:w="1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5.</w:t>
            </w:r>
          </w:p>
        </w:tc>
        <w:tc>
          <w:tcPr>
            <w:tcW w:w="156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79">
              <w:r>
                <w:rPr>
                  <w:rFonts w:ascii="Arial" w:cs="Arial" w:eastAsia="Arial" w:hAnsi="Arial"/>
                  <w:sz w:val="18"/>
                  <w:szCs w:val="18"/>
                  <w:color w:val="0000EE"/>
                  <w:w w:val="98"/>
                </w:rPr>
                <w:t>Appreciation Rights</w:t>
              </w:r>
            </w:hyperlink>
          </w:p>
        </w:tc>
        <w:tc>
          <w:tcPr>
            <w:tcW w:w="6520" w:type="dxa"/>
            <w:vAlign w:val="bottom"/>
            <w:gridSpan w:val="13"/>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10</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6.</w:t>
            </w:r>
          </w:p>
        </w:tc>
        <w:tc>
          <w:tcPr>
            <w:tcW w:w="8080" w:type="dxa"/>
            <w:vAlign w:val="bottom"/>
            <w:gridSpan w:val="2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Restricted Stock</w:t>
              </w:r>
            </w:hyperlink>
          </w:p>
        </w:tc>
        <w:tc>
          <w:tcPr>
            <w:tcW w:w="200" w:type="dxa"/>
            <w:vAlign w:val="bottom"/>
            <w:gridSpan w:val="2"/>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13</w:t>
              </w:r>
            </w:hyperlink>
          </w:p>
        </w:tc>
      </w:tr>
      <w:tr>
        <w:trPr>
          <w:trHeight w:val="20"/>
        </w:trPr>
        <w:tc>
          <w:tcPr>
            <w:tcW w:w="10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7.</w:t>
            </w:r>
          </w:p>
        </w:tc>
        <w:tc>
          <w:tcPr>
            <w:tcW w:w="8080" w:type="dxa"/>
            <w:vAlign w:val="bottom"/>
            <w:gridSpan w:val="2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Restricted Stock Units</w:t>
              </w:r>
            </w:hyperlink>
          </w:p>
        </w:tc>
        <w:tc>
          <w:tcPr>
            <w:tcW w:w="200" w:type="dxa"/>
            <w:vAlign w:val="bottom"/>
            <w:gridSpan w:val="2"/>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13</w:t>
              </w:r>
            </w:hyperlink>
          </w:p>
        </w:tc>
      </w:tr>
      <w:tr>
        <w:trPr>
          <w:trHeight w:val="20"/>
        </w:trPr>
        <w:tc>
          <w:tcPr>
            <w:tcW w:w="10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8.</w:t>
            </w:r>
          </w:p>
        </w:tc>
        <w:tc>
          <w:tcPr>
            <w:tcW w:w="35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Performance Shares and Performance Units</w:t>
              </w:r>
            </w:hyperlink>
          </w:p>
        </w:tc>
        <w:tc>
          <w:tcPr>
            <w:tcW w:w="4540" w:type="dxa"/>
            <w:vAlign w:val="bottom"/>
            <w:gridSpan w:val="2"/>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13</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84">
              <w:r>
                <w:rPr>
                  <w:rFonts w:ascii="Arial" w:cs="Arial" w:eastAsia="Arial" w:hAnsi="Arial"/>
                  <w:sz w:val="18"/>
                  <w:szCs w:val="18"/>
                  <w:color w:val="0000EE"/>
                  <w:w w:val="98"/>
                </w:rPr>
                <w:t>Other Awards</w:t>
              </w:r>
            </w:hyperlink>
          </w:p>
        </w:tc>
        <w:tc>
          <w:tcPr>
            <w:tcW w:w="6980" w:type="dxa"/>
            <w:vAlign w:val="bottom"/>
            <w:gridSpan w:val="19"/>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14</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10.</w:t>
            </w:r>
          </w:p>
        </w:tc>
        <w:tc>
          <w:tcPr>
            <w:tcW w:w="8080" w:type="dxa"/>
            <w:vAlign w:val="bottom"/>
            <w:gridSpan w:val="2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Awards to Non-Employee Directors</w:t>
              </w:r>
            </w:hyperlink>
          </w:p>
        </w:tc>
        <w:tc>
          <w:tcPr>
            <w:tcW w:w="200" w:type="dxa"/>
            <w:vAlign w:val="bottom"/>
            <w:gridSpan w:val="2"/>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15</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11.</w:t>
            </w:r>
          </w:p>
        </w:tc>
        <w:tc>
          <w:tcPr>
            <w:tcW w:w="19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8"/>
              </w:rPr>
            </w:pPr>
            <w:hyperlink w:anchor="page86">
              <w:r>
                <w:rPr>
                  <w:rFonts w:ascii="Arial" w:cs="Arial" w:eastAsia="Arial" w:hAnsi="Arial"/>
                  <w:sz w:val="18"/>
                  <w:szCs w:val="18"/>
                  <w:color w:val="0000EE"/>
                  <w:w w:val="98"/>
                </w:rPr>
                <w:t>Minimum Vesting Period</w:t>
              </w:r>
            </w:hyperlink>
          </w:p>
        </w:tc>
        <w:tc>
          <w:tcPr>
            <w:tcW w:w="860" w:type="dxa"/>
            <w:vAlign w:val="bottom"/>
            <w:tcBorders>
              <w:top w:val="single" w:sz="8" w:color="0000EE"/>
            </w:tcBorders>
            <w:gridSpan w:val="6"/>
          </w:tcPr>
          <w:p>
            <w:pPr>
              <w:spacing w:after="0"/>
              <w:rPr>
                <w:sz w:val="20"/>
                <w:szCs w:val="20"/>
                <w:color w:val="auto"/>
              </w:rPr>
            </w:pPr>
          </w:p>
        </w:tc>
        <w:tc>
          <w:tcPr>
            <w:tcW w:w="5280" w:type="dxa"/>
            <w:vAlign w:val="bottom"/>
            <w:gridSpan w:val="5"/>
          </w:tcPr>
          <w:p>
            <w:pPr>
              <w:spacing w:after="0"/>
              <w:rPr>
                <w:sz w:val="20"/>
                <w:szCs w:val="20"/>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16</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12.</w:t>
            </w:r>
          </w:p>
        </w:tc>
        <w:tc>
          <w:tcPr>
            <w:tcW w:w="8080" w:type="dxa"/>
            <w:vAlign w:val="bottom"/>
            <w:gridSpan w:val="2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Administration of the Plan</w:t>
              </w:r>
            </w:hyperlink>
          </w:p>
        </w:tc>
        <w:tc>
          <w:tcPr>
            <w:tcW w:w="200" w:type="dxa"/>
            <w:vAlign w:val="bottom"/>
            <w:gridSpan w:val="2"/>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16</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13.</w:t>
            </w:r>
          </w:p>
        </w:tc>
        <w:tc>
          <w:tcPr>
            <w:tcW w:w="2040" w:type="dxa"/>
            <w:vAlign w:val="bottom"/>
            <w:tcBorders>
              <w:top w:val="single" w:sz="8" w:color="0000EE"/>
            </w:tcBorders>
            <w:gridSpan w:val="1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Adjustments</w:t>
              </w:r>
            </w:hyperlink>
          </w:p>
        </w:tc>
        <w:tc>
          <w:tcPr>
            <w:tcW w:w="6040" w:type="dxa"/>
            <w:vAlign w:val="bottom"/>
            <w:gridSpan w:val="9"/>
          </w:tcPr>
          <w:p>
            <w:pPr>
              <w:spacing w:after="0"/>
              <w:rPr>
                <w:sz w:val="20"/>
                <w:szCs w:val="20"/>
                <w:color w:val="auto"/>
              </w:rPr>
            </w:pPr>
          </w:p>
        </w:tc>
        <w:tc>
          <w:tcPr>
            <w:tcW w:w="200" w:type="dxa"/>
            <w:vAlign w:val="bottom"/>
            <w:tcBorders>
              <w:top w:val="single" w:sz="8" w:color="0000EE"/>
            </w:tcBorders>
            <w:gridSpan w:val="2"/>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16</w:t>
              </w:r>
            </w:hyperlink>
          </w:p>
        </w:tc>
      </w:tr>
      <w:tr>
        <w:trPr>
          <w:trHeight w:val="20"/>
        </w:trPr>
        <w:tc>
          <w:tcPr>
            <w:tcW w:w="10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14.</w:t>
            </w:r>
          </w:p>
        </w:tc>
        <w:tc>
          <w:tcPr>
            <w:tcW w:w="8080" w:type="dxa"/>
            <w:vAlign w:val="bottom"/>
            <w:gridSpan w:val="24"/>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Change in Control</w:t>
              </w:r>
            </w:hyperlink>
          </w:p>
        </w:tc>
        <w:tc>
          <w:tcPr>
            <w:tcW w:w="200" w:type="dxa"/>
            <w:vAlign w:val="bottom"/>
            <w:gridSpan w:val="2"/>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17</w:t>
              </w:r>
            </w:hyperlink>
          </w:p>
        </w:tc>
      </w:tr>
      <w:tr>
        <w:trPr>
          <w:trHeight w:val="20"/>
        </w:trPr>
        <w:tc>
          <w:tcPr>
            <w:tcW w:w="104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15.</w:t>
            </w:r>
          </w:p>
        </w:tc>
        <w:tc>
          <w:tcPr>
            <w:tcW w:w="8080" w:type="dxa"/>
            <w:vAlign w:val="bottom"/>
            <w:gridSpan w:val="2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Non-U.S. Participants</w:t>
              </w:r>
            </w:hyperlink>
          </w:p>
        </w:tc>
        <w:tc>
          <w:tcPr>
            <w:tcW w:w="200" w:type="dxa"/>
            <w:vAlign w:val="bottom"/>
            <w:gridSpan w:val="2"/>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18</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16.</w:t>
            </w:r>
          </w:p>
        </w:tc>
        <w:tc>
          <w:tcPr>
            <w:tcW w:w="11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Transferability</w:t>
              </w:r>
            </w:hyperlink>
          </w:p>
        </w:tc>
        <w:tc>
          <w:tcPr>
            <w:tcW w:w="640" w:type="dxa"/>
            <w:vAlign w:val="bottom"/>
            <w:tcBorders>
              <w:top w:val="single" w:sz="8" w:color="0000EE"/>
            </w:tcBorders>
            <w:gridSpan w:val="6"/>
          </w:tcPr>
          <w:p>
            <w:pPr>
              <w:spacing w:after="0"/>
              <w:rPr>
                <w:sz w:val="20"/>
                <w:szCs w:val="20"/>
                <w:color w:val="auto"/>
              </w:rPr>
            </w:pPr>
          </w:p>
        </w:tc>
        <w:tc>
          <w:tcPr>
            <w:tcW w:w="6320" w:type="dxa"/>
            <w:vAlign w:val="bottom"/>
            <w:gridSpan w:val="12"/>
          </w:tcPr>
          <w:p>
            <w:pPr>
              <w:spacing w:after="0"/>
              <w:rPr>
                <w:sz w:val="20"/>
                <w:szCs w:val="20"/>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18</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17.</w:t>
            </w:r>
          </w:p>
        </w:tc>
        <w:tc>
          <w:tcPr>
            <w:tcW w:w="14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Withholding Taxes</w:t>
              </w:r>
            </w:hyperlink>
          </w:p>
        </w:tc>
        <w:tc>
          <w:tcPr>
            <w:tcW w:w="6620" w:type="dxa"/>
            <w:vAlign w:val="bottom"/>
            <w:gridSpan w:val="14"/>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19</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18.</w:t>
            </w:r>
          </w:p>
        </w:tc>
        <w:tc>
          <w:tcPr>
            <w:tcW w:w="342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89">
              <w:r>
                <w:rPr>
                  <w:rFonts w:ascii="Arial" w:cs="Arial" w:eastAsia="Arial" w:hAnsi="Arial"/>
                  <w:sz w:val="18"/>
                  <w:szCs w:val="18"/>
                  <w:color w:val="0000EE"/>
                  <w:w w:val="99"/>
                </w:rPr>
                <w:t>Compliance with Section 409A of the Code</w:t>
              </w:r>
            </w:hyperlink>
          </w:p>
        </w:tc>
        <w:tc>
          <w:tcPr>
            <w:tcW w:w="4660" w:type="dxa"/>
            <w:vAlign w:val="bottom"/>
            <w:gridSpan w:val="3"/>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19</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19.</w:t>
            </w:r>
          </w:p>
        </w:tc>
        <w:tc>
          <w:tcPr>
            <w:tcW w:w="8080" w:type="dxa"/>
            <w:vAlign w:val="bottom"/>
            <w:gridSpan w:val="2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Effective Date and Term of Plan</w:t>
              </w:r>
            </w:hyperlink>
          </w:p>
        </w:tc>
        <w:tc>
          <w:tcPr>
            <w:tcW w:w="200" w:type="dxa"/>
            <w:vAlign w:val="bottom"/>
            <w:gridSpan w:val="2"/>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19</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20.</w:t>
            </w:r>
          </w:p>
        </w:tc>
        <w:tc>
          <w:tcPr>
            <w:tcW w:w="2520" w:type="dxa"/>
            <w:vAlign w:val="bottom"/>
            <w:tcBorders>
              <w:top w:val="single" w:sz="8" w:color="0000EE"/>
            </w:tcBorders>
            <w:gridSpan w:val="1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Amendments and Termination</w:t>
              </w:r>
            </w:hyperlink>
          </w:p>
        </w:tc>
        <w:tc>
          <w:tcPr>
            <w:tcW w:w="5560" w:type="dxa"/>
            <w:vAlign w:val="bottom"/>
            <w:gridSpan w:val="6"/>
          </w:tcPr>
          <w:p>
            <w:pPr>
              <w:spacing w:after="0"/>
              <w:rPr>
                <w:sz w:val="20"/>
                <w:szCs w:val="20"/>
                <w:color w:val="auto"/>
              </w:rPr>
            </w:pPr>
          </w:p>
        </w:tc>
        <w:tc>
          <w:tcPr>
            <w:tcW w:w="200" w:type="dxa"/>
            <w:vAlign w:val="bottom"/>
            <w:tcBorders>
              <w:top w:val="single" w:sz="8" w:color="0000EE"/>
            </w:tcBorders>
            <w:gridSpan w:val="2"/>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19</w:t>
              </w:r>
            </w:hyperlink>
          </w:p>
        </w:tc>
      </w:tr>
      <w:tr>
        <w:trPr>
          <w:trHeight w:val="20"/>
        </w:trPr>
        <w:tc>
          <w:tcPr>
            <w:tcW w:w="104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444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89">
              <w:r>
                <w:rPr>
                  <w:rFonts w:ascii="Arial" w:cs="Arial" w:eastAsia="Arial" w:hAnsi="Arial"/>
                  <w:sz w:val="18"/>
                  <w:szCs w:val="18"/>
                  <w:color w:val="0000EE"/>
                  <w:w w:val="99"/>
                </w:rPr>
                <w:t>Substitute Awards for Awards Granted by Other Entities</w:t>
              </w:r>
            </w:hyperlink>
          </w:p>
        </w:tc>
        <w:tc>
          <w:tcPr>
            <w:tcW w:w="3640" w:type="dxa"/>
            <w:vAlign w:val="bottom"/>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19</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22.</w:t>
            </w:r>
          </w:p>
        </w:tc>
        <w:tc>
          <w:tcPr>
            <w:tcW w:w="8080" w:type="dxa"/>
            <w:vAlign w:val="bottom"/>
            <w:gridSpan w:val="2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Dividends and Dividend Equivalents</w:t>
              </w:r>
            </w:hyperlink>
          </w:p>
        </w:tc>
        <w:tc>
          <w:tcPr>
            <w:tcW w:w="200" w:type="dxa"/>
            <w:vAlign w:val="bottom"/>
            <w:gridSpan w:val="2"/>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20</w:t>
              </w:r>
            </w:hyperlink>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23.</w:t>
            </w:r>
          </w:p>
        </w:tc>
        <w:tc>
          <w:tcPr>
            <w:tcW w:w="2860" w:type="dxa"/>
            <w:vAlign w:val="bottom"/>
            <w:tcBorders>
              <w:top w:val="single" w:sz="8" w:color="0000EE"/>
            </w:tcBorders>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Governing Law</w:t>
              </w:r>
            </w:hyperlink>
          </w:p>
        </w:tc>
        <w:tc>
          <w:tcPr>
            <w:tcW w:w="5220" w:type="dxa"/>
            <w:vAlign w:val="bottom"/>
            <w:gridSpan w:val="4"/>
          </w:tcPr>
          <w:p>
            <w:pPr>
              <w:spacing w:after="0"/>
              <w:rPr>
                <w:sz w:val="20"/>
                <w:szCs w:val="20"/>
                <w:color w:val="auto"/>
              </w:rPr>
            </w:pPr>
          </w:p>
        </w:tc>
        <w:tc>
          <w:tcPr>
            <w:tcW w:w="200" w:type="dxa"/>
            <w:vAlign w:val="bottom"/>
            <w:tcBorders>
              <w:top w:val="single" w:sz="8" w:color="0000EE"/>
            </w:tcBorders>
            <w:gridSpan w:val="2"/>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20</w:t>
              </w:r>
            </w:hyperlink>
          </w:p>
        </w:tc>
      </w:tr>
      <w:tr>
        <w:trPr>
          <w:trHeight w:val="20"/>
        </w:trPr>
        <w:tc>
          <w:tcPr>
            <w:tcW w:w="104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24.</w:t>
            </w:r>
          </w:p>
        </w:tc>
        <w:tc>
          <w:tcPr>
            <w:tcW w:w="202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90">
              <w:r>
                <w:rPr>
                  <w:rFonts w:ascii="Arial" w:cs="Arial" w:eastAsia="Arial" w:hAnsi="Arial"/>
                  <w:sz w:val="18"/>
                  <w:szCs w:val="18"/>
                  <w:color w:val="0000EE"/>
                  <w:w w:val="98"/>
                </w:rPr>
                <w:t>Miscellaneous Provisions</w:t>
              </w:r>
            </w:hyperlink>
          </w:p>
        </w:tc>
        <w:tc>
          <w:tcPr>
            <w:tcW w:w="6060" w:type="dxa"/>
            <w:vAlign w:val="bottom"/>
            <w:gridSpan w:val="10"/>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20</w:t>
              </w:r>
            </w:hyperlink>
          </w:p>
        </w:tc>
      </w:tr>
    </w:tbl>
    <w:p>
      <w:pPr>
        <w:sectPr>
          <w:pgSz w:w="11900" w:h="16838" w:orient="portrait"/>
          <w:cols w:equalWidth="0" w:num="1">
            <w:col w:w="10179"/>
          </w:cols>
          <w:pgMar w:left="280" w:top="778" w:right="1440" w:bottom="1440" w:gutter="0" w:footer="0" w:header="0"/>
        </w:sectPr>
      </w:pPr>
    </w:p>
    <w:bookmarkStart w:id="71" w:name="page72"/>
    <w:bookmarkEnd w:id="71"/>
    <w:p>
      <w:pPr>
        <w:jc w:val="center"/>
        <w:ind w:left="660"/>
        <w:spacing w:after="0"/>
        <w:rPr>
          <w:sz w:val="20"/>
          <w:szCs w:val="20"/>
          <w:color w:val="auto"/>
        </w:rPr>
      </w:pPr>
      <w:r>
        <w:rPr>
          <w:rFonts w:ascii="Arial" w:cs="Arial" w:eastAsia="Arial" w:hAnsi="Arial"/>
          <w:sz w:val="18"/>
          <w:szCs w:val="18"/>
          <w:b w:val="1"/>
          <w:bCs w:val="1"/>
          <w:color w:val="auto"/>
        </w:rPr>
        <w:t>GENTEX CORPORATION</w:t>
      </w:r>
    </w:p>
    <w:p>
      <w:pPr>
        <w:spacing w:after="0" w:line="3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2019 OMNIBUS INCENTIVE PLAN</w:t>
      </w:r>
    </w:p>
    <w:p>
      <w:pPr>
        <w:spacing w:after="0" w:line="325"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this 2019 Omnibus Incentive Plan is to attract and retain directors, officers, and other employees Gentex</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Subsidiaries and to motivate and provide to such persons incentives and rewards for performance.</w:t>
      </w:r>
    </w:p>
    <w:p>
      <w:pPr>
        <w:spacing w:after="0" w:line="26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Plan:</w:t>
      </w:r>
    </w:p>
    <w:p>
      <w:pPr>
        <w:spacing w:after="0" w:line="382"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 (provided that an entity shall be deemed an Affiliate of the Corporation for purposes of this Plan only for such periods as the requisite ownership or control relationship is maintained).</w:t>
      </w:r>
    </w:p>
    <w:p>
      <w:pPr>
        <w:spacing w:after="0" w:line="288" w:lineRule="exact"/>
        <w:rPr>
          <w:rFonts w:ascii="Arial" w:cs="Arial" w:eastAsia="Arial" w:hAnsi="Arial"/>
          <w:sz w:val="18"/>
          <w:szCs w:val="18"/>
          <w:color w:val="auto"/>
        </w:rPr>
      </w:pPr>
    </w:p>
    <w:p>
      <w:pPr>
        <w:ind w:left="1300" w:hanging="644"/>
        <w:spacing w:after="0" w:line="318"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“Appreciation Right” means a right granted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the Plan and will include both Free-Standing Appreciation Rights and Tandem Appreciation Rights.</w:t>
      </w:r>
    </w:p>
    <w:p>
      <w:pPr>
        <w:spacing w:after="0" w:line="261"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“Authorized Officer” has the meaning specified in </w:t>
      </w:r>
      <w:r>
        <w:rPr>
          <w:rFonts w:ascii="Arial" w:cs="Arial" w:eastAsia="Arial" w:hAnsi="Arial"/>
          <w:sz w:val="18"/>
          <w:szCs w:val="18"/>
          <w:b w:val="1"/>
          <w:bCs w:val="1"/>
          <w:u w:val="single" w:color="auto"/>
          <w:color w:val="auto"/>
        </w:rPr>
        <w:t>Section 12.D.</w:t>
      </w:r>
      <w:r>
        <w:rPr>
          <w:rFonts w:ascii="Arial" w:cs="Arial" w:eastAsia="Arial" w:hAnsi="Arial"/>
          <w:sz w:val="18"/>
          <w:szCs w:val="18"/>
          <w:color w:val="auto"/>
        </w:rPr>
        <w:t xml:space="preserve"> of the Plan.</w:t>
      </w:r>
    </w:p>
    <w:p>
      <w:pPr>
        <w:spacing w:after="0" w:line="382" w:lineRule="exact"/>
        <w:rPr>
          <w:rFonts w:ascii="Arial" w:cs="Arial" w:eastAsia="Arial" w:hAnsi="Arial"/>
          <w:sz w:val="18"/>
          <w:szCs w:val="18"/>
          <w:color w:val="auto"/>
        </w:rPr>
      </w:pPr>
    </w:p>
    <w:p>
      <w:pPr>
        <w:ind w:left="1300" w:right="20" w:hanging="644"/>
        <w:spacing w:after="0" w:line="29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“Award” means a grant of Option Rights, Appreciation Rights, Performance Shares, Performance Units, Restricted Stock, Restricted Stock Units, and/or Other Awards.</w:t>
      </w:r>
    </w:p>
    <w:p>
      <w:pPr>
        <w:spacing w:after="0" w:line="304" w:lineRule="exact"/>
        <w:rPr>
          <w:rFonts w:ascii="Arial" w:cs="Arial" w:eastAsia="Arial" w:hAnsi="Arial"/>
          <w:sz w:val="18"/>
          <w:szCs w:val="18"/>
          <w:color w:val="auto"/>
        </w:rPr>
      </w:pPr>
    </w:p>
    <w:p>
      <w:pPr>
        <w:ind w:left="1300" w:right="20" w:hanging="644"/>
        <w:spacing w:after="0" w:line="29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“Base Price” means the price to be used as the basis for determining the Spread upon the exercise of a Free-Standing Appreciation Right or a Tandem Appreciation Right.</w:t>
      </w:r>
    </w:p>
    <w:p>
      <w:pPr>
        <w:spacing w:after="0" w:line="304" w:lineRule="exact"/>
        <w:rPr>
          <w:rFonts w:ascii="Arial" w:cs="Arial" w:eastAsia="Arial" w:hAnsi="Arial"/>
          <w:sz w:val="18"/>
          <w:szCs w:val="18"/>
          <w:color w:val="auto"/>
        </w:rPr>
      </w:pPr>
    </w:p>
    <w:p>
      <w:pPr>
        <w:ind w:left="1300" w:right="20" w:hanging="644"/>
        <w:spacing w:after="0" w:line="29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“Board” means the Board of Directors of the Corporation and, to the extent of any delegation by the Board to a committee (or subcommittee thereof) pursuant to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of the Plan, such committee (or subcommittee).</w:t>
      </w:r>
    </w:p>
    <w:p>
      <w:pPr>
        <w:spacing w:after="0" w:line="304"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“Cause” shall have the meaning assigned such term in the employment agreement, if any, between a Participant and an Employer and, in the absence of such an agreement, the meaning specified in the applicable Evidence of Award.</w:t>
      </w:r>
    </w:p>
    <w:p>
      <w:pPr>
        <w:spacing w:after="0" w:line="304" w:lineRule="exact"/>
        <w:rPr>
          <w:rFonts w:ascii="Arial" w:cs="Arial" w:eastAsia="Arial" w:hAnsi="Arial"/>
          <w:sz w:val="18"/>
          <w:szCs w:val="18"/>
          <w:color w:val="auto"/>
        </w:rPr>
      </w:pPr>
    </w:p>
    <w:p>
      <w:pPr>
        <w:ind w:left="1300" w:right="20" w:hanging="644"/>
        <w:spacing w:after="0" w:line="29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For purposes of the Plan, except as may be otherwise provided in an Evidence of Award, a “Change in Control” shall be deemed to have occurred upon the happening of any of the following events:</w:t>
      </w:r>
    </w:p>
    <w:p>
      <w:pPr>
        <w:spacing w:after="0" w:line="304" w:lineRule="exact"/>
        <w:rPr>
          <w:rFonts w:ascii="Arial" w:cs="Arial" w:eastAsia="Arial" w:hAnsi="Arial"/>
          <w:sz w:val="18"/>
          <w:szCs w:val="18"/>
          <w:color w:val="auto"/>
        </w:rPr>
      </w:pPr>
    </w:p>
    <w:p>
      <w:pPr>
        <w:jc w:val="both"/>
        <w:ind w:left="1960" w:hanging="655"/>
        <w:spacing w:after="0" w:line="284" w:lineRule="auto"/>
        <w:tabs>
          <w:tab w:leader="none" w:pos="19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Person is or becomes (other than in connection with a transaction described in clause (A) or (B) of Paragraph (iii) below) the beneficial owner (within the meaning of Rule 13d-3 of the Securities and Exchange Commission promulgated under the Exchange Act), directly or indirectly, of securities of the Corporation (not including in the securities beneficially owned by such Person any securities acquired directly from the Corporation or any of its Affiliates) representing more than fifty percent (50%) of the combined voting power of the Corporation’s then outstanding securities;</w:t>
      </w:r>
    </w:p>
    <w:p>
      <w:pPr>
        <w:spacing w:after="0" w:line="313" w:lineRule="exact"/>
        <w:rPr>
          <w:rFonts w:ascii="Arial" w:cs="Arial" w:eastAsia="Arial" w:hAnsi="Arial"/>
          <w:sz w:val="18"/>
          <w:szCs w:val="18"/>
          <w:color w:val="auto"/>
        </w:rPr>
      </w:pPr>
    </w:p>
    <w:p>
      <w:pPr>
        <w:jc w:val="both"/>
        <w:ind w:left="1960" w:hanging="655"/>
        <w:spacing w:after="0" w:line="284" w:lineRule="auto"/>
        <w:tabs>
          <w:tab w:leader="none" w:pos="19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individuals who on the Effective Date constitute the Board, and any new Director (other than a Director whose initial assumption of office is in connection with an actual or threatened election contest, including without limitation a consent solicitation, relating to the election of Directors of the Corporation) whose election by the Board or nomination for election by the Corporation’s shareholders was approved by a vote of at least two-thirds (2/3) of the Directors then still in office who either were Directors at the beginning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72" w:name="page73"/>
    <w:bookmarkEnd w:id="72"/>
    <w:p>
      <w:pPr>
        <w:ind w:left="1840"/>
        <w:spacing w:after="0" w:line="356" w:lineRule="auto"/>
        <w:rPr>
          <w:sz w:val="20"/>
          <w:szCs w:val="20"/>
          <w:color w:val="auto"/>
        </w:rPr>
      </w:pPr>
      <w:r>
        <w:rPr>
          <w:rFonts w:ascii="Arial" w:cs="Arial" w:eastAsia="Arial" w:hAnsi="Arial"/>
          <w:sz w:val="18"/>
          <w:szCs w:val="18"/>
          <w:color w:val="auto"/>
        </w:rPr>
        <w:t>of the period or whose election or nomination for election was previously so approved, cease for any reason to constitute a majority thereof;</w:t>
      </w:r>
    </w:p>
    <w:p>
      <w:pPr>
        <w:spacing w:after="0" w:line="277" w:lineRule="exact"/>
        <w:rPr>
          <w:sz w:val="20"/>
          <w:szCs w:val="20"/>
          <w:color w:val="auto"/>
        </w:rPr>
      </w:pPr>
    </w:p>
    <w:p>
      <w:pPr>
        <w:jc w:val="both"/>
        <w:ind w:left="1840" w:hanging="655"/>
        <w:spacing w:after="0" w:line="282" w:lineRule="auto"/>
        <w:tabs>
          <w:tab w:leader="none" w:pos="1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consummation of a merger or consolidation of the Corporation or any direct or indirect parent or subsidiary of the Corporation with any other company, other than (A) a merger or consolidation which would result in (1) the voting securities of the Corporation outstanding immediately prior thereto continuing to represent (either by remaining outstanding or by being converted into voting securities of the surviving entity or direct or indirect parent thereof), in combination with the ownership of any trustee or other fiduciary holding securities under an employee benefit plan of the Corporation or any of its Affiliates, more than fifty percent (50%) of the combined voting power of the voting securities of the Corporation or such surviving entity or direct or indirect parent thereof outstanding immediately after such merger or consolidation, and (2) the individuals who comprise the Board immediately prior thereto constituting at least a majority of the board of directors of (I) any parent of the Corporation or the entity surviving such merger or consolidation or (II) if there is no such parent, of the Corporation or such surviving entity, or (B) a merger or consolidation effected to implement a recapitalization of the Corporation (or similar transaction) in which no Person acquires more than fifty percent (50%) of the combined voting power of the Corporation’s then outstanding securities; or</w:t>
      </w:r>
    </w:p>
    <w:p>
      <w:pPr>
        <w:spacing w:after="0" w:line="322" w:lineRule="exact"/>
        <w:rPr>
          <w:rFonts w:ascii="Arial" w:cs="Arial" w:eastAsia="Arial" w:hAnsi="Arial"/>
          <w:sz w:val="18"/>
          <w:szCs w:val="18"/>
          <w:color w:val="auto"/>
        </w:rPr>
      </w:pPr>
    </w:p>
    <w:p>
      <w:pPr>
        <w:jc w:val="both"/>
        <w:ind w:left="1840" w:hanging="655"/>
        <w:spacing w:after="0" w:line="287" w:lineRule="auto"/>
        <w:tabs>
          <w:tab w:leader="none" w:pos="1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shareholders of the Corporation approve a plan of complete liquidation of the Corporation or there is consummated an agreement for the sale, disposition or long-term lease by the Corporation of all or substantially all of the Corporation’s assets.</w:t>
      </w: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Notwithstanding the foregoing, a “Change in Control” shall not be deemed to have occurred (1) by virtue of the consummation of any transaction or series of integrated transactions immediately following which the record holders of the Common Stock immediately prior to such transaction or series of transactions continue to have substantially the same proportionate ownership in one or more entities which, singly or together, immediately following such transaction or series of transactions, own all or substantially all of the assets of the Corporation as constituted immediately prior to such transaction or series of transactions, or (2) with respect to any Award subject to Section 409A of the Code, unless the applicable event also constitutes a change in the ownership or effective control of the Corporation or in the ownership of a substantial portion of the assets of the Corporation under Section 409A(a)(2)(A)(v)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180" w:hanging="644"/>
        <w:spacing w:after="0" w:line="281"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including any rules and regulations promulgated thereunder, along with Treasury and IRS interpretations thereof. Reference to any section or subsection of the</w:t>
      </w:r>
    </w:p>
    <w:p>
      <w:pPr>
        <w:spacing w:after="0" w:line="1" w:lineRule="exact"/>
        <w:rPr>
          <w:rFonts w:ascii="Arial" w:cs="Arial" w:eastAsia="Arial" w:hAnsi="Arial"/>
          <w:sz w:val="18"/>
          <w:szCs w:val="18"/>
          <w:color w:val="auto"/>
        </w:rPr>
      </w:pPr>
    </w:p>
    <w:p>
      <w:pPr>
        <w:ind w:left="1180"/>
        <w:spacing w:after="0" w:line="293" w:lineRule="auto"/>
        <w:rPr>
          <w:rFonts w:ascii="Arial" w:cs="Arial" w:eastAsia="Arial" w:hAnsi="Arial"/>
          <w:sz w:val="18"/>
          <w:szCs w:val="18"/>
          <w:color w:val="auto"/>
        </w:rPr>
      </w:pPr>
      <w:r>
        <w:rPr>
          <w:rFonts w:ascii="Arial" w:cs="Arial" w:eastAsia="Arial" w:hAnsi="Arial"/>
          <w:sz w:val="18"/>
          <w:szCs w:val="18"/>
          <w:color w:val="auto"/>
        </w:rPr>
        <w:t>Code includes reference to any comparable or succeeding provisions of any legislation that amends, supplements or replaces such section or subsection</w:t>
      </w:r>
      <w:r>
        <w:rPr>
          <w:rFonts w:ascii="Arial" w:cs="Arial" w:eastAsia="Arial" w:hAnsi="Arial"/>
          <w:sz w:val="18"/>
          <w:szCs w:val="18"/>
          <w:b w:val="1"/>
          <w:bCs w:val="1"/>
          <w:color w:val="auto"/>
        </w:rPr>
        <w:t>.</w:t>
      </w:r>
    </w:p>
    <w:p>
      <w:pPr>
        <w:spacing w:after="0" w:line="304" w:lineRule="exact"/>
        <w:rPr>
          <w:rFonts w:ascii="Arial" w:cs="Arial" w:eastAsia="Arial" w:hAnsi="Arial"/>
          <w:sz w:val="18"/>
          <w:szCs w:val="18"/>
          <w:color w:val="auto"/>
        </w:rPr>
      </w:pPr>
    </w:p>
    <w:p>
      <w:pPr>
        <w:jc w:val="both"/>
        <w:ind w:left="1180" w:hanging="644"/>
        <w:spacing w:after="0" w:line="28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“Common Stock” means the common stock, par value $.06 per share, of the Corporation or any security into which such shares of Common Stock may be changed by reason of any transaction or event of the type referred to in </w:t>
      </w:r>
      <w:r>
        <w:rPr>
          <w:rFonts w:ascii="Arial" w:cs="Arial" w:eastAsia="Arial" w:hAnsi="Arial"/>
          <w:sz w:val="18"/>
          <w:szCs w:val="18"/>
          <w:b w:val="1"/>
          <w:bCs w:val="1"/>
          <w:u w:val="single" w:color="auto"/>
          <w:color w:val="auto"/>
        </w:rPr>
        <w:t>Section 13</w:t>
      </w:r>
      <w:r>
        <w:rPr>
          <w:rFonts w:ascii="Arial" w:cs="Arial" w:eastAsia="Arial" w:hAnsi="Arial"/>
          <w:sz w:val="18"/>
          <w:szCs w:val="18"/>
          <w:color w:val="auto"/>
        </w:rPr>
        <w:t xml:space="preserve"> of the Plan.</w:t>
      </w:r>
    </w:p>
    <w:p>
      <w:pPr>
        <w:spacing w:after="0" w:line="310" w:lineRule="exact"/>
        <w:rPr>
          <w:rFonts w:ascii="Arial" w:cs="Arial" w:eastAsia="Arial" w:hAnsi="Arial"/>
          <w:sz w:val="18"/>
          <w:szCs w:val="18"/>
          <w:color w:val="auto"/>
        </w:rPr>
      </w:pPr>
    </w:p>
    <w:p>
      <w:pPr>
        <w:ind w:left="1180" w:hanging="644"/>
        <w:spacing w:after="0" w:line="293"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“Compensation Committee” means the Compensation Committee of the Board, or any other committee of the Board or subcommittee thereof authorized to administer this Plan in accordance with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of the Plan.</w:t>
      </w:r>
    </w:p>
    <w:p>
      <w:pPr>
        <w:spacing w:after="0" w:line="304" w:lineRule="exact"/>
        <w:rPr>
          <w:rFonts w:ascii="Arial" w:cs="Arial" w:eastAsia="Arial" w:hAnsi="Arial"/>
          <w:sz w:val="18"/>
          <w:szCs w:val="18"/>
          <w:color w:val="auto"/>
        </w:rPr>
      </w:pPr>
    </w:p>
    <w:p>
      <w:pPr>
        <w:ind w:left="1180" w:hanging="644"/>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“Corporation” means Gentex Corporation, a Michigan corporation, and its successors.</w:t>
      </w: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60" w:top="530" w:right="239" w:bottom="1440" w:gutter="0" w:footer="0" w:header="0"/>
        </w:sectPr>
      </w:pPr>
    </w:p>
    <w:bookmarkStart w:id="73" w:name="page74"/>
    <w:bookmarkEnd w:id="73"/>
    <w:p>
      <w:pPr>
        <w:jc w:val="both"/>
        <w:ind w:left="644" w:hanging="644"/>
        <w:spacing w:after="0" w:line="285"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“Date of Grant” means the date as of which an Award is determined to be effective and designated in a resolution by the Board, the Compensation Committee, or an Authorized Officer and is granted pursuant to the Plan. The Date of Grant shall not be earlier than the date of the resolution and action therein by the Board, the Compensation Committee, or an Authorized Officer.</w:t>
      </w:r>
    </w:p>
    <w:p>
      <w:pPr>
        <w:spacing w:after="0" w:line="313" w:lineRule="exact"/>
        <w:rPr>
          <w:rFonts w:ascii="Arial" w:cs="Arial" w:eastAsia="Arial" w:hAnsi="Arial"/>
          <w:sz w:val="18"/>
          <w:szCs w:val="18"/>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 means a member of the Board.</w:t>
      </w:r>
    </w:p>
    <w:p>
      <w:pPr>
        <w:spacing w:after="0" w:line="360" w:lineRule="exact"/>
        <w:rPr>
          <w:rFonts w:ascii="Arial" w:cs="Arial" w:eastAsia="Arial" w:hAnsi="Arial"/>
          <w:sz w:val="18"/>
          <w:szCs w:val="18"/>
          <w:color w:val="auto"/>
        </w:rPr>
      </w:pPr>
    </w:p>
    <w:p>
      <w:pPr>
        <w:jc w:val="both"/>
        <w:ind w:left="644" w:hanging="644"/>
        <w:spacing w:after="0" w:line="284"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Date” means May 16, 2019 as long as the Plan is approved by the shareholders of the Corporation; provided, however, any Awards made prior to such date which are granted contingent upon such shareholder approval of the Plan shall be effective and remain in place once such shareholder approval of the Plan is obtained. If shareholder approval is not obtained, the Plan shall not become effective, any Awards made under the Plan shall be expunged, and the Prior Plans shall remain in place.</w:t>
      </w:r>
    </w:p>
    <w:p>
      <w:pPr>
        <w:spacing w:after="0" w:line="314" w:lineRule="exact"/>
        <w:rPr>
          <w:rFonts w:ascii="Arial" w:cs="Arial" w:eastAsia="Arial" w:hAnsi="Arial"/>
          <w:sz w:val="18"/>
          <w:szCs w:val="18"/>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 means any employee of the Corporation or of any Subsidiary.</w:t>
      </w:r>
    </w:p>
    <w:p>
      <w:pPr>
        <w:spacing w:after="0" w:line="360" w:lineRule="exact"/>
        <w:rPr>
          <w:rFonts w:ascii="Arial" w:cs="Arial" w:eastAsia="Arial" w:hAnsi="Arial"/>
          <w:sz w:val="18"/>
          <w:szCs w:val="18"/>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“Employer” means the Corporation or any successor thereto or a Subsidiary.</w:t>
      </w:r>
    </w:p>
    <w:p>
      <w:pPr>
        <w:spacing w:after="0" w:line="360" w:lineRule="exact"/>
        <w:rPr>
          <w:rFonts w:ascii="Arial" w:cs="Arial" w:eastAsia="Arial" w:hAnsi="Arial"/>
          <w:sz w:val="18"/>
          <w:szCs w:val="18"/>
          <w:color w:val="auto"/>
        </w:rPr>
      </w:pPr>
    </w:p>
    <w:p>
      <w:pPr>
        <w:jc w:val="both"/>
        <w:ind w:left="644" w:hanging="644"/>
        <w:spacing w:after="0" w:line="284"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“Evidence of Award” means an agreement, certificate, resolution or other written evidence, whether or not in electronic form, that sets forth the terms and conditions of an Award. Each Evidence of Award shall be subject to this Plan and shall contain such terms and provisions, not inconsistent with this Plan, as the Compensation Committee or an Authorized Officer may approve. An Evidence of Award may be in an electronic medium, may be limited to notation on the books and records of the Corporation and, unless determined otherwise by the Compensation Committee, need not be signed by a representative of the Corporation or a Participant.</w:t>
      </w:r>
    </w:p>
    <w:p>
      <w:pPr>
        <w:spacing w:after="0" w:line="313" w:lineRule="exact"/>
        <w:rPr>
          <w:rFonts w:ascii="Arial" w:cs="Arial" w:eastAsia="Arial" w:hAnsi="Arial"/>
          <w:sz w:val="18"/>
          <w:szCs w:val="18"/>
          <w:color w:val="auto"/>
        </w:rPr>
      </w:pPr>
    </w:p>
    <w:p>
      <w:pPr>
        <w:jc w:val="both"/>
        <w:ind w:left="644" w:hanging="644"/>
        <w:spacing w:after="0" w:line="287"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the regulations promulgated thereunder. Reference to any section or subsection of the Exchange Act includes reference to any comparable or succeeding provisions of any legislation that amends, supplements or replaces such section or subsection.</w:t>
      </w:r>
    </w:p>
    <w:p>
      <w:pPr>
        <w:spacing w:after="0" w:line="310" w:lineRule="exact"/>
        <w:rPr>
          <w:rFonts w:ascii="Arial" w:cs="Arial" w:eastAsia="Arial" w:hAnsi="Arial"/>
          <w:sz w:val="18"/>
          <w:szCs w:val="18"/>
          <w:color w:val="auto"/>
        </w:rPr>
      </w:pPr>
    </w:p>
    <w:p>
      <w:pPr>
        <w:ind w:left="644" w:right="20" w:hanging="644"/>
        <w:spacing w:after="0" w:line="293"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“Executive Officer” means an officer of the Corporation who is subject to the liability provisions of Section 16 of the Exchange Act.</w:t>
      </w:r>
    </w:p>
    <w:p>
      <w:pPr>
        <w:spacing w:after="0" w:line="282" w:lineRule="exact"/>
        <w:rPr>
          <w:rFonts w:ascii="Arial" w:cs="Arial" w:eastAsia="Arial" w:hAnsi="Arial"/>
          <w:sz w:val="18"/>
          <w:szCs w:val="18"/>
          <w:color w:val="auto"/>
        </w:rPr>
      </w:pPr>
    </w:p>
    <w:p>
      <w:pPr>
        <w:ind w:left="644" w:hanging="644"/>
        <w:spacing w:after="0" w:line="318"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“Free-Standing Appreciation Right” means an Appreciation Right granted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the Plan that is not granted in tandem with an Option Right.</w:t>
      </w:r>
    </w:p>
    <w:p>
      <w:pPr>
        <w:spacing w:after="0" w:line="283" w:lineRule="exact"/>
        <w:rPr>
          <w:rFonts w:ascii="Arial" w:cs="Arial" w:eastAsia="Arial" w:hAnsi="Arial"/>
          <w:sz w:val="18"/>
          <w:szCs w:val="18"/>
          <w:color w:val="auto"/>
        </w:rPr>
      </w:pPr>
    </w:p>
    <w:p>
      <w:pPr>
        <w:ind w:left="644" w:hanging="644"/>
        <w:spacing w:after="0" w:line="293"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“Good Reason” shall have the meaning assigned such term in the employment agreement, if any, between a Participant and an Employer and, in the absence of such an agreement, the meaning specified in the applicable Evidence of Award.</w:t>
      </w:r>
    </w:p>
    <w:p>
      <w:pPr>
        <w:spacing w:after="0" w:line="304" w:lineRule="exact"/>
        <w:rPr>
          <w:rFonts w:ascii="Arial" w:cs="Arial" w:eastAsia="Arial" w:hAnsi="Arial"/>
          <w:sz w:val="18"/>
          <w:szCs w:val="18"/>
          <w:color w:val="auto"/>
        </w:rPr>
      </w:pPr>
    </w:p>
    <w:p>
      <w:pPr>
        <w:ind w:left="644" w:hanging="644"/>
        <w:spacing w:after="0" w:line="293"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“Incentive Stock Options” means Option Rights that are intended to qualify as “incentive stock options” under Section 422 of the Code.</w:t>
      </w:r>
    </w:p>
    <w:p>
      <w:pPr>
        <w:spacing w:after="0" w:line="304" w:lineRule="exact"/>
        <w:rPr>
          <w:rFonts w:ascii="Arial" w:cs="Arial" w:eastAsia="Arial" w:hAnsi="Arial"/>
          <w:sz w:val="18"/>
          <w:szCs w:val="18"/>
          <w:color w:val="auto"/>
        </w:rPr>
      </w:pPr>
    </w:p>
    <w:p>
      <w:pPr>
        <w:jc w:val="both"/>
        <w:ind w:left="644" w:hanging="644"/>
        <w:spacing w:after="0" w:line="283"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Value per Share” means, as of any particular date the closing sale price of the Common Stock as reported on the NASDAQ Global Select Market or, if not listed on such exchange, on any other national securities exchange on which the Common Stock is listed. If the Common Stock is not traded as of any given date, the Market Value per Share means the closing price for the Common Stock on the principal exchange on which the Common Stock is traded for the immediately preceding date on which the Common Stock was traded. If there is no regular public trading market for such Common Stock, the Market Value per Share of the Common Stock shall be the fair market value of the Common Stock as determined in good faith by the Board. The</w:t>
      </w:r>
    </w:p>
    <w:p>
      <w:pPr>
        <w:spacing w:after="0" w:line="200" w:lineRule="exact"/>
        <w:rPr>
          <w:sz w:val="20"/>
          <w:szCs w:val="20"/>
          <w:color w:val="auto"/>
        </w:rPr>
      </w:pPr>
    </w:p>
    <w:p>
      <w:pPr>
        <w:spacing w:after="0" w:line="25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503" w:right="239" w:bottom="1440" w:gutter="0" w:footer="0" w:header="0"/>
        </w:sectPr>
      </w:pPr>
    </w:p>
    <w:bookmarkStart w:id="74" w:name="page75"/>
    <w:bookmarkEnd w:id="74"/>
    <w:p>
      <w:pPr>
        <w:jc w:val="both"/>
        <w:ind w:left="1300"/>
        <w:spacing w:after="0" w:line="350" w:lineRule="auto"/>
        <w:rPr>
          <w:sz w:val="20"/>
          <w:szCs w:val="20"/>
          <w:color w:val="auto"/>
        </w:rPr>
      </w:pPr>
      <w:r>
        <w:rPr>
          <w:rFonts w:ascii="Arial" w:cs="Arial" w:eastAsia="Arial" w:hAnsi="Arial"/>
          <w:sz w:val="18"/>
          <w:szCs w:val="18"/>
          <w:color w:val="auto"/>
        </w:rPr>
        <w:t>Board is authorized to adopt another fair market value pricing method, provided such method is stated in the Evidence of Award, and, to the extent an Award is subject to Section 409A of the Code, is in compliance with the fair market value pricing rules set forth in Section 409A of the Code.</w:t>
      </w:r>
    </w:p>
    <w:p>
      <w:pPr>
        <w:spacing w:after="0" w:line="283"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“Non-Employee Director” means a member of the Board who is not an Employee.</w:t>
      </w:r>
    </w:p>
    <w:p>
      <w:pPr>
        <w:spacing w:after="0" w:line="360" w:lineRule="exact"/>
        <w:rPr>
          <w:rFonts w:ascii="Arial" w:cs="Arial" w:eastAsia="Arial" w:hAnsi="Arial"/>
          <w:sz w:val="18"/>
          <w:szCs w:val="18"/>
          <w:color w:val="auto"/>
        </w:rPr>
      </w:pPr>
    </w:p>
    <w:p>
      <w:pPr>
        <w:ind w:left="1300" w:hanging="644"/>
        <w:spacing w:after="0" w:line="29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“Non-Qualified Options” means Option Rights that are not intended to qualify as “incentive stock options” under Section 422 of the code.</w:t>
      </w:r>
    </w:p>
    <w:p>
      <w:pPr>
        <w:spacing w:after="0" w:line="305"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“Optionee” means the Participant named in an Evidence of Award evidencing an outstanding Option Right.</w:t>
      </w:r>
    </w:p>
    <w:p>
      <w:pPr>
        <w:spacing w:after="0" w:line="360"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480" w:type="dxa"/>
            <w:vAlign w:val="bottom"/>
          </w:tcPr>
          <w:p>
            <w:pPr>
              <w:spacing w:after="0"/>
              <w:rPr>
                <w:sz w:val="20"/>
                <w:szCs w:val="20"/>
                <w:color w:val="auto"/>
              </w:rPr>
            </w:pPr>
            <w:r>
              <w:rPr>
                <w:rFonts w:ascii="Arial" w:cs="Arial" w:eastAsia="Arial" w:hAnsi="Arial"/>
                <w:sz w:val="18"/>
                <w:szCs w:val="18"/>
                <w:color w:val="auto"/>
              </w:rPr>
              <w:t>AB.</w:t>
            </w: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“Option Price” means the purchase price payable on exercise of an Option Right.</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AC.</w:t>
            </w: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“Option Right” means the right to purchase shares of Common Stock upon exercise of a Non-Qualified Option or an Incentive</w:t>
            </w:r>
          </w:p>
        </w:tc>
      </w:tr>
      <w:tr>
        <w:trPr>
          <w:trHeight w:val="203"/>
        </w:trPr>
        <w:tc>
          <w:tcPr>
            <w:tcW w:w="480" w:type="dxa"/>
            <w:vAlign w:val="bottom"/>
          </w:tcPr>
          <w:p>
            <w:pPr>
              <w:spacing w:after="0"/>
              <w:rPr>
                <w:sz w:val="17"/>
                <w:szCs w:val="17"/>
                <w:color w:val="auto"/>
              </w:rPr>
            </w:pPr>
          </w:p>
        </w:tc>
        <w:tc>
          <w:tcPr>
            <w:tcW w:w="1028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 xml:space="preserve">Stock Option granted pursuant to </w:t>
            </w:r>
            <w:r>
              <w:rPr>
                <w:rFonts w:ascii="Arial" w:cs="Arial" w:eastAsia="Arial" w:hAnsi="Arial"/>
                <w:sz w:val="18"/>
                <w:szCs w:val="18"/>
                <w:b w:val="1"/>
                <w:bCs w:val="1"/>
                <w:color w:val="auto"/>
              </w:rPr>
              <w:t>Section 4</w:t>
            </w:r>
            <w:r>
              <w:rPr>
                <w:rFonts w:ascii="Arial" w:cs="Arial" w:eastAsia="Arial" w:hAnsi="Arial"/>
                <w:sz w:val="18"/>
                <w:szCs w:val="18"/>
                <w:color w:val="auto"/>
              </w:rPr>
              <w:t xml:space="preserve"> of the Plan.</w:t>
            </w:r>
          </w:p>
        </w:tc>
      </w:tr>
      <w:tr>
        <w:trPr>
          <w:trHeight w:val="20"/>
        </w:trPr>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547"/>
        </w:trPr>
        <w:tc>
          <w:tcPr>
            <w:tcW w:w="480" w:type="dxa"/>
            <w:vAlign w:val="bottom"/>
          </w:tcPr>
          <w:p>
            <w:pPr>
              <w:spacing w:after="0"/>
              <w:rPr>
                <w:sz w:val="20"/>
                <w:szCs w:val="20"/>
                <w:color w:val="auto"/>
              </w:rPr>
            </w:pPr>
            <w:r>
              <w:rPr>
                <w:rFonts w:ascii="Arial" w:cs="Arial" w:eastAsia="Arial" w:hAnsi="Arial"/>
                <w:sz w:val="18"/>
                <w:szCs w:val="18"/>
                <w:color w:val="auto"/>
              </w:rPr>
              <w:t>AD.</w:t>
            </w: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 xml:space="preserve">“Other Award” means an Award granted pursuant to </w:t>
            </w:r>
            <w:r>
              <w:rPr>
                <w:rFonts w:ascii="Arial" w:cs="Arial" w:eastAsia="Arial" w:hAnsi="Arial"/>
                <w:sz w:val="18"/>
                <w:szCs w:val="18"/>
                <w:b w:val="1"/>
                <w:bCs w:val="1"/>
                <w:color w:val="auto"/>
              </w:rPr>
              <w:t>Section 9</w:t>
            </w:r>
            <w:r>
              <w:rPr>
                <w:rFonts w:ascii="Arial" w:cs="Arial" w:eastAsia="Arial" w:hAnsi="Arial"/>
                <w:sz w:val="18"/>
                <w:szCs w:val="18"/>
                <w:color w:val="auto"/>
              </w:rPr>
              <w:t xml:space="preserve"> of the Plan.</w:t>
            </w:r>
          </w:p>
        </w:tc>
      </w:tr>
      <w:tr>
        <w:trPr>
          <w:trHeight w:val="20"/>
        </w:trPr>
        <w:tc>
          <w:tcPr>
            <w:tcW w:w="48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588"/>
        </w:trPr>
        <w:tc>
          <w:tcPr>
            <w:tcW w:w="480" w:type="dxa"/>
            <w:vAlign w:val="bottom"/>
          </w:tcPr>
          <w:p>
            <w:pPr>
              <w:spacing w:after="0"/>
              <w:rPr>
                <w:sz w:val="20"/>
                <w:szCs w:val="20"/>
                <w:color w:val="auto"/>
              </w:rPr>
            </w:pPr>
            <w:r>
              <w:rPr>
                <w:rFonts w:ascii="Arial" w:cs="Arial" w:eastAsia="Arial" w:hAnsi="Arial"/>
                <w:sz w:val="18"/>
                <w:szCs w:val="18"/>
                <w:color w:val="auto"/>
              </w:rPr>
              <w:t>AE.</w:t>
            </w: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“Participant” means a person who is selected by the Board, the Compensation Committee or an Authorized Officer to receive</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benefits under this Plan and who is at the time an Employee or a Non-Employee Director.</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AF.</w:t>
            </w: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“Performance Objectives” means the measurable performance objective or objectives established pursuant to this Plan for</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Participants who have received grants of Performance Shares or Performance Units or, when so determined by the Board, the</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Compensation Committee, or an Authorized Officer, Option Rights, Appreciation Rights, Restricted Stock, Restricted Stock</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Units, Other Awards or dividend credits pursuant to the Plan. Performance Objectives may be described in terms of</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Corporation-wide objectives or objectives that are related to the performance of a joint venture, Subsidiary, business unit,</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division, department, business segment, region or function and/or that are related to the performance of the individual</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Participant. The Performance Objectives may be made relative to the performance of other companies or an index covering</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multiple companies. The Performance Objectives applicable to any Award can be based on specified levels of or growth in any</w:t>
            </w:r>
          </w:p>
        </w:tc>
      </w:tr>
      <w:tr>
        <w:trPr>
          <w:trHeight w:val="243"/>
        </w:trPr>
        <w:tc>
          <w:tcPr>
            <w:tcW w:w="480" w:type="dxa"/>
            <w:vAlign w:val="bottom"/>
          </w:tcPr>
          <w:p>
            <w:pPr>
              <w:spacing w:after="0"/>
              <w:rPr>
                <w:sz w:val="21"/>
                <w:szCs w:val="21"/>
                <w:color w:val="auto"/>
              </w:rPr>
            </w:pPr>
          </w:p>
        </w:tc>
        <w:tc>
          <w:tcPr>
            <w:tcW w:w="10280" w:type="dxa"/>
            <w:vAlign w:val="bottom"/>
            <w:gridSpan w:val="5"/>
          </w:tcPr>
          <w:p>
            <w:pPr>
              <w:ind w:left="160"/>
              <w:spacing w:after="0"/>
              <w:rPr>
                <w:sz w:val="20"/>
                <w:szCs w:val="20"/>
                <w:color w:val="auto"/>
              </w:rPr>
            </w:pPr>
            <w:r>
              <w:rPr>
                <w:rFonts w:ascii="Arial" w:cs="Arial" w:eastAsia="Arial" w:hAnsi="Arial"/>
                <w:sz w:val="18"/>
                <w:szCs w:val="18"/>
                <w:color w:val="auto"/>
              </w:rPr>
              <w:t>appropriately determined Performance Objective.</w:t>
            </w:r>
          </w:p>
        </w:tc>
      </w:tr>
    </w:tbl>
    <w:p>
      <w:pPr>
        <w:spacing w:after="0" w:line="35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With respect to any grant under the Plan, if the Compensation Committee determines that a change in the business, operations, corporate structure or capital structure of the Corporation, or the manner in which it conducts its business, or other events or circumstances render the Performance Objectives unsuitable, the Compensation Committee may in its discretion modify such Performance Objectives or the related minimum acceptable level or levels of achievement, in whole or in part, as the Compensation Committee deems appropriate and equitable.</w:t>
      </w: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AG.</w:t>
            </w:r>
          </w:p>
        </w:tc>
        <w:tc>
          <w:tcPr>
            <w:tcW w:w="10120" w:type="dxa"/>
            <w:vAlign w:val="bottom"/>
            <w:gridSpan w:val="6"/>
          </w:tcPr>
          <w:p>
            <w:pPr>
              <w:spacing w:after="0"/>
              <w:rPr>
                <w:sz w:val="20"/>
                <w:szCs w:val="20"/>
                <w:color w:val="auto"/>
              </w:rPr>
            </w:pPr>
            <w:r>
              <w:rPr>
                <w:rFonts w:ascii="Arial" w:cs="Arial" w:eastAsia="Arial" w:hAnsi="Arial"/>
                <w:sz w:val="18"/>
                <w:szCs w:val="18"/>
                <w:color w:val="auto"/>
              </w:rPr>
              <w:t>"Performance Period” means, in respect of a Performance Share or Performance Unit, a period of time established pursuant to</w:t>
            </w:r>
          </w:p>
        </w:tc>
      </w:tr>
      <w:tr>
        <w:trPr>
          <w:trHeight w:val="203"/>
        </w:trPr>
        <w:tc>
          <w:tcPr>
            <w:tcW w:w="640" w:type="dxa"/>
            <w:vAlign w:val="bottom"/>
          </w:tcPr>
          <w:p>
            <w:pPr>
              <w:spacing w:after="0"/>
              <w:rPr>
                <w:sz w:val="17"/>
                <w:szCs w:val="17"/>
                <w:color w:val="auto"/>
              </w:rPr>
            </w:pPr>
          </w:p>
        </w:tc>
        <w:tc>
          <w:tcPr>
            <w:tcW w:w="1012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of the Plan within which the Performance Objectives relating to such Performance Share or Performance Unit are to</w:t>
            </w:r>
          </w:p>
        </w:tc>
      </w:tr>
      <w:tr>
        <w:trPr>
          <w:trHeight w:val="20"/>
        </w:trPr>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4"/>
        </w:trPr>
        <w:tc>
          <w:tcPr>
            <w:tcW w:w="640" w:type="dxa"/>
            <w:vAlign w:val="bottom"/>
          </w:tcPr>
          <w:p>
            <w:pPr>
              <w:spacing w:after="0"/>
              <w:rPr>
                <w:sz w:val="22"/>
                <w:szCs w:val="22"/>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be achieved.</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AH.</w:t>
            </w:r>
          </w:p>
        </w:tc>
        <w:tc>
          <w:tcPr>
            <w:tcW w:w="10120" w:type="dxa"/>
            <w:vAlign w:val="bottom"/>
            <w:gridSpan w:val="6"/>
          </w:tcPr>
          <w:p>
            <w:pPr>
              <w:spacing w:after="0"/>
              <w:rPr>
                <w:sz w:val="20"/>
                <w:szCs w:val="20"/>
                <w:color w:val="auto"/>
              </w:rPr>
            </w:pPr>
            <w:r>
              <w:rPr>
                <w:rFonts w:ascii="Arial" w:cs="Arial" w:eastAsia="Arial" w:hAnsi="Arial"/>
                <w:sz w:val="18"/>
                <w:szCs w:val="18"/>
                <w:color w:val="auto"/>
              </w:rPr>
              <w:t>“Performance Share” means a bookkeeping entry that records the equivalent of one share of Common Stock awarded</w:t>
            </w:r>
          </w:p>
        </w:tc>
      </w:tr>
      <w:tr>
        <w:trPr>
          <w:trHeight w:val="203"/>
        </w:trPr>
        <w:tc>
          <w:tcPr>
            <w:tcW w:w="640" w:type="dxa"/>
            <w:vAlign w:val="bottom"/>
          </w:tcPr>
          <w:p>
            <w:pPr>
              <w:spacing w:after="0"/>
              <w:rPr>
                <w:sz w:val="17"/>
                <w:szCs w:val="17"/>
                <w:color w:val="auto"/>
              </w:rPr>
            </w:pPr>
          </w:p>
        </w:tc>
        <w:tc>
          <w:tcPr>
            <w:tcW w:w="10120" w:type="dxa"/>
            <w:vAlign w:val="bottom"/>
            <w:gridSpan w:val="6"/>
          </w:tcPr>
          <w:p>
            <w:pPr>
              <w:spacing w:after="0" w:line="202" w:lineRule="exact"/>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color w:val="auto"/>
              </w:rPr>
              <w:t>Section 8</w:t>
            </w:r>
            <w:r>
              <w:rPr>
                <w:rFonts w:ascii="Arial" w:cs="Arial" w:eastAsia="Arial" w:hAnsi="Arial"/>
                <w:sz w:val="18"/>
                <w:szCs w:val="18"/>
                <w:color w:val="auto"/>
              </w:rPr>
              <w:t xml:space="preserve"> of the plan.</w:t>
            </w:r>
          </w:p>
        </w:tc>
      </w:tr>
      <w:tr>
        <w:trPr>
          <w:trHeight w:val="20"/>
        </w:trPr>
        <w:tc>
          <w:tcPr>
            <w:tcW w:w="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547"/>
        </w:trPr>
        <w:tc>
          <w:tcPr>
            <w:tcW w:w="640" w:type="dxa"/>
            <w:vAlign w:val="bottom"/>
          </w:tcPr>
          <w:p>
            <w:pPr>
              <w:spacing w:after="0"/>
              <w:rPr>
                <w:sz w:val="20"/>
                <w:szCs w:val="20"/>
                <w:color w:val="auto"/>
              </w:rPr>
            </w:pPr>
            <w:r>
              <w:rPr>
                <w:rFonts w:ascii="Arial" w:cs="Arial" w:eastAsia="Arial" w:hAnsi="Arial"/>
                <w:sz w:val="18"/>
                <w:szCs w:val="18"/>
                <w:color w:val="auto"/>
              </w:rPr>
              <w:t>AI.</w:t>
            </w:r>
          </w:p>
        </w:tc>
        <w:tc>
          <w:tcPr>
            <w:tcW w:w="10120" w:type="dxa"/>
            <w:vAlign w:val="bottom"/>
            <w:gridSpan w:val="6"/>
          </w:tcPr>
          <w:p>
            <w:pPr>
              <w:spacing w:after="0"/>
              <w:rPr>
                <w:sz w:val="20"/>
                <w:szCs w:val="20"/>
                <w:color w:val="auto"/>
              </w:rPr>
            </w:pPr>
            <w:r>
              <w:rPr>
                <w:rFonts w:ascii="Arial" w:cs="Arial" w:eastAsia="Arial" w:hAnsi="Arial"/>
                <w:sz w:val="18"/>
                <w:szCs w:val="18"/>
                <w:color w:val="auto"/>
              </w:rPr>
              <w:t xml:space="preserve">“Performance Unit” means a bookkeeping entry awarded pursuant to </w:t>
            </w:r>
            <w:r>
              <w:rPr>
                <w:rFonts w:ascii="Arial" w:cs="Arial" w:eastAsia="Arial" w:hAnsi="Arial"/>
                <w:sz w:val="18"/>
                <w:szCs w:val="18"/>
                <w:b w:val="1"/>
                <w:bCs w:val="1"/>
                <w:color w:val="auto"/>
              </w:rPr>
              <w:t>Section 8</w:t>
            </w:r>
            <w:r>
              <w:rPr>
                <w:rFonts w:ascii="Arial" w:cs="Arial" w:eastAsia="Arial" w:hAnsi="Arial"/>
                <w:sz w:val="18"/>
                <w:szCs w:val="18"/>
                <w:color w:val="auto"/>
              </w:rPr>
              <w:t xml:space="preserve"> of the Plan that records a unit equivalent to</w:t>
            </w:r>
          </w:p>
        </w:tc>
      </w:tr>
      <w:tr>
        <w:trPr>
          <w:trHeight w:val="20"/>
        </w:trPr>
        <w:tc>
          <w:tcPr>
            <w:tcW w:w="640" w:type="dxa"/>
            <w:vAlign w:val="bottom"/>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4"/>
        </w:trPr>
        <w:tc>
          <w:tcPr>
            <w:tcW w:w="640" w:type="dxa"/>
            <w:vAlign w:val="bottom"/>
          </w:tcPr>
          <w:p>
            <w:pPr>
              <w:spacing w:after="0"/>
              <w:rPr>
                <w:sz w:val="22"/>
                <w:szCs w:val="22"/>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$1.00 or such other value as is determined by the Compensation Committee.</w:t>
            </w:r>
          </w:p>
        </w:tc>
      </w:tr>
      <w:tr>
        <w:trPr>
          <w:trHeight w:val="702"/>
        </w:trPr>
        <w:tc>
          <w:tcPr>
            <w:tcW w:w="640" w:type="dxa"/>
            <w:vAlign w:val="bottom"/>
          </w:tcPr>
          <w:p>
            <w:pPr>
              <w:spacing w:after="0"/>
              <w:rPr>
                <w:sz w:val="24"/>
                <w:szCs w:val="24"/>
                <w:color w:val="auto"/>
              </w:rPr>
            </w:pPr>
          </w:p>
        </w:tc>
        <w:tc>
          <w:tcPr>
            <w:tcW w:w="5680" w:type="dxa"/>
            <w:vAlign w:val="bottom"/>
            <w:gridSpan w:val="4"/>
          </w:tcPr>
          <w:p>
            <w:pPr>
              <w:ind w:left="4360"/>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AJ.</w:t>
            </w:r>
          </w:p>
        </w:tc>
        <w:tc>
          <w:tcPr>
            <w:tcW w:w="10120" w:type="dxa"/>
            <w:vAlign w:val="bottom"/>
            <w:gridSpan w:val="7"/>
          </w:tcPr>
          <w:p>
            <w:pPr>
              <w:spacing w:after="0"/>
              <w:rPr>
                <w:sz w:val="20"/>
                <w:szCs w:val="20"/>
                <w:color w:val="auto"/>
              </w:rPr>
            </w:pPr>
            <w:r>
              <w:rPr>
                <w:rFonts w:ascii="Arial" w:cs="Arial" w:eastAsia="Arial" w:hAnsi="Arial"/>
                <w:sz w:val="18"/>
                <w:szCs w:val="18"/>
                <w:color w:val="auto"/>
              </w:rPr>
              <w:t>“Person” means shall have the meaning given in Section 3(a)(9) of the Exchange Act, as modified and used in Sections 13(d)</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and 14(d) thereof, except that such term shall not include (i) the Corporation or any director or indirect subsidiary thereof, (ii) a</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trustee or other fiduciary holding securities under an employee benefit plan of the Corporation or any direct or indirect</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subsidiary thereof, (iii) an underwriter temporarily holding securities pursuant to an offering of such securities, or (iv) a</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corporation owned, directly or indirectly, by the shareholders of the Corporation in substantially the same proportions as their</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ownership of stock of the Corporation.</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AK.</w:t>
            </w:r>
          </w:p>
        </w:tc>
        <w:tc>
          <w:tcPr>
            <w:tcW w:w="10120" w:type="dxa"/>
            <w:vAlign w:val="bottom"/>
            <w:gridSpan w:val="7"/>
          </w:tcPr>
          <w:p>
            <w:pPr>
              <w:spacing w:after="0"/>
              <w:rPr>
                <w:sz w:val="20"/>
                <w:szCs w:val="20"/>
                <w:color w:val="auto"/>
              </w:rPr>
            </w:pPr>
            <w:r>
              <w:rPr>
                <w:rFonts w:ascii="Arial" w:cs="Arial" w:eastAsia="Arial" w:hAnsi="Arial"/>
                <w:sz w:val="18"/>
                <w:szCs w:val="18"/>
                <w:color w:val="auto"/>
              </w:rPr>
              <w:t>“Plan” means this Gentex Corporation 2019 Omnibus Incentive Plan, as it may be amended from time to time.</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AL.</w:t>
            </w:r>
          </w:p>
        </w:tc>
        <w:tc>
          <w:tcPr>
            <w:tcW w:w="10120" w:type="dxa"/>
            <w:vAlign w:val="bottom"/>
            <w:gridSpan w:val="7"/>
          </w:tcPr>
          <w:p>
            <w:pPr>
              <w:spacing w:after="0"/>
              <w:rPr>
                <w:sz w:val="20"/>
                <w:szCs w:val="20"/>
                <w:color w:val="auto"/>
              </w:rPr>
            </w:pPr>
            <w:r>
              <w:rPr>
                <w:rFonts w:ascii="Arial" w:cs="Arial" w:eastAsia="Arial" w:hAnsi="Arial"/>
                <w:sz w:val="18"/>
                <w:szCs w:val="18"/>
                <w:color w:val="auto"/>
              </w:rPr>
              <w:t>“Prior Plans” means the Employee Stock Option Plan, Second Restricted Stock Plan, and 2012 Amended and Restated</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Nonemployee Director Stock Option Plan.</w:t>
            </w:r>
          </w:p>
        </w:tc>
      </w:tr>
      <w:tr>
        <w:trPr>
          <w:trHeight w:val="527"/>
        </w:trPr>
        <w:tc>
          <w:tcPr>
            <w:tcW w:w="640" w:type="dxa"/>
            <w:vAlign w:val="bottom"/>
          </w:tcPr>
          <w:p>
            <w:pPr>
              <w:spacing w:after="0"/>
              <w:rPr>
                <w:sz w:val="20"/>
                <w:szCs w:val="20"/>
                <w:color w:val="auto"/>
              </w:rPr>
            </w:pPr>
            <w:r>
              <w:rPr>
                <w:rFonts w:ascii="Arial" w:cs="Arial" w:eastAsia="Arial" w:hAnsi="Arial"/>
                <w:sz w:val="18"/>
                <w:szCs w:val="18"/>
                <w:color w:val="auto"/>
              </w:rPr>
              <w:t>AM.</w:t>
            </w:r>
          </w:p>
        </w:tc>
        <w:tc>
          <w:tcPr>
            <w:tcW w:w="10120" w:type="dxa"/>
            <w:vAlign w:val="bottom"/>
            <w:gridSpan w:val="7"/>
          </w:tcPr>
          <w:p>
            <w:pPr>
              <w:spacing w:after="0"/>
              <w:rPr>
                <w:sz w:val="20"/>
                <w:szCs w:val="20"/>
                <w:color w:val="auto"/>
              </w:rPr>
            </w:pPr>
            <w:r>
              <w:rPr>
                <w:rFonts w:ascii="Arial" w:cs="Arial" w:eastAsia="Arial" w:hAnsi="Arial"/>
                <w:sz w:val="18"/>
                <w:szCs w:val="18"/>
                <w:color w:val="auto"/>
              </w:rPr>
              <w:t xml:space="preserve">“Restricted Stock” means shares of Common Stock granted pursuant to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of the Plan.</w:t>
            </w:r>
          </w:p>
        </w:tc>
      </w:tr>
      <w:tr>
        <w:trPr>
          <w:trHeight w:val="20"/>
        </w:trPr>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547"/>
        </w:trPr>
        <w:tc>
          <w:tcPr>
            <w:tcW w:w="640" w:type="dxa"/>
            <w:vAlign w:val="bottom"/>
          </w:tcPr>
          <w:p>
            <w:pPr>
              <w:spacing w:after="0"/>
              <w:rPr>
                <w:sz w:val="20"/>
                <w:szCs w:val="20"/>
                <w:color w:val="auto"/>
              </w:rPr>
            </w:pPr>
            <w:r>
              <w:rPr>
                <w:rFonts w:ascii="Arial" w:cs="Arial" w:eastAsia="Arial" w:hAnsi="Arial"/>
                <w:sz w:val="18"/>
                <w:szCs w:val="18"/>
                <w:color w:val="auto"/>
              </w:rPr>
              <w:t>AN.</w:t>
            </w:r>
          </w:p>
        </w:tc>
        <w:tc>
          <w:tcPr>
            <w:tcW w:w="10120" w:type="dxa"/>
            <w:vAlign w:val="bottom"/>
            <w:gridSpan w:val="7"/>
          </w:tcPr>
          <w:p>
            <w:pPr>
              <w:spacing w:after="0"/>
              <w:rPr>
                <w:sz w:val="20"/>
                <w:szCs w:val="20"/>
                <w:color w:val="auto"/>
              </w:rPr>
            </w:pPr>
            <w:r>
              <w:rPr>
                <w:rFonts w:ascii="Arial" w:cs="Arial" w:eastAsia="Arial" w:hAnsi="Arial"/>
                <w:sz w:val="18"/>
                <w:szCs w:val="18"/>
                <w:color w:val="auto"/>
              </w:rPr>
              <w:t xml:space="preserve">“Restricted Stock Unit” means an award granted pursuant to </w:t>
            </w:r>
            <w:r>
              <w:rPr>
                <w:rFonts w:ascii="Arial" w:cs="Arial" w:eastAsia="Arial" w:hAnsi="Arial"/>
                <w:sz w:val="18"/>
                <w:szCs w:val="18"/>
                <w:b w:val="1"/>
                <w:bCs w:val="1"/>
                <w:color w:val="auto"/>
              </w:rPr>
              <w:t>Section 7</w:t>
            </w:r>
            <w:r>
              <w:rPr>
                <w:rFonts w:ascii="Arial" w:cs="Arial" w:eastAsia="Arial" w:hAnsi="Arial"/>
                <w:sz w:val="18"/>
                <w:szCs w:val="18"/>
                <w:color w:val="auto"/>
              </w:rPr>
              <w:t xml:space="preserve"> of the Plan of the right to receive shares of Common</w:t>
            </w:r>
          </w:p>
        </w:tc>
      </w:tr>
      <w:tr>
        <w:trPr>
          <w:trHeight w:val="264"/>
        </w:trPr>
        <w:tc>
          <w:tcPr>
            <w:tcW w:w="64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Stock or cash at the end of the Restriction Period.</w:t>
            </w:r>
          </w:p>
        </w:tc>
        <w:tc>
          <w:tcPr>
            <w:tcW w:w="800" w:type="dxa"/>
            <w:vAlign w:val="bottom"/>
            <w:tcBorders>
              <w:top w:val="single" w:sz="8" w:color="auto"/>
            </w:tcBorders>
          </w:tcPr>
          <w:p>
            <w:pPr>
              <w:spacing w:after="0"/>
              <w:rPr>
                <w:sz w:val="22"/>
                <w:szCs w:val="22"/>
                <w:color w:val="auto"/>
              </w:rPr>
            </w:pPr>
          </w:p>
        </w:tc>
        <w:tc>
          <w:tcPr>
            <w:tcW w:w="4360" w:type="dxa"/>
            <w:vAlign w:val="bottom"/>
            <w:gridSpan w:val="4"/>
          </w:tcPr>
          <w:p>
            <w:pPr>
              <w:spacing w:after="0"/>
              <w:rPr>
                <w:sz w:val="22"/>
                <w:szCs w:val="22"/>
                <w:color w:val="auto"/>
              </w:rPr>
            </w:pP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AO.</w:t>
            </w:r>
          </w:p>
        </w:tc>
        <w:tc>
          <w:tcPr>
            <w:tcW w:w="10120" w:type="dxa"/>
            <w:vAlign w:val="bottom"/>
            <w:gridSpan w:val="7"/>
          </w:tcPr>
          <w:p>
            <w:pPr>
              <w:spacing w:after="0"/>
              <w:rPr>
                <w:sz w:val="20"/>
                <w:szCs w:val="20"/>
                <w:color w:val="auto"/>
              </w:rPr>
            </w:pPr>
            <w:r>
              <w:rPr>
                <w:rFonts w:ascii="Arial" w:cs="Arial" w:eastAsia="Arial" w:hAnsi="Arial"/>
                <w:sz w:val="18"/>
                <w:szCs w:val="18"/>
                <w:color w:val="auto"/>
              </w:rPr>
              <w:t>"Restriction Period” means the period of time during which Restricted Stock Units are subject to restrictions, as provided in</w:t>
            </w:r>
          </w:p>
        </w:tc>
      </w:tr>
      <w:tr>
        <w:trPr>
          <w:trHeight w:val="203"/>
        </w:trPr>
        <w:tc>
          <w:tcPr>
            <w:tcW w:w="640" w:type="dxa"/>
            <w:vAlign w:val="bottom"/>
          </w:tcPr>
          <w:p>
            <w:pPr>
              <w:spacing w:after="0"/>
              <w:rPr>
                <w:sz w:val="17"/>
                <w:szCs w:val="17"/>
                <w:color w:val="auto"/>
              </w:rPr>
            </w:pPr>
          </w:p>
        </w:tc>
        <w:tc>
          <w:tcPr>
            <w:tcW w:w="10120" w:type="dxa"/>
            <w:vAlign w:val="bottom"/>
            <w:gridSpan w:val="7"/>
          </w:tcPr>
          <w:p>
            <w:pPr>
              <w:spacing w:after="0" w:line="202" w:lineRule="exact"/>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of the plan.</w:t>
            </w:r>
          </w:p>
        </w:tc>
      </w:tr>
      <w:tr>
        <w:trPr>
          <w:trHeight w:val="20"/>
        </w:trPr>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588"/>
        </w:trPr>
        <w:tc>
          <w:tcPr>
            <w:tcW w:w="640" w:type="dxa"/>
            <w:vAlign w:val="bottom"/>
          </w:tcPr>
          <w:p>
            <w:pPr>
              <w:spacing w:after="0"/>
              <w:rPr>
                <w:sz w:val="20"/>
                <w:szCs w:val="20"/>
                <w:color w:val="auto"/>
              </w:rPr>
            </w:pPr>
            <w:r>
              <w:rPr>
                <w:rFonts w:ascii="Arial" w:cs="Arial" w:eastAsia="Arial" w:hAnsi="Arial"/>
                <w:sz w:val="18"/>
                <w:szCs w:val="18"/>
                <w:color w:val="auto"/>
              </w:rPr>
              <w:t>AP.</w:t>
            </w:r>
          </w:p>
        </w:tc>
        <w:tc>
          <w:tcPr>
            <w:tcW w:w="10120" w:type="dxa"/>
            <w:vAlign w:val="bottom"/>
            <w:gridSpan w:val="7"/>
          </w:tcPr>
          <w:p>
            <w:pPr>
              <w:spacing w:after="0"/>
              <w:rPr>
                <w:sz w:val="20"/>
                <w:szCs w:val="20"/>
                <w:color w:val="auto"/>
              </w:rPr>
            </w:pPr>
            <w:r>
              <w:rPr>
                <w:rFonts w:ascii="Arial" w:cs="Arial" w:eastAsia="Arial" w:hAnsi="Arial"/>
                <w:sz w:val="18"/>
                <w:szCs w:val="18"/>
                <w:color w:val="auto"/>
              </w:rPr>
              <w:t>“Spread” means the excess of the Market Value per Share on the date when an (i) Option Right is exercised over the Option</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Price, or (ii) Appreciation Right is exercised over the Option Price or Base Price provided for in the related Option Right or</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Free-Standing Appreciation Right, respectively.</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AQ.</w:t>
            </w:r>
          </w:p>
        </w:tc>
        <w:tc>
          <w:tcPr>
            <w:tcW w:w="10120" w:type="dxa"/>
            <w:vAlign w:val="bottom"/>
            <w:gridSpan w:val="7"/>
          </w:tcPr>
          <w:p>
            <w:pPr>
              <w:spacing w:after="0"/>
              <w:rPr>
                <w:sz w:val="20"/>
                <w:szCs w:val="20"/>
                <w:color w:val="auto"/>
              </w:rPr>
            </w:pPr>
            <w:r>
              <w:rPr>
                <w:rFonts w:ascii="Arial" w:cs="Arial" w:eastAsia="Arial" w:hAnsi="Arial"/>
                <w:sz w:val="18"/>
                <w:szCs w:val="18"/>
                <w:color w:val="auto"/>
              </w:rPr>
              <w:t>“Subsidiary” means a corporation, company or other entity (i) more than 50% of whose outstanding shares or securities</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(representing the right to vote for the election of directors or other managing authority) are, or (ii) which does not have</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outstanding shares or securities (as may be the case in a partnership, joint venture or unincorporated association), but more</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than 50% of whose ownership interest representing the right generally to make decisions for such other entity is, now or</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hereafter, owned or controlled, directly or indirectly, by the Corporation, except that for purposes of determining whether any</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person may be a Participant for purposes of any grant of Incentive Stock Options, “Subsidiary” means a “subsidiary</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corporation” within the meaning of Section 424(f) of the Code.</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AR.</w:t>
            </w:r>
          </w:p>
        </w:tc>
        <w:tc>
          <w:tcPr>
            <w:tcW w:w="10120" w:type="dxa"/>
            <w:vAlign w:val="bottom"/>
            <w:gridSpan w:val="7"/>
          </w:tcPr>
          <w:p>
            <w:pPr>
              <w:spacing w:after="0"/>
              <w:rPr>
                <w:sz w:val="20"/>
                <w:szCs w:val="20"/>
                <w:color w:val="auto"/>
              </w:rPr>
            </w:pPr>
            <w:r>
              <w:rPr>
                <w:rFonts w:ascii="Arial" w:cs="Arial" w:eastAsia="Arial" w:hAnsi="Arial"/>
                <w:sz w:val="18"/>
                <w:szCs w:val="18"/>
                <w:color w:val="auto"/>
              </w:rPr>
              <w:t>“Substitute Awards” means Awards that are granted in assumption of, or in substitution or exchange for, outstanding awards</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previously granted by an entity acquired directly or indirectly by the Corporation or with which the Corporation directly or</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indirectly combines.</w:t>
            </w:r>
          </w:p>
        </w:tc>
      </w:tr>
      <w:tr>
        <w:trPr>
          <w:trHeight w:val="527"/>
        </w:trPr>
        <w:tc>
          <w:tcPr>
            <w:tcW w:w="640" w:type="dxa"/>
            <w:vAlign w:val="bottom"/>
          </w:tcPr>
          <w:p>
            <w:pPr>
              <w:spacing w:after="0"/>
              <w:rPr>
                <w:sz w:val="20"/>
                <w:szCs w:val="20"/>
                <w:color w:val="auto"/>
              </w:rPr>
            </w:pPr>
            <w:r>
              <w:rPr>
                <w:rFonts w:ascii="Arial" w:cs="Arial" w:eastAsia="Arial" w:hAnsi="Arial"/>
                <w:sz w:val="18"/>
                <w:szCs w:val="18"/>
                <w:color w:val="auto"/>
              </w:rPr>
              <w:t>AS.</w:t>
            </w:r>
          </w:p>
        </w:tc>
        <w:tc>
          <w:tcPr>
            <w:tcW w:w="10120" w:type="dxa"/>
            <w:vAlign w:val="bottom"/>
            <w:gridSpan w:val="7"/>
          </w:tcPr>
          <w:p>
            <w:pPr>
              <w:spacing w:after="0"/>
              <w:rPr>
                <w:sz w:val="20"/>
                <w:szCs w:val="20"/>
                <w:color w:val="auto"/>
              </w:rPr>
            </w:pPr>
            <w:r>
              <w:rPr>
                <w:rFonts w:ascii="Arial" w:cs="Arial" w:eastAsia="Arial" w:hAnsi="Arial"/>
                <w:sz w:val="18"/>
                <w:szCs w:val="18"/>
                <w:color w:val="auto"/>
              </w:rPr>
              <w:t xml:space="preserve">“Tandem Appreciation Right” means an Appreciation Right granted pursuant to </w:t>
            </w:r>
            <w:r>
              <w:rPr>
                <w:rFonts w:ascii="Arial" w:cs="Arial" w:eastAsia="Arial" w:hAnsi="Arial"/>
                <w:sz w:val="18"/>
                <w:szCs w:val="18"/>
                <w:b w:val="1"/>
                <w:bCs w:val="1"/>
                <w:color w:val="auto"/>
              </w:rPr>
              <w:t>Section 5</w:t>
            </w:r>
            <w:r>
              <w:rPr>
                <w:rFonts w:ascii="Arial" w:cs="Arial" w:eastAsia="Arial" w:hAnsi="Arial"/>
                <w:sz w:val="18"/>
                <w:szCs w:val="18"/>
                <w:color w:val="auto"/>
              </w:rPr>
              <w:t xml:space="preserve"> of the Plan that is granted in tandem</w:t>
            </w:r>
          </w:p>
        </w:tc>
      </w:tr>
      <w:tr>
        <w:trPr>
          <w:trHeight w:val="264"/>
        </w:trPr>
        <w:tc>
          <w:tcPr>
            <w:tcW w:w="640" w:type="dxa"/>
            <w:vAlign w:val="bottom"/>
          </w:tcPr>
          <w:p>
            <w:pPr>
              <w:spacing w:after="0"/>
              <w:rPr>
                <w:sz w:val="22"/>
                <w:szCs w:val="22"/>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with an Option Right.</w:t>
            </w:r>
          </w:p>
        </w:tc>
        <w:tc>
          <w:tcPr>
            <w:tcW w:w="800" w:type="dxa"/>
            <w:vAlign w:val="bottom"/>
            <w:tcBorders>
              <w:top w:val="single" w:sz="8" w:color="auto"/>
            </w:tcBorders>
            <w:gridSpan w:val="2"/>
          </w:tcPr>
          <w:p>
            <w:pPr>
              <w:spacing w:after="0"/>
              <w:rPr>
                <w:sz w:val="22"/>
                <w:szCs w:val="22"/>
                <w:color w:val="auto"/>
              </w:rPr>
            </w:pPr>
          </w:p>
        </w:tc>
        <w:tc>
          <w:tcPr>
            <w:tcW w:w="2980" w:type="dxa"/>
            <w:vAlign w:val="bottom"/>
          </w:tcPr>
          <w:p>
            <w:pPr>
              <w:spacing w:after="0"/>
              <w:rPr>
                <w:sz w:val="22"/>
                <w:szCs w:val="22"/>
                <w:color w:val="auto"/>
              </w:rPr>
            </w:pP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AT.</w:t>
            </w:r>
          </w:p>
        </w:tc>
        <w:tc>
          <w:tcPr>
            <w:tcW w:w="10120" w:type="dxa"/>
            <w:vAlign w:val="bottom"/>
            <w:gridSpan w:val="7"/>
          </w:tcPr>
          <w:p>
            <w:pPr>
              <w:spacing w:after="0"/>
              <w:rPr>
                <w:sz w:val="20"/>
                <w:szCs w:val="20"/>
                <w:color w:val="auto"/>
              </w:rPr>
            </w:pPr>
            <w:r>
              <w:rPr>
                <w:rFonts w:ascii="Arial" w:cs="Arial" w:eastAsia="Arial" w:hAnsi="Arial"/>
                <w:sz w:val="18"/>
                <w:szCs w:val="18"/>
                <w:color w:val="auto"/>
              </w:rPr>
              <w:t>“Ten Percent Shareholder” means any Participant who owns more than 10% of the combined voting power of all classes of</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stock of the Corporation, within the meaning of Section 422 of the Code.</w:t>
            </w:r>
          </w:p>
        </w:tc>
      </w:tr>
      <w:tr>
        <w:trPr>
          <w:trHeight w:val="567"/>
        </w:trPr>
        <w:tc>
          <w:tcPr>
            <w:tcW w:w="640" w:type="dxa"/>
            <w:vAlign w:val="bottom"/>
          </w:tcPr>
          <w:p>
            <w:pPr>
              <w:spacing w:after="0"/>
              <w:rPr>
                <w:sz w:val="20"/>
                <w:szCs w:val="20"/>
                <w:color w:val="auto"/>
              </w:rPr>
            </w:pPr>
            <w:r>
              <w:rPr>
                <w:rFonts w:ascii="Arial" w:cs="Arial" w:eastAsia="Arial" w:hAnsi="Arial"/>
                <w:sz w:val="18"/>
                <w:szCs w:val="18"/>
                <w:color w:val="auto"/>
              </w:rPr>
              <w:t>AU.</w:t>
            </w:r>
          </w:p>
        </w:tc>
        <w:tc>
          <w:tcPr>
            <w:tcW w:w="10120" w:type="dxa"/>
            <w:vAlign w:val="bottom"/>
            <w:gridSpan w:val="7"/>
          </w:tcPr>
          <w:p>
            <w:pPr>
              <w:spacing w:after="0"/>
              <w:rPr>
                <w:sz w:val="20"/>
                <w:szCs w:val="20"/>
                <w:color w:val="auto"/>
              </w:rPr>
            </w:pPr>
            <w:r>
              <w:rPr>
                <w:rFonts w:ascii="Arial" w:cs="Arial" w:eastAsia="Arial" w:hAnsi="Arial"/>
                <w:sz w:val="18"/>
                <w:szCs w:val="18"/>
                <w:color w:val="auto"/>
              </w:rPr>
              <w:t>“Termination Date,” for purposes of the Plan, except as may be otherwise prescribed by the Compensation Committee or an</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Authorized Officer in an Evidence of Award, means with respect to any Employee, the date on which the Employee ceases to</w:t>
            </w:r>
          </w:p>
        </w:tc>
      </w:tr>
      <w:tr>
        <w:trPr>
          <w:trHeight w:val="243"/>
        </w:trPr>
        <w:tc>
          <w:tcPr>
            <w:tcW w:w="640" w:type="dxa"/>
            <w:vAlign w:val="bottom"/>
          </w:tcPr>
          <w:p>
            <w:pPr>
              <w:spacing w:after="0"/>
              <w:rPr>
                <w:sz w:val="21"/>
                <w:szCs w:val="21"/>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be employed by an Employer.</w:t>
            </w:r>
          </w:p>
        </w:tc>
      </w:tr>
      <w:tr>
        <w:trPr>
          <w:trHeight w:val="702"/>
        </w:trPr>
        <w:tc>
          <w:tcPr>
            <w:tcW w:w="640" w:type="dxa"/>
            <w:vAlign w:val="bottom"/>
          </w:tcPr>
          <w:p>
            <w:pPr>
              <w:spacing w:after="0"/>
              <w:rPr>
                <w:sz w:val="24"/>
                <w:szCs w:val="24"/>
                <w:color w:val="auto"/>
              </w:rPr>
            </w:pPr>
          </w:p>
        </w:tc>
        <w:tc>
          <w:tcPr>
            <w:tcW w:w="4960" w:type="dxa"/>
            <w:vAlign w:val="bottom"/>
            <w:gridSpan w:val="2"/>
          </w:tcPr>
          <w:p>
            <w:pPr>
              <w:ind w:left="436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ectPr>
          <w:pgSz w:w="11900" w:h="16838" w:orient="portrait"/>
          <w:cols w:equalWidth="0" w:num="1">
            <w:col w:w="10760"/>
          </w:cols>
          <w:pgMar w:left="900" w:top="503" w:right="239" w:bottom="1440" w:gutter="0" w:footer="0" w:header="0"/>
        </w:sectPr>
      </w:pPr>
    </w:p>
    <w:bookmarkStart w:id="76" w:name="page77"/>
    <w:bookmarkEnd w:id="76"/>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THIS PLAN.</w:t>
      </w:r>
    </w:p>
    <w:p>
      <w:pPr>
        <w:spacing w:after="0" w:line="38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Maximum Shares Available Under Plan.</w:t>
      </w:r>
    </w:p>
    <w:p>
      <w:pPr>
        <w:spacing w:after="0" w:line="338" w:lineRule="exact"/>
        <w:rPr>
          <w:rFonts w:ascii="Arial" w:cs="Arial" w:eastAsia="Arial" w:hAnsi="Arial"/>
          <w:sz w:val="18"/>
          <w:szCs w:val="18"/>
          <w:b w:val="1"/>
          <w:bCs w:val="1"/>
          <w:color w:val="auto"/>
        </w:rPr>
      </w:pPr>
    </w:p>
    <w:p>
      <w:pPr>
        <w:jc w:val="both"/>
        <w:ind w:left="1960" w:hanging="655"/>
        <w:spacing w:after="0" w:line="294" w:lineRule="auto"/>
        <w:tabs>
          <w:tab w:leader="none" w:pos="1960"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b w:val="1"/>
          <w:bCs w:val="1"/>
          <w:u w:val="single" w:color="auto"/>
          <w:color w:val="auto"/>
        </w:rPr>
        <w:t>Section 13</w:t>
      </w:r>
      <w:r>
        <w:rPr>
          <w:rFonts w:ascii="Arial" w:cs="Arial" w:eastAsia="Arial" w:hAnsi="Arial"/>
          <w:sz w:val="18"/>
          <w:szCs w:val="18"/>
          <w:color w:val="auto"/>
        </w:rPr>
        <w:t xml:space="preserve"> of the Plan, the maximum aggregate number of shares of Common Stock that may be issued or delivered under the Plan is ___________ shares of Common Stock, of which up to</w:t>
      </w:r>
    </w:p>
    <w:p>
      <w:pPr>
        <w:spacing w:after="0" w:line="1" w:lineRule="exact"/>
        <w:rPr>
          <w:rFonts w:ascii="Arial" w:cs="Arial" w:eastAsia="Arial" w:hAnsi="Arial"/>
          <w:sz w:val="18"/>
          <w:szCs w:val="18"/>
          <w:b w:val="1"/>
          <w:bCs w:val="1"/>
          <w:color w:val="auto"/>
        </w:rPr>
      </w:pPr>
    </w:p>
    <w:p>
      <w:pPr>
        <w:jc w:val="both"/>
        <w:ind w:left="1960"/>
        <w:spacing w:after="0" w:line="284" w:lineRule="auto"/>
        <w:rPr>
          <w:rFonts w:ascii="Arial" w:cs="Arial" w:eastAsia="Arial" w:hAnsi="Arial"/>
          <w:sz w:val="18"/>
          <w:szCs w:val="18"/>
          <w:b w:val="1"/>
          <w:bCs w:val="1"/>
          <w:color w:val="auto"/>
        </w:rPr>
      </w:pPr>
      <w:r>
        <w:rPr>
          <w:rFonts w:ascii="Arial" w:cs="Arial" w:eastAsia="Arial" w:hAnsi="Arial"/>
          <w:sz w:val="18"/>
          <w:szCs w:val="18"/>
          <w:color w:val="auto"/>
        </w:rPr>
        <w:t>______ shares of Common Stock may be awarded under the plan in the aggregate in respect of Awards other than Option Rights and/or Appreciation Rights, plus the number of shares of Common Stock underlying Substitute Awards. From and after the Effective Date, no new grants shall be made under the Prior Plans, but outstanding grants made under the Prior Plans will remain subject to the terms and conditions of the Prior Plans. Any Award that by its terms can be settled only in cash shall not count against the number of shares of Common Stock available for award under the Plan.</w:t>
      </w:r>
    </w:p>
    <w:p>
      <w:pPr>
        <w:spacing w:after="0" w:line="291" w:lineRule="exact"/>
        <w:rPr>
          <w:rFonts w:ascii="Arial" w:cs="Arial" w:eastAsia="Arial" w:hAnsi="Arial"/>
          <w:sz w:val="18"/>
          <w:szCs w:val="18"/>
          <w:b w:val="1"/>
          <w:bCs w:val="1"/>
          <w:color w:val="auto"/>
        </w:rPr>
      </w:pPr>
    </w:p>
    <w:p>
      <w:pPr>
        <w:jc w:val="both"/>
        <w:ind w:left="1960" w:hanging="655"/>
        <w:spacing w:after="0" w:line="288" w:lineRule="auto"/>
        <w:tabs>
          <w:tab w:leader="none" w:pos="1960"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In addition to the shares of Common Stock authorized in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the Plan, if and to the extent any (A) Option Right, Appreciation Right or other Award granted pursuant to this Plan or the Prior Plans terminates, expires or is forfeited without having been exercised or settled in full, or (B) Award granted pursuant to this Plan or the Prior Plans that may be settled in either cash or shares of Common Stock is settled in cash, then the underlying shares of</w:t>
      </w:r>
    </w:p>
    <w:p>
      <w:pPr>
        <w:ind w:left="196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 xml:space="preserve">Common Stock again shall be available for grant under this Plan and credited toward the Plan limit as set forth in </w:t>
      </w:r>
      <w:r>
        <w:rPr>
          <w:rFonts w:ascii="Arial" w:cs="Arial" w:eastAsia="Arial" w:hAnsi="Arial"/>
          <w:sz w:val="18"/>
          <w:szCs w:val="18"/>
          <w:b w:val="1"/>
          <w:bCs w:val="1"/>
          <w:u w:val="single" w:color="auto"/>
          <w:color w:val="auto"/>
        </w:rPr>
        <w:t>Section 3.A.i.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w:t>
      </w:r>
    </w:p>
    <w:p>
      <w:pPr>
        <w:spacing w:after="0" w:line="304" w:lineRule="exact"/>
        <w:rPr>
          <w:rFonts w:ascii="Arial" w:cs="Arial" w:eastAsia="Arial" w:hAnsi="Arial"/>
          <w:sz w:val="18"/>
          <w:szCs w:val="18"/>
          <w:b w:val="1"/>
          <w:bCs w:val="1"/>
          <w:color w:val="auto"/>
        </w:rPr>
      </w:pPr>
    </w:p>
    <w:p>
      <w:pPr>
        <w:jc w:val="both"/>
        <w:ind w:left="1960" w:hanging="655"/>
        <w:spacing w:after="0" w:line="283" w:lineRule="auto"/>
        <w:tabs>
          <w:tab w:leader="none" w:pos="1960"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Shares of Common Stock that are tendered, whether by physical delivery or by attestation, to the Corporation by a Participant or withheld from the Award by the Corporation as full or partial payment of the exercise price of any Award or in payment of any applicable withholding for Federal, state, city, local or foreign taxes incurred in connection with the exercise, vesting or earning of any Award under the Plan will not become available for future grants under the Plan. With respect to an Appreciation Right, when such Appreciation Right is exercised and settled in shares of Common Stock, the shares of Common Stock subject to such Appreciation Right shall be counted against the shares of Common Stock available for issuance under the Plan as one share of Common Stock for every one share of Common Stock subject thereto, regardless of the number of shares of Common Stock used to settle the Appreciation Right upon exercise.</w:t>
      </w:r>
    </w:p>
    <w:p>
      <w:pPr>
        <w:spacing w:after="0" w:line="293" w:lineRule="exact"/>
        <w:rPr>
          <w:rFonts w:ascii="Arial" w:cs="Arial" w:eastAsia="Arial" w:hAnsi="Arial"/>
          <w:sz w:val="18"/>
          <w:szCs w:val="18"/>
          <w:b w:val="1"/>
          <w:bCs w:val="1"/>
          <w:color w:val="auto"/>
        </w:rPr>
      </w:pPr>
    </w:p>
    <w:p>
      <w:pPr>
        <w:jc w:val="both"/>
        <w:ind w:left="1300" w:hanging="644"/>
        <w:spacing w:after="0" w:line="300" w:lineRule="auto"/>
        <w:tabs>
          <w:tab w:leader="none" w:pos="1300" w:val="left"/>
        </w:tabs>
        <w:numPr>
          <w:ilvl w:val="1"/>
          <w:numId w:val="52"/>
        </w:numPr>
        <w:rPr>
          <w:rFonts w:ascii="Arial" w:cs="Arial" w:eastAsia="Arial" w:hAnsi="Arial"/>
          <w:sz w:val="18"/>
          <w:szCs w:val="18"/>
          <w:b w:val="1"/>
          <w:bCs w:val="1"/>
          <w:color w:val="auto"/>
        </w:rPr>
      </w:pPr>
      <w:r>
        <w:rPr>
          <w:rFonts w:ascii="Arial" w:cs="Arial" w:eastAsia="Arial" w:hAnsi="Arial"/>
          <w:sz w:val="18"/>
          <w:szCs w:val="18"/>
          <w:u w:val="single" w:color="auto"/>
          <w:color w:val="auto"/>
        </w:rPr>
        <w:t>Life-of-Plan Limits.</w:t>
      </w:r>
      <w:r>
        <w:rPr>
          <w:rFonts w:ascii="Arial" w:cs="Arial" w:eastAsia="Arial" w:hAnsi="Arial"/>
          <w:sz w:val="18"/>
          <w:szCs w:val="18"/>
          <w:color w:val="auto"/>
        </w:rPr>
        <w:t xml:space="preserve"> Notwithstanding anything in this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or elsewhere in this Plan, to the contrary and subject to adjustment pursuant to </w:t>
      </w:r>
      <w:r>
        <w:rPr>
          <w:rFonts w:ascii="Arial" w:cs="Arial" w:eastAsia="Arial" w:hAnsi="Arial"/>
          <w:sz w:val="18"/>
          <w:szCs w:val="18"/>
          <w:b w:val="1"/>
          <w:bCs w:val="1"/>
          <w:u w:val="single" w:color="auto"/>
          <w:color w:val="auto"/>
        </w:rPr>
        <w:t>Section 13</w:t>
      </w:r>
      <w:r>
        <w:rPr>
          <w:rFonts w:ascii="Arial" w:cs="Arial" w:eastAsia="Arial" w:hAnsi="Arial"/>
          <w:sz w:val="18"/>
          <w:szCs w:val="18"/>
          <w:color w:val="auto"/>
        </w:rPr>
        <w:t xml:space="preserve"> of the Plan, the aggregate number of shares of Common Stock actually issued or transferred by the Corporation upon the exercise of Incentive Stock Options shall not exceed _______________.</w:t>
      </w:r>
    </w:p>
    <w:p>
      <w:pPr>
        <w:spacing w:after="0" w:line="277" w:lineRule="exact"/>
        <w:rPr>
          <w:rFonts w:ascii="Arial" w:cs="Arial" w:eastAsia="Arial" w:hAnsi="Arial"/>
          <w:sz w:val="18"/>
          <w:szCs w:val="18"/>
          <w:b w:val="1"/>
          <w:bCs w:val="1"/>
          <w:color w:val="auto"/>
        </w:rPr>
      </w:pPr>
    </w:p>
    <w:p>
      <w:pPr>
        <w:ind w:left="1300" w:hanging="644"/>
        <w:spacing w:after="0" w:line="318" w:lineRule="auto"/>
        <w:tabs>
          <w:tab w:leader="none" w:pos="1300" w:val="left"/>
        </w:tabs>
        <w:numPr>
          <w:ilvl w:val="1"/>
          <w:numId w:val="52"/>
        </w:numPr>
        <w:rPr>
          <w:rFonts w:ascii="Arial" w:cs="Arial" w:eastAsia="Arial" w:hAnsi="Arial"/>
          <w:sz w:val="18"/>
          <w:szCs w:val="18"/>
          <w:b w:val="1"/>
          <w:bCs w:val="1"/>
          <w:color w:val="auto"/>
        </w:rPr>
      </w:pPr>
      <w:r>
        <w:rPr>
          <w:rFonts w:ascii="Arial" w:cs="Arial" w:eastAsia="Arial" w:hAnsi="Arial"/>
          <w:sz w:val="18"/>
          <w:szCs w:val="18"/>
          <w:u w:val="single" w:color="auto"/>
          <w:color w:val="auto"/>
        </w:rPr>
        <w:t>Individual Participant Limits</w:t>
      </w:r>
      <w:r>
        <w:rPr>
          <w:rFonts w:ascii="Arial" w:cs="Arial" w:eastAsia="Arial" w:hAnsi="Arial"/>
          <w:sz w:val="18"/>
          <w:szCs w:val="18"/>
          <w:color w:val="auto"/>
        </w:rPr>
        <w:t xml:space="preserve">. Notwithstanding anything in this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or elsewhere in this Plan, to the contrary and subject to adjustment pursuant to </w:t>
      </w:r>
      <w:r>
        <w:rPr>
          <w:rFonts w:ascii="Arial" w:cs="Arial" w:eastAsia="Arial" w:hAnsi="Arial"/>
          <w:sz w:val="18"/>
          <w:szCs w:val="18"/>
          <w:b w:val="1"/>
          <w:bCs w:val="1"/>
          <w:u w:val="single" w:color="auto"/>
          <w:color w:val="auto"/>
        </w:rPr>
        <w:t>Section 13</w:t>
      </w:r>
      <w:r>
        <w:rPr>
          <w:rFonts w:ascii="Arial" w:cs="Arial" w:eastAsia="Arial" w:hAnsi="Arial"/>
          <w:sz w:val="18"/>
          <w:szCs w:val="18"/>
          <w:color w:val="auto"/>
        </w:rPr>
        <w:t xml:space="preserve"> of the Plan:</w:t>
      </w:r>
    </w:p>
    <w:p>
      <w:pPr>
        <w:spacing w:after="0" w:line="283" w:lineRule="exact"/>
        <w:rPr>
          <w:rFonts w:ascii="Arial" w:cs="Arial" w:eastAsia="Arial" w:hAnsi="Arial"/>
          <w:sz w:val="18"/>
          <w:szCs w:val="18"/>
          <w:b w:val="1"/>
          <w:bCs w:val="1"/>
          <w:color w:val="auto"/>
        </w:rPr>
      </w:pPr>
    </w:p>
    <w:p>
      <w:pPr>
        <w:jc w:val="both"/>
        <w:ind w:left="1960" w:hanging="655"/>
        <w:spacing w:after="0" w:line="281" w:lineRule="auto"/>
        <w:tabs>
          <w:tab w:leader="none" w:pos="1960"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During any calendar year no Participant shall be granted Option Rights or Appreciation Rights or Other Awards with rights which are substantially similar to Option Rights or Appreciation Rights, in the aggregate, for more than</w:t>
      </w:r>
    </w:p>
    <w:p>
      <w:pPr>
        <w:spacing w:after="0" w:line="1"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_________ shares of Common Stock.</w:t>
      </w:r>
    </w:p>
    <w:p>
      <w:pPr>
        <w:spacing w:after="0" w:line="360" w:lineRule="exact"/>
        <w:rPr>
          <w:rFonts w:ascii="Arial" w:cs="Arial" w:eastAsia="Arial" w:hAnsi="Arial"/>
          <w:sz w:val="18"/>
          <w:szCs w:val="18"/>
          <w:b w:val="1"/>
          <w:bCs w:val="1"/>
          <w:color w:val="auto"/>
        </w:rPr>
      </w:pPr>
    </w:p>
    <w:p>
      <w:pPr>
        <w:jc w:val="both"/>
        <w:ind w:left="1960" w:hanging="655"/>
        <w:spacing w:after="0" w:line="287" w:lineRule="auto"/>
        <w:tabs>
          <w:tab w:leader="none" w:pos="1960" w:val="left"/>
        </w:tabs>
        <w:numPr>
          <w:ilvl w:val="2"/>
          <w:numId w:val="52"/>
        </w:numPr>
        <w:rPr>
          <w:rFonts w:ascii="Arial" w:cs="Arial" w:eastAsia="Arial" w:hAnsi="Arial"/>
          <w:sz w:val="18"/>
          <w:szCs w:val="18"/>
          <w:b w:val="1"/>
          <w:bCs w:val="1"/>
          <w:color w:val="auto"/>
        </w:rPr>
      </w:pPr>
      <w:r>
        <w:rPr>
          <w:rFonts w:ascii="Arial" w:cs="Arial" w:eastAsia="Arial" w:hAnsi="Arial"/>
          <w:sz w:val="18"/>
          <w:szCs w:val="18"/>
          <w:color w:val="auto"/>
        </w:rPr>
        <w:t>For grants of performance-based Awards, during any calendar year no Participant shall be granted Restricted Stock, Restricted Stock Units or stock-denominated Performance Shares or Other Awards with rights which are substantially similar to Performance Shares, in the aggregate, for more than _______ shares of Common Stock.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81" w:right="239" w:bottom="1440" w:gutter="0" w:footer="0" w:header="0"/>
        </w:sectPr>
      </w:pPr>
    </w:p>
    <w:bookmarkStart w:id="77" w:name="page78"/>
    <w:bookmarkEnd w:id="77"/>
    <w:p>
      <w:pPr>
        <w:jc w:val="both"/>
        <w:ind w:left="1960" w:hanging="655"/>
        <w:spacing w:after="0" w:line="287" w:lineRule="auto"/>
        <w:tabs>
          <w:tab w:leader="none" w:pos="1960" w:val="left"/>
        </w:tabs>
        <w:numPr>
          <w:ilvl w:val="2"/>
          <w:numId w:val="53"/>
        </w:numPr>
        <w:rPr>
          <w:rFonts w:ascii="Arial" w:cs="Arial" w:eastAsia="Arial" w:hAnsi="Arial"/>
          <w:sz w:val="18"/>
          <w:szCs w:val="18"/>
          <w:b w:val="1"/>
          <w:bCs w:val="1"/>
          <w:color w:val="auto"/>
        </w:rPr>
      </w:pPr>
      <w:r>
        <w:rPr>
          <w:rFonts w:ascii="Arial" w:cs="Arial" w:eastAsia="Arial" w:hAnsi="Arial"/>
          <w:sz w:val="18"/>
          <w:szCs w:val="18"/>
          <w:color w:val="auto"/>
        </w:rPr>
        <w:t>For grants of performance-based Awards, during any calendar year no Participant shall be granted Performance Units or cash-denominated Other Awards with rights which are substantially similar to Performance Units pursuant to which the Participant can receive, in the aggregate, more than $___________.</w:t>
      </w:r>
    </w:p>
    <w:p>
      <w:pPr>
        <w:spacing w:after="0" w:line="310" w:lineRule="exact"/>
        <w:rPr>
          <w:rFonts w:ascii="Arial" w:cs="Arial" w:eastAsia="Arial" w:hAnsi="Arial"/>
          <w:sz w:val="18"/>
          <w:szCs w:val="18"/>
          <w:b w:val="1"/>
          <w:bCs w:val="1"/>
          <w:color w:val="auto"/>
        </w:rPr>
      </w:pPr>
    </w:p>
    <w:p>
      <w:pPr>
        <w:ind w:left="1960" w:right="20" w:hanging="655"/>
        <w:spacing w:after="0" w:line="293" w:lineRule="auto"/>
        <w:tabs>
          <w:tab w:leader="none" w:pos="1960" w:val="left"/>
        </w:tabs>
        <w:numPr>
          <w:ilvl w:val="2"/>
          <w:numId w:val="53"/>
        </w:numPr>
        <w:rPr>
          <w:rFonts w:ascii="Arial" w:cs="Arial" w:eastAsia="Arial" w:hAnsi="Arial"/>
          <w:sz w:val="18"/>
          <w:szCs w:val="18"/>
          <w:b w:val="1"/>
          <w:bCs w:val="1"/>
          <w:color w:val="auto"/>
        </w:rPr>
      </w:pPr>
      <w:r>
        <w:rPr>
          <w:rFonts w:ascii="Arial" w:cs="Arial" w:eastAsia="Arial" w:hAnsi="Arial"/>
          <w:sz w:val="18"/>
          <w:szCs w:val="18"/>
          <w:color w:val="auto"/>
        </w:rPr>
        <w:t>During any calendar year no Participant who is a Non-Employee Director shall be granted overall compensation (inclusive of cash compensation) in excess of $__________.</w:t>
      </w:r>
    </w:p>
    <w:p>
      <w:pPr>
        <w:spacing w:after="0" w:line="282" w:lineRule="exact"/>
        <w:rPr>
          <w:rFonts w:ascii="Arial" w:cs="Arial" w:eastAsia="Arial" w:hAnsi="Arial"/>
          <w:sz w:val="18"/>
          <w:szCs w:val="18"/>
          <w:b w:val="1"/>
          <w:bCs w:val="1"/>
          <w:color w:val="auto"/>
        </w:rPr>
      </w:pPr>
    </w:p>
    <w:p>
      <w:pPr>
        <w:ind w:left="1300" w:hanging="644"/>
        <w:spacing w:after="0" w:line="318" w:lineRule="auto"/>
        <w:tabs>
          <w:tab w:leader="none" w:pos="1300" w:val="left"/>
        </w:tabs>
        <w:numPr>
          <w:ilvl w:val="1"/>
          <w:numId w:val="54"/>
        </w:numPr>
        <w:rPr>
          <w:rFonts w:ascii="Arial" w:cs="Arial" w:eastAsia="Arial" w:hAnsi="Arial"/>
          <w:sz w:val="18"/>
          <w:szCs w:val="18"/>
          <w:b w:val="1"/>
          <w:bCs w:val="1"/>
          <w:color w:val="auto"/>
        </w:rPr>
      </w:pPr>
      <w:r>
        <w:rPr>
          <w:rFonts w:ascii="Arial" w:cs="Arial" w:eastAsia="Arial" w:hAnsi="Arial"/>
          <w:sz w:val="18"/>
          <w:szCs w:val="18"/>
          <w:u w:val="single" w:color="auto"/>
          <w:color w:val="auto"/>
        </w:rPr>
        <w:t>Substitute Awards</w:t>
      </w:r>
      <w:r>
        <w:rPr>
          <w:rFonts w:ascii="Arial" w:cs="Arial" w:eastAsia="Arial" w:hAnsi="Arial"/>
          <w:sz w:val="18"/>
          <w:szCs w:val="18"/>
          <w:b w:val="1"/>
          <w:bCs w:val="1"/>
          <w:color w:val="auto"/>
        </w:rPr>
        <w:t>.</w:t>
      </w:r>
      <w:r>
        <w:rPr>
          <w:rFonts w:ascii="Arial" w:cs="Arial" w:eastAsia="Arial" w:hAnsi="Arial"/>
          <w:sz w:val="18"/>
          <w:szCs w:val="18"/>
          <w:color w:val="auto"/>
        </w:rPr>
        <w:t xml:space="preserve"> Any Substitute Awards granted by the Corporation shall not reduce the shares of Common Stock available for Awards under the Plan.</w:t>
      </w:r>
    </w:p>
    <w:p>
      <w:pPr>
        <w:spacing w:after="0" w:line="261" w:lineRule="exact"/>
        <w:rPr>
          <w:rFonts w:ascii="Arial" w:cs="Arial" w:eastAsia="Arial" w:hAnsi="Arial"/>
          <w:sz w:val="18"/>
          <w:szCs w:val="18"/>
          <w:b w:val="1"/>
          <w:bCs w:val="1"/>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OPTION RIGHTS.</w:t>
      </w:r>
    </w:p>
    <w:p>
      <w:pPr>
        <w:spacing w:after="0" w:line="360" w:lineRule="exact"/>
        <w:rPr>
          <w:rFonts w:ascii="Arial" w:cs="Arial" w:eastAsia="Arial" w:hAnsi="Arial"/>
          <w:sz w:val="18"/>
          <w:szCs w:val="18"/>
          <w:b w:val="1"/>
          <w:bCs w:val="1"/>
          <w:color w:val="auto"/>
        </w:rPr>
      </w:pPr>
    </w:p>
    <w:p>
      <w:pPr>
        <w:jc w:val="both"/>
        <w:ind w:left="1300" w:hanging="644"/>
        <w:spacing w:after="0" w:line="291"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The Board, the Compensation Committee or, in accordance with </w:t>
      </w:r>
      <w:r>
        <w:rPr>
          <w:rFonts w:ascii="Arial" w:cs="Arial" w:eastAsia="Arial" w:hAnsi="Arial"/>
          <w:sz w:val="18"/>
          <w:szCs w:val="18"/>
          <w:b w:val="1"/>
          <w:bCs w:val="1"/>
          <w:u w:val="single" w:color="auto"/>
          <w:color w:val="auto"/>
        </w:rPr>
        <w:t>Section 12(D)</w:t>
      </w:r>
      <w:r>
        <w:rPr>
          <w:rFonts w:ascii="Arial" w:cs="Arial" w:eastAsia="Arial" w:hAnsi="Arial"/>
          <w:sz w:val="18"/>
          <w:szCs w:val="18"/>
          <w:color w:val="auto"/>
        </w:rPr>
        <w:t xml:space="preserve"> of the Plan, an Authorized Officer, may, from time to time and upon such terms and conditions as it or the Authorized Officer may determine, grant Option Rights to Participants. Option Rights granted under this Plan may be (i) Incentive Stock Options, (ii) Non-Qualified Options, or (iii) combinations of the foregoing. Incentive Stock Options may be granted only to Participants who at the time of grant meet the definition of “employee” under Section 3401(c) of the Code in respect of the Corporation or a Subsidiary.</w:t>
      </w:r>
    </w:p>
    <w:p>
      <w:pPr>
        <w:spacing w:after="0" w:line="306" w:lineRule="exact"/>
        <w:rPr>
          <w:rFonts w:ascii="Arial" w:cs="Arial" w:eastAsia="Arial" w:hAnsi="Arial"/>
          <w:sz w:val="18"/>
          <w:szCs w:val="18"/>
          <w:color w:val="auto"/>
        </w:rPr>
      </w:pPr>
    </w:p>
    <w:p>
      <w:pPr>
        <w:ind w:left="1300" w:hanging="644"/>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Option Right will be memorialized by an Evidence of Award that shall specify:</w:t>
      </w:r>
    </w:p>
    <w:p>
      <w:pPr>
        <w:spacing w:after="0" w:line="338" w:lineRule="exact"/>
        <w:rPr>
          <w:rFonts w:ascii="Arial" w:cs="Arial" w:eastAsia="Arial" w:hAnsi="Arial"/>
          <w:sz w:val="18"/>
          <w:szCs w:val="18"/>
          <w:color w:val="auto"/>
        </w:rPr>
      </w:pPr>
    </w:p>
    <w:p>
      <w:pPr>
        <w:ind w:left="1960" w:hanging="655"/>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the number of shares of Common Stock to which it pertains, subject to the limitations set forth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the Plan;</w:t>
      </w:r>
    </w:p>
    <w:p>
      <w:pPr>
        <w:spacing w:after="0" w:line="382" w:lineRule="exact"/>
        <w:rPr>
          <w:rFonts w:ascii="Arial" w:cs="Arial" w:eastAsia="Arial" w:hAnsi="Arial"/>
          <w:sz w:val="18"/>
          <w:szCs w:val="18"/>
          <w:color w:val="auto"/>
        </w:rPr>
      </w:pPr>
    </w:p>
    <w:p>
      <w:pPr>
        <w:jc w:val="both"/>
        <w:ind w:left="1960" w:hanging="655"/>
        <w:spacing w:after="0" w:line="287" w:lineRule="auto"/>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Option Price per share of Common Stock, which may not be less than the Market Value Per Share on the Date of Grant (provided, however, that in the case of the grant of an Incentive Stock Option to a Ten Percent Shareholder the Option Price shall not be less than 110 percent of the Market Value Per Share on the Date of Grant);</w:t>
      </w:r>
    </w:p>
    <w:p>
      <w:pPr>
        <w:spacing w:after="0" w:line="310" w:lineRule="exact"/>
        <w:rPr>
          <w:rFonts w:ascii="Arial" w:cs="Arial" w:eastAsia="Arial" w:hAnsi="Arial"/>
          <w:sz w:val="18"/>
          <w:szCs w:val="18"/>
          <w:color w:val="auto"/>
        </w:rPr>
      </w:pPr>
    </w:p>
    <w:p>
      <w:pPr>
        <w:jc w:val="both"/>
        <w:ind w:left="1960" w:hanging="655"/>
        <w:spacing w:after="0" w:line="284" w:lineRule="auto"/>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whether the Option Price will be payable (A) in cash or by check or by wire transfer of immediately available funds, (B) by the actual or constructive transfer to the Corporation of whole shares of Common Stock owned by the Optionee (or other consideration authorized pursuant to the Plan) having a value at the time of exercise equal to the total Option Price, (C) by means of a broker-assisted cashless exercise, (D) by the withholding of shares of Common Stock from delivery with a value equal to some portion or all of the Option Price, (E) by a combination of such methods of payment, or (F) by such other methods as may be approved by the Compensation Committee;</w:t>
      </w:r>
    </w:p>
    <w:p>
      <w:pPr>
        <w:spacing w:after="0" w:line="313" w:lineRule="exact"/>
        <w:rPr>
          <w:rFonts w:ascii="Arial" w:cs="Arial" w:eastAsia="Arial" w:hAnsi="Arial"/>
          <w:sz w:val="18"/>
          <w:szCs w:val="18"/>
          <w:color w:val="auto"/>
        </w:rPr>
      </w:pPr>
    </w:p>
    <w:p>
      <w:pPr>
        <w:ind w:left="1960" w:hanging="655"/>
        <w:spacing w:after="0" w:line="293" w:lineRule="auto"/>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conditions for the Option Rights or installments thereof to become exercisable (including without limitation the attainment of Performance Objectives) and the periods for which they will remain exercisable; and</w:t>
      </w:r>
    </w:p>
    <w:p>
      <w:pPr>
        <w:spacing w:after="0" w:line="304" w:lineRule="exact"/>
        <w:rPr>
          <w:rFonts w:ascii="Arial" w:cs="Arial" w:eastAsia="Arial" w:hAnsi="Arial"/>
          <w:sz w:val="18"/>
          <w:szCs w:val="18"/>
          <w:color w:val="auto"/>
        </w:rPr>
      </w:pPr>
    </w:p>
    <w:p>
      <w:pPr>
        <w:jc w:val="both"/>
        <w:ind w:left="1960" w:hanging="655"/>
        <w:spacing w:after="0" w:line="287" w:lineRule="auto"/>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such other terms as the Compensation Committee or Authorized Officer may approve, including without limitation provisions under which some portion or all of the Option Right or proceeds attributable thereto may be subject to recoupment in circumstances of Optionee conduct deemed detrimental to the Corporation or its Affiliates.</w:t>
      </w:r>
    </w:p>
    <w:p>
      <w:pPr>
        <w:spacing w:after="0" w:line="310"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whether or not any Option Rights previously granted to such Participant remain unexercised.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03" w:right="239" w:bottom="1440" w:gutter="0" w:footer="0" w:header="0"/>
        </w:sectPr>
      </w:pPr>
    </w:p>
    <w:bookmarkStart w:id="78" w:name="page79"/>
    <w:bookmarkEnd w:id="78"/>
    <w:p>
      <w:pPr>
        <w:ind w:left="1300" w:hanging="644"/>
        <w:spacing w:after="0" w:line="318"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each Award of Option Rights granted under this Plan shall provide for a minimum vesting period of twelve (12) months from the Date of Grant.</w:t>
      </w:r>
    </w:p>
    <w:p>
      <w:pPr>
        <w:spacing w:after="0" w:line="283"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grant of Option Rights may provide for the earlier exercise of such Option Rights or other modifications in the event of specified terminations of the Optionee’s employment or service, a Change in Control, an unforeseeable emergency, the grant of a Substitute Award or other special circumstances.</w:t>
      </w:r>
    </w:p>
    <w:p>
      <w:pPr>
        <w:spacing w:after="0" w:line="310"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Except as provided in an Evidence of Award, in the event of a Participant's termination of employment or service, any Option Rights that have not vested as of the Participant's Termination Date will be cancelled and immediately forfeited, without further action on the part of the Corporation or the Compensation Committee, and the Participant will have no further rights in respect of such Option Rights.</w:t>
      </w:r>
    </w:p>
    <w:p>
      <w:pPr>
        <w:spacing w:after="0" w:line="313"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The exercise of an Option Right will result in the cancellation on a share-for-share basis of any related Tandem Appreciation Right authorized under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the Plan.</w:t>
      </w:r>
    </w:p>
    <w:p>
      <w:pPr>
        <w:spacing w:after="0" w:line="304"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Option Right will be exercisable more than ten (10) years from the Date of Grant (five (5) years in the case of the grant of an Incentive Stock Option to Participant who is a Ten Percent Shareholder on the Date of Grant).</w:t>
      </w:r>
    </w:p>
    <w:p>
      <w:pPr>
        <w:spacing w:after="0" w:line="304"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Except as provided in an Evidence of Award, in the event of an Optionee’s termination of employment or service, any Option Rights that have not vested as of the Optionee’s Termination Date will be cancelled and immediately forfeited, without further action on the part of the Corporation or the Compensation Committee, and the Optionee will have no further rights in respect of such Option Rights.</w:t>
      </w:r>
    </w:p>
    <w:p>
      <w:pPr>
        <w:spacing w:after="0" w:line="313"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no event may any Option Right be repurchased or cancelled in exchange for cash or other consideration at a time when the Option Price exceeds the Market Value Per Share subject to such Option Right.</w:t>
      </w:r>
    </w:p>
    <w:p>
      <w:pPr>
        <w:spacing w:after="0" w:line="161" w:lineRule="exact"/>
        <w:rPr>
          <w:rFonts w:ascii="Arial" w:cs="Arial" w:eastAsia="Arial" w:hAnsi="Arial"/>
          <w:sz w:val="18"/>
          <w:szCs w:val="18"/>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APPRECIATION RIGHTS</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jc w:val="both"/>
        <w:ind w:left="1300" w:hanging="644"/>
        <w:spacing w:after="0" w:line="300" w:lineRule="auto"/>
        <w:tabs>
          <w:tab w:leader="none" w:pos="130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 xml:space="preserve">The Board, the Compensation Committee or, in accordance with </w:t>
      </w:r>
      <w:r>
        <w:rPr>
          <w:rFonts w:ascii="Arial" w:cs="Arial" w:eastAsia="Arial" w:hAnsi="Arial"/>
          <w:sz w:val="18"/>
          <w:szCs w:val="18"/>
          <w:b w:val="1"/>
          <w:bCs w:val="1"/>
          <w:u w:val="single" w:color="auto"/>
          <w:color w:val="auto"/>
        </w:rPr>
        <w:t>Section 12.D.</w:t>
      </w:r>
      <w:r>
        <w:rPr>
          <w:rFonts w:ascii="Arial" w:cs="Arial" w:eastAsia="Arial" w:hAnsi="Arial"/>
          <w:sz w:val="18"/>
          <w:szCs w:val="18"/>
          <w:color w:val="auto"/>
        </w:rPr>
        <w:t xml:space="preserve"> of the Plan, an Authorized Officer, may grant (i) to any Optionee, Tandem Appreciation Rights in respect of Option Rights granted hereunder, and (ii) to any Participant, Free-Standing Appreciation Rights.</w:t>
      </w:r>
    </w:p>
    <w:p>
      <w:pPr>
        <w:spacing w:after="0" w:line="299" w:lineRule="exact"/>
        <w:rPr>
          <w:rFonts w:ascii="Arial" w:cs="Arial" w:eastAsia="Arial" w:hAnsi="Arial"/>
          <w:sz w:val="18"/>
          <w:szCs w:val="18"/>
          <w:b w:val="1"/>
          <w:bCs w:val="1"/>
          <w:color w:val="auto"/>
        </w:rPr>
      </w:pPr>
    </w:p>
    <w:p>
      <w:pPr>
        <w:jc w:val="both"/>
        <w:ind w:left="1300" w:hanging="644"/>
        <w:spacing w:after="0" w:line="284" w:lineRule="auto"/>
        <w:tabs>
          <w:tab w:leader="none" w:pos="130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Tandem Appreciation Right will be a right of the Optionee, exercisable by surrender of the related Option Right, to receive from the Corporation an amount determined by the Compensation Committee or an Authorized Officer, which will be expressed as a percentage of the Spread on the related Option Right (not exceeding 100%) at the time of exercise. Tandem Appreciation Rights may be granted at any time prior to the exercise or termination of the related Option Rights; provided, however, that a Tandem Appreciation Right awarded in relation to an Incentive Stock Option must be granted concurrently with such Incentive Stock Option.</w:t>
      </w:r>
    </w:p>
    <w:p>
      <w:pPr>
        <w:spacing w:after="0" w:line="313"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 Free-Standing Appreciation Right will be a right of the Participant to receive from the Corporation an amount determined by the Compensation Committee or an Authorized Officer, which will be expressed as a percentage of the Spread (not exceeding one hundred percent (100%)) at the time of exercise.</w:t>
      </w:r>
    </w:p>
    <w:p>
      <w:pPr>
        <w:spacing w:after="0" w:line="31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Each Appreciation Right will be memorialized by an Evidence of Award that shall specify: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81" w:right="239" w:bottom="1440" w:gutter="0" w:footer="0" w:header="0"/>
        </w:sectPr>
      </w:pPr>
    </w:p>
    <w:bookmarkStart w:id="79" w:name="page80"/>
    <w:bookmarkEnd w:id="79"/>
    <w:p>
      <w:pPr>
        <w:ind w:left="1304" w:hanging="655"/>
        <w:spacing w:after="0" w:line="318" w:lineRule="auto"/>
        <w:tabs>
          <w:tab w:leader="none" w:pos="1304"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Common Stock to which it pertains, subject to the limitations set forth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the Plan;</w:t>
      </w:r>
    </w:p>
    <w:p>
      <w:pPr>
        <w:spacing w:after="0" w:line="283" w:lineRule="exact"/>
        <w:rPr>
          <w:rFonts w:ascii="Arial" w:cs="Arial" w:eastAsia="Arial" w:hAnsi="Arial"/>
          <w:sz w:val="18"/>
          <w:szCs w:val="18"/>
          <w:b w:val="1"/>
          <w:bCs w:val="1"/>
          <w:color w:val="auto"/>
        </w:rPr>
      </w:pPr>
    </w:p>
    <w:p>
      <w:pPr>
        <w:jc w:val="both"/>
        <w:ind w:left="1304" w:hanging="655"/>
        <w:spacing w:after="0" w:line="287" w:lineRule="auto"/>
        <w:tabs>
          <w:tab w:leader="none" w:pos="1304"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the percentage of the Spread (not exceeding 100%) payable at the time of exercise and whether such amount shall be paid by the Corporation in cash, in shares of Common Stock or in any combination thereof (and whether such form may be determined in the discretion of the Compensation Committee or Authorized Officer or Participant);</w:t>
      </w:r>
    </w:p>
    <w:p>
      <w:pPr>
        <w:spacing w:after="0" w:line="310" w:lineRule="exact"/>
        <w:rPr>
          <w:rFonts w:ascii="Arial" w:cs="Arial" w:eastAsia="Arial" w:hAnsi="Arial"/>
          <w:sz w:val="18"/>
          <w:szCs w:val="18"/>
          <w:b w:val="1"/>
          <w:bCs w:val="1"/>
          <w:color w:val="auto"/>
        </w:rPr>
      </w:pPr>
    </w:p>
    <w:p>
      <w:pPr>
        <w:ind w:left="1304" w:right="20" w:hanging="655"/>
        <w:spacing w:after="0" w:line="293" w:lineRule="auto"/>
        <w:tabs>
          <w:tab w:leader="none" w:pos="1304"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the conditions for the Appreciation Rights or installments thereof to become exercisable (including without limitation the attainment of Performance Objectives) and the periods for which they will remain exercisable; and</w:t>
      </w:r>
    </w:p>
    <w:p>
      <w:pPr>
        <w:spacing w:after="0" w:line="304" w:lineRule="exact"/>
        <w:rPr>
          <w:rFonts w:ascii="Arial" w:cs="Arial" w:eastAsia="Arial" w:hAnsi="Arial"/>
          <w:sz w:val="18"/>
          <w:szCs w:val="18"/>
          <w:b w:val="1"/>
          <w:bCs w:val="1"/>
          <w:color w:val="auto"/>
        </w:rPr>
      </w:pPr>
    </w:p>
    <w:p>
      <w:pPr>
        <w:jc w:val="both"/>
        <w:ind w:left="1304" w:hanging="655"/>
        <w:spacing w:after="0" w:line="287" w:lineRule="auto"/>
        <w:tabs>
          <w:tab w:leader="none" w:pos="1304"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such other terms as the Compensation Committee or Authorized Officer may approve, including without limitation provisions under which some portion or all of the Appreciation Right or proceeds attributable thereto may be subject to recoupment in circumstances of Participant conduct deemed detrimental to the Corporation or its Affiliates.</w:t>
      </w:r>
    </w:p>
    <w:p>
      <w:pPr>
        <w:spacing w:after="0" w:line="288" w:lineRule="exact"/>
        <w:rPr>
          <w:rFonts w:ascii="Arial" w:cs="Arial" w:eastAsia="Arial" w:hAnsi="Arial"/>
          <w:sz w:val="18"/>
          <w:szCs w:val="18"/>
          <w:b w:val="1"/>
          <w:bCs w:val="1"/>
          <w:color w:val="auto"/>
        </w:rPr>
      </w:pPr>
    </w:p>
    <w:p>
      <w:pPr>
        <w:ind w:left="644" w:hanging="644"/>
        <w:spacing w:after="0" w:line="318" w:lineRule="auto"/>
        <w:tabs>
          <w:tab w:leader="none" w:pos="644"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each Award of Appreciation Rights granted under this Plan shall provide for a minimum vesting period of twelve (12) months from the Date of Grant.</w:t>
      </w:r>
    </w:p>
    <w:p>
      <w:pPr>
        <w:spacing w:after="0" w:line="283" w:lineRule="exact"/>
        <w:rPr>
          <w:rFonts w:ascii="Arial" w:cs="Arial" w:eastAsia="Arial" w:hAnsi="Arial"/>
          <w:sz w:val="18"/>
          <w:szCs w:val="18"/>
          <w:b w:val="1"/>
          <w:bCs w:val="1"/>
          <w:color w:val="auto"/>
        </w:rPr>
      </w:pPr>
    </w:p>
    <w:p>
      <w:pPr>
        <w:jc w:val="both"/>
        <w:ind w:left="644" w:hanging="644"/>
        <w:spacing w:after="0" w:line="287" w:lineRule="auto"/>
        <w:tabs>
          <w:tab w:leader="none" w:pos="644"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Any grant of Appreciation Rights may provide for the earlier exercise of such Appreciation Rights or other modifications in the event of specified terminations of the Participant’s employment or service, a Change in Control, an unforeseeable emergency, the grant of a Substitute Award or other special circumstances.</w:t>
      </w:r>
    </w:p>
    <w:p>
      <w:pPr>
        <w:spacing w:after="0" w:line="310" w:lineRule="exact"/>
        <w:rPr>
          <w:rFonts w:ascii="Arial" w:cs="Arial" w:eastAsia="Arial" w:hAnsi="Arial"/>
          <w:sz w:val="18"/>
          <w:szCs w:val="18"/>
          <w:b w:val="1"/>
          <w:bCs w:val="1"/>
          <w:color w:val="auto"/>
        </w:rPr>
      </w:pPr>
    </w:p>
    <w:p>
      <w:pPr>
        <w:jc w:val="both"/>
        <w:ind w:left="644" w:hanging="644"/>
        <w:spacing w:after="0" w:line="285" w:lineRule="auto"/>
        <w:tabs>
          <w:tab w:leader="none" w:pos="644"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Except as provided in an Evidence of Award, in the event of a Participant’s termination of employment or service, any Appreciation Rights that have not vested as of the Participant’s Termination Date will be cancelled and immediately forfeited, without further action on the part of the Corporation or the Compensation Committee, and the Participant will have no further rights in respect of such Appreciation Rights.</w:t>
      </w:r>
    </w:p>
    <w:p>
      <w:pPr>
        <w:spacing w:after="0" w:line="313" w:lineRule="exact"/>
        <w:rPr>
          <w:rFonts w:ascii="Arial" w:cs="Arial" w:eastAsia="Arial" w:hAnsi="Arial"/>
          <w:sz w:val="18"/>
          <w:szCs w:val="18"/>
          <w:b w:val="1"/>
          <w:bCs w:val="1"/>
          <w:color w:val="auto"/>
        </w:rPr>
      </w:pPr>
    </w:p>
    <w:p>
      <w:pPr>
        <w:jc w:val="both"/>
        <w:ind w:left="644" w:hanging="644"/>
        <w:spacing w:after="0" w:line="283" w:lineRule="auto"/>
        <w:tabs>
          <w:tab w:leader="none" w:pos="644"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Any grant of Tandem Appreciation Rights will provide that such Tandem Appreciation Rights may be exercised only at a time when the related Option Right is also exercisable and at a time when the Spread is positive, and by surrender of the related Option Right for cancellation. Successive grants of Tandem Appreciation Rights may be made to the same Participant regardless of whether any Tandem Appreciation Rights previously granted to the Participant remain unexercised. In the case of a Tandem Appreciation Right granted in relation to an Incentive Stock Option to an employee who is a Ten Percent Shareholder on the Date of Grant, the amount payable with respect to each Tandem Appreciation Right shall be equal in value to the applicable percentage of the excess, if any, of the Market Value Per Share on the exercise date over the Base Price of the Tandem Appreciation Right, which Base Price shall not be less than 110 percent of the Market Value Per Share on the date the Tandem Appreciation Right is granted.</w:t>
      </w:r>
    </w:p>
    <w:p>
      <w:pPr>
        <w:spacing w:after="0" w:line="315" w:lineRule="exact"/>
        <w:rPr>
          <w:rFonts w:ascii="Arial" w:cs="Arial" w:eastAsia="Arial" w:hAnsi="Arial"/>
          <w:sz w:val="18"/>
          <w:szCs w:val="18"/>
          <w:b w:val="1"/>
          <w:bCs w:val="1"/>
          <w:color w:val="auto"/>
        </w:rPr>
      </w:pPr>
    </w:p>
    <w:p>
      <w:pPr>
        <w:ind w:left="644" w:hanging="644"/>
        <w:spacing w:after="0"/>
        <w:tabs>
          <w:tab w:leader="none" w:pos="644"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Regarding Free-Standing Appreciation Rights only:</w:t>
      </w:r>
    </w:p>
    <w:p>
      <w:pPr>
        <w:spacing w:after="0" w:line="360" w:lineRule="exact"/>
        <w:rPr>
          <w:rFonts w:ascii="Arial" w:cs="Arial" w:eastAsia="Arial" w:hAnsi="Arial"/>
          <w:sz w:val="18"/>
          <w:szCs w:val="18"/>
          <w:b w:val="1"/>
          <w:bCs w:val="1"/>
          <w:color w:val="auto"/>
        </w:rPr>
      </w:pPr>
    </w:p>
    <w:p>
      <w:pPr>
        <w:ind w:left="1304" w:hanging="655"/>
        <w:spacing w:after="0" w:line="293" w:lineRule="auto"/>
        <w:tabs>
          <w:tab w:leader="none" w:pos="1304"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Each grant will specify in respect of each Free-Standing Appreciation Right a Base Price, which may not be less than the Market Value Per Share on the Date of Grant;</w:t>
      </w:r>
    </w:p>
    <w:p>
      <w:pPr>
        <w:spacing w:after="0" w:line="304" w:lineRule="exact"/>
        <w:rPr>
          <w:rFonts w:ascii="Arial" w:cs="Arial" w:eastAsia="Arial" w:hAnsi="Arial"/>
          <w:sz w:val="18"/>
          <w:szCs w:val="18"/>
          <w:b w:val="1"/>
          <w:bCs w:val="1"/>
          <w:color w:val="auto"/>
        </w:rPr>
      </w:pPr>
    </w:p>
    <w:p>
      <w:pPr>
        <w:ind w:left="1304" w:right="20" w:hanging="655"/>
        <w:spacing w:after="0" w:line="293" w:lineRule="auto"/>
        <w:tabs>
          <w:tab w:leader="none" w:pos="1304"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Successive grants may be made to the same Participant regardless of whether any Free-Standing Appreciation Rights previously granted to the Participant remain unexercised; and</w:t>
      </w:r>
    </w:p>
    <w:p>
      <w:pPr>
        <w:spacing w:after="0" w:line="200" w:lineRule="exact"/>
        <w:rPr>
          <w:sz w:val="20"/>
          <w:szCs w:val="20"/>
          <w:color w:val="auto"/>
        </w:rPr>
      </w:pPr>
    </w:p>
    <w:p>
      <w:pPr>
        <w:spacing w:after="0" w:line="24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4"/>
          </w:cols>
          <w:pgMar w:left="896" w:top="481" w:right="239" w:bottom="1440" w:gutter="0" w:footer="0" w:header="0"/>
        </w:sectPr>
      </w:pPr>
    </w:p>
    <w:bookmarkStart w:id="80" w:name="page81"/>
    <w:bookmarkEnd w:id="80"/>
    <w:p>
      <w:pPr>
        <w:ind w:left="1304" w:hanging="655"/>
        <w:spacing w:after="0" w:line="293" w:lineRule="auto"/>
        <w:tabs>
          <w:tab w:leader="none" w:pos="1304"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No Free-Standing Appreciation Right granted under this Plan may be exercised more than ten (10) years from the Date of Grant.</w:t>
      </w:r>
    </w:p>
    <w:p>
      <w:pPr>
        <w:spacing w:after="0" w:line="304" w:lineRule="exact"/>
        <w:rPr>
          <w:rFonts w:ascii="Arial" w:cs="Arial" w:eastAsia="Arial" w:hAnsi="Arial"/>
          <w:sz w:val="18"/>
          <w:szCs w:val="18"/>
          <w:b w:val="1"/>
          <w:bCs w:val="1"/>
          <w:color w:val="auto"/>
        </w:rPr>
      </w:pPr>
    </w:p>
    <w:p>
      <w:pPr>
        <w:ind w:left="644" w:hanging="644"/>
        <w:spacing w:after="0" w:line="293" w:lineRule="auto"/>
        <w:tabs>
          <w:tab w:leader="none" w:pos="644"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In no event may any Appreciation Right be repurchased or cancelled in exchange for cash or other consideration at a time when the Base Price exceeds the Market Value Per Share subject to such Appreciation Right.</w:t>
      </w:r>
    </w:p>
    <w:p>
      <w:pPr>
        <w:spacing w:after="0" w:line="200" w:lineRule="exact"/>
        <w:rPr>
          <w:sz w:val="20"/>
          <w:szCs w:val="20"/>
          <w:color w:val="auto"/>
        </w:rPr>
      </w:pPr>
    </w:p>
    <w:p>
      <w:pPr>
        <w:spacing w:after="0" w:line="24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64"/>
          </w:cols>
          <w:pgMar w:left="896" w:top="503" w:right="239" w:bottom="1440" w:gutter="0" w:footer="0" w:header="0"/>
        </w:sectPr>
      </w:pPr>
    </w:p>
    <w:bookmarkStart w:id="81" w:name="page82"/>
    <w:bookmarkEnd w:id="81"/>
    <w:p>
      <w:pPr>
        <w:ind w:left="652" w:hanging="652"/>
        <w:spacing w:after="0"/>
        <w:tabs>
          <w:tab w:leader="none" w:pos="6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w:t>
      </w:r>
    </w:p>
    <w:p>
      <w:pPr>
        <w:spacing w:after="0" w:line="360" w:lineRule="exact"/>
        <w:rPr>
          <w:rFonts w:ascii="Arial" w:cs="Arial" w:eastAsia="Arial" w:hAnsi="Arial"/>
          <w:sz w:val="18"/>
          <w:szCs w:val="18"/>
          <w:b w:val="1"/>
          <w:bCs w:val="1"/>
          <w:color w:val="auto"/>
        </w:rPr>
      </w:pPr>
    </w:p>
    <w:p>
      <w:pPr>
        <w:ind w:left="1292" w:hanging="644"/>
        <w:spacing w:after="0" w:line="318" w:lineRule="auto"/>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The Board, the Compensation Committee or, in accordance with </w:t>
      </w:r>
      <w:r>
        <w:rPr>
          <w:rFonts w:ascii="Arial" w:cs="Arial" w:eastAsia="Arial" w:hAnsi="Arial"/>
          <w:sz w:val="18"/>
          <w:szCs w:val="18"/>
          <w:b w:val="1"/>
          <w:bCs w:val="1"/>
          <w:u w:val="single" w:color="auto"/>
          <w:color w:val="auto"/>
        </w:rPr>
        <w:t>Section 12.D.</w:t>
      </w:r>
      <w:r>
        <w:rPr>
          <w:rFonts w:ascii="Arial" w:cs="Arial" w:eastAsia="Arial" w:hAnsi="Arial"/>
          <w:sz w:val="18"/>
          <w:szCs w:val="18"/>
          <w:color w:val="auto"/>
        </w:rPr>
        <w:t xml:space="preserve"> of the Plan, an Authorized Officer, may grant Restricted Stock to Participants.</w:t>
      </w:r>
    </w:p>
    <w:p>
      <w:pPr>
        <w:spacing w:after="0" w:line="283" w:lineRule="exact"/>
        <w:rPr>
          <w:rFonts w:ascii="Arial" w:cs="Arial" w:eastAsia="Arial" w:hAnsi="Arial"/>
          <w:sz w:val="18"/>
          <w:szCs w:val="18"/>
          <w:b w:val="1"/>
          <w:bCs w:val="1"/>
          <w:color w:val="auto"/>
        </w:rPr>
      </w:pPr>
    </w:p>
    <w:p>
      <w:pPr>
        <w:ind w:left="1292" w:hanging="644"/>
        <w:spacing w:after="0"/>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Each such grant will constitute an immediate transfer of the ownership of shares of Common Stock to the Participant in</w:t>
      </w:r>
    </w:p>
    <w:p>
      <w:pPr>
        <w:spacing w:after="0" w:line="36" w:lineRule="exact"/>
        <w:rPr>
          <w:rFonts w:ascii="Arial" w:cs="Arial" w:eastAsia="Arial" w:hAnsi="Arial"/>
          <w:sz w:val="18"/>
          <w:szCs w:val="18"/>
          <w:b w:val="1"/>
          <w:bCs w:val="1"/>
          <w:color w:val="auto"/>
        </w:rPr>
      </w:pPr>
    </w:p>
    <w:p>
      <w:pPr>
        <w:ind w:left="1292"/>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 xml:space="preserve">consideration of the performance of services, entitling such Participant to voting, dividend and other ownership rights, but subject to the substantial risk of forfeiture and restrictions on transfer hereinafter referred to and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w:t>
      </w:r>
    </w:p>
    <w:p>
      <w:pPr>
        <w:spacing w:after="0" w:line="304" w:lineRule="exact"/>
        <w:rPr>
          <w:rFonts w:ascii="Arial" w:cs="Arial" w:eastAsia="Arial" w:hAnsi="Arial"/>
          <w:sz w:val="18"/>
          <w:szCs w:val="18"/>
          <w:b w:val="1"/>
          <w:bCs w:val="1"/>
          <w:color w:val="auto"/>
        </w:rPr>
      </w:pPr>
    </w:p>
    <w:p>
      <w:pPr>
        <w:ind w:left="1292" w:hanging="644"/>
        <w:spacing w:after="0"/>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Each grant of Restricted Stock will be memorialized by an Evidence of Award that shall specify:</w:t>
      </w:r>
    </w:p>
    <w:p>
      <w:pPr>
        <w:spacing w:after="0" w:line="338" w:lineRule="exact"/>
        <w:rPr>
          <w:rFonts w:ascii="Arial" w:cs="Arial" w:eastAsia="Arial" w:hAnsi="Arial"/>
          <w:sz w:val="18"/>
          <w:szCs w:val="18"/>
          <w:b w:val="1"/>
          <w:bCs w:val="1"/>
          <w:color w:val="auto"/>
        </w:rPr>
      </w:pPr>
    </w:p>
    <w:p>
      <w:pPr>
        <w:ind w:left="1952" w:hanging="655"/>
        <w:spacing w:after="0"/>
        <w:tabs>
          <w:tab w:leader="none" w:pos="1952" w:val="left"/>
        </w:tabs>
        <w:numPr>
          <w:ilvl w:val="2"/>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Common Stock to which it pertains, subject to the limitations set forth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the Plan;</w:t>
      </w:r>
    </w:p>
    <w:p>
      <w:pPr>
        <w:spacing w:after="0" w:line="382" w:lineRule="exact"/>
        <w:rPr>
          <w:rFonts w:ascii="Arial" w:cs="Arial" w:eastAsia="Arial" w:hAnsi="Arial"/>
          <w:sz w:val="18"/>
          <w:szCs w:val="18"/>
          <w:b w:val="1"/>
          <w:bCs w:val="1"/>
          <w:color w:val="auto"/>
        </w:rPr>
      </w:pPr>
    </w:p>
    <w:p>
      <w:pPr>
        <w:jc w:val="both"/>
        <w:ind w:left="1952" w:hanging="655"/>
        <w:spacing w:after="0" w:line="287" w:lineRule="auto"/>
        <w:tabs>
          <w:tab w:leader="none" w:pos="1952" w:val="left"/>
        </w:tabs>
        <w:numPr>
          <w:ilvl w:val="2"/>
          <w:numId w:val="62"/>
        </w:numPr>
        <w:rPr>
          <w:rFonts w:ascii="Arial" w:cs="Arial" w:eastAsia="Arial" w:hAnsi="Arial"/>
          <w:sz w:val="18"/>
          <w:szCs w:val="18"/>
          <w:b w:val="1"/>
          <w:bCs w:val="1"/>
          <w:color w:val="auto"/>
        </w:rPr>
      </w:pPr>
      <w:r>
        <w:rPr>
          <w:rFonts w:ascii="Arial" w:cs="Arial" w:eastAsia="Arial" w:hAnsi="Arial"/>
          <w:sz w:val="18"/>
          <w:szCs w:val="18"/>
          <w:color w:val="auto"/>
        </w:rPr>
        <w:t>any restrictions on transfer and forfeitability provisions applicable to the Restricted Stock (which restrictions may include, without limitation, subjecting the Restricted Stock to a substantial risk of forfeiture in the hands of any transferee);</w:t>
      </w:r>
    </w:p>
    <w:p>
      <w:pPr>
        <w:spacing w:after="0" w:line="310" w:lineRule="exact"/>
        <w:rPr>
          <w:rFonts w:ascii="Arial" w:cs="Arial" w:eastAsia="Arial" w:hAnsi="Arial"/>
          <w:sz w:val="18"/>
          <w:szCs w:val="18"/>
          <w:b w:val="1"/>
          <w:bCs w:val="1"/>
          <w:color w:val="auto"/>
        </w:rPr>
      </w:pPr>
    </w:p>
    <w:p>
      <w:pPr>
        <w:ind w:left="1952" w:right="20" w:hanging="655"/>
        <w:spacing w:after="0" w:line="293" w:lineRule="auto"/>
        <w:tabs>
          <w:tab w:leader="none" w:pos="1952" w:val="left"/>
        </w:tabs>
        <w:numPr>
          <w:ilvl w:val="2"/>
          <w:numId w:val="62"/>
        </w:numPr>
        <w:rPr>
          <w:rFonts w:ascii="Arial" w:cs="Arial" w:eastAsia="Arial" w:hAnsi="Arial"/>
          <w:sz w:val="18"/>
          <w:szCs w:val="18"/>
          <w:b w:val="1"/>
          <w:bCs w:val="1"/>
          <w:color w:val="auto"/>
        </w:rPr>
      </w:pPr>
      <w:r>
        <w:rPr>
          <w:rFonts w:ascii="Arial" w:cs="Arial" w:eastAsia="Arial" w:hAnsi="Arial"/>
          <w:sz w:val="18"/>
          <w:szCs w:val="18"/>
          <w:color w:val="auto"/>
        </w:rPr>
        <w:t>the conditions under which restrictions on transfer and forfeitability provisions shall lapse, including without limitation upon the attainment of Performance Objectives; and</w:t>
      </w:r>
    </w:p>
    <w:p>
      <w:pPr>
        <w:spacing w:after="0" w:line="304" w:lineRule="exact"/>
        <w:rPr>
          <w:rFonts w:ascii="Arial" w:cs="Arial" w:eastAsia="Arial" w:hAnsi="Arial"/>
          <w:sz w:val="18"/>
          <w:szCs w:val="18"/>
          <w:b w:val="1"/>
          <w:bCs w:val="1"/>
          <w:color w:val="auto"/>
        </w:rPr>
      </w:pPr>
    </w:p>
    <w:p>
      <w:pPr>
        <w:jc w:val="both"/>
        <w:ind w:left="1952" w:hanging="655"/>
        <w:spacing w:after="0" w:line="287" w:lineRule="auto"/>
        <w:tabs>
          <w:tab w:leader="none" w:pos="1952" w:val="left"/>
        </w:tabs>
        <w:numPr>
          <w:ilvl w:val="2"/>
          <w:numId w:val="62"/>
        </w:numPr>
        <w:rPr>
          <w:rFonts w:ascii="Arial" w:cs="Arial" w:eastAsia="Arial" w:hAnsi="Arial"/>
          <w:sz w:val="18"/>
          <w:szCs w:val="18"/>
          <w:b w:val="1"/>
          <w:bCs w:val="1"/>
          <w:color w:val="auto"/>
        </w:rPr>
      </w:pPr>
      <w:r>
        <w:rPr>
          <w:rFonts w:ascii="Arial" w:cs="Arial" w:eastAsia="Arial" w:hAnsi="Arial"/>
          <w:sz w:val="18"/>
          <w:szCs w:val="18"/>
          <w:color w:val="auto"/>
        </w:rPr>
        <w:t>such other terms as the Compensation Committee or Authorized Officer may approve, including without limitation provisions under which some portion or all of the Restricted Stock or proceeds attributable thereto may be subject to recoupment in circumstances of Participant conduct deemed detrimental to the Corporation or its Affiliates.</w:t>
      </w:r>
    </w:p>
    <w:p>
      <w:pPr>
        <w:spacing w:after="0" w:line="288" w:lineRule="exact"/>
        <w:rPr>
          <w:rFonts w:ascii="Arial" w:cs="Arial" w:eastAsia="Arial" w:hAnsi="Arial"/>
          <w:sz w:val="18"/>
          <w:szCs w:val="18"/>
          <w:b w:val="1"/>
          <w:bCs w:val="1"/>
          <w:color w:val="auto"/>
        </w:rPr>
      </w:pPr>
    </w:p>
    <w:p>
      <w:pPr>
        <w:ind w:left="1292" w:hanging="644"/>
        <w:spacing w:after="0" w:line="318" w:lineRule="auto"/>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each Award of Restricted Stock granted under this Plan shall provide for a minimum vesting period of twelve (12) months from the Date of Grant.</w:t>
      </w:r>
    </w:p>
    <w:p>
      <w:pPr>
        <w:spacing w:after="0" w:line="283" w:lineRule="exact"/>
        <w:rPr>
          <w:rFonts w:ascii="Arial" w:cs="Arial" w:eastAsia="Arial" w:hAnsi="Arial"/>
          <w:sz w:val="18"/>
          <w:szCs w:val="18"/>
          <w:b w:val="1"/>
          <w:bCs w:val="1"/>
          <w:color w:val="auto"/>
        </w:rPr>
      </w:pPr>
    </w:p>
    <w:p>
      <w:pPr>
        <w:jc w:val="both"/>
        <w:ind w:left="1292" w:hanging="644"/>
        <w:spacing w:after="0" w:line="287" w:lineRule="auto"/>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Any grant of Restricted Stock may provide for the earlier lapse of restrictions or other modifications in the event of specified terminations of the Participant’s employment or service, a Change in Control, an unforeseeable emergency, the grant of a Substitute Award or other special circumstances.</w:t>
      </w:r>
    </w:p>
    <w:p>
      <w:pPr>
        <w:spacing w:after="0" w:line="310" w:lineRule="exact"/>
        <w:rPr>
          <w:rFonts w:ascii="Arial" w:cs="Arial" w:eastAsia="Arial" w:hAnsi="Arial"/>
          <w:sz w:val="18"/>
          <w:szCs w:val="18"/>
          <w:b w:val="1"/>
          <w:bCs w:val="1"/>
          <w:color w:val="auto"/>
        </w:rPr>
      </w:pPr>
    </w:p>
    <w:p>
      <w:pPr>
        <w:jc w:val="both"/>
        <w:ind w:left="1292" w:hanging="644"/>
        <w:spacing w:after="0" w:line="285" w:lineRule="auto"/>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Except as provided in an Evidence of Award, in the event of a Participant’s termination of employment or service, any Restricted Stock that has not yet become free of restrictions will be immediately forfeited to the Corporation, without further action on the part of the Corporation or the Compensation Committee, and the Participant will have no further rights in respect of such Restricted Stock.</w:t>
      </w:r>
    </w:p>
    <w:p>
      <w:pPr>
        <w:spacing w:after="0" w:line="313" w:lineRule="exact"/>
        <w:rPr>
          <w:rFonts w:ascii="Arial" w:cs="Arial" w:eastAsia="Arial" w:hAnsi="Arial"/>
          <w:sz w:val="18"/>
          <w:szCs w:val="18"/>
          <w:b w:val="1"/>
          <w:bCs w:val="1"/>
          <w:color w:val="auto"/>
        </w:rPr>
      </w:pPr>
    </w:p>
    <w:p>
      <w:pPr>
        <w:ind w:left="1292" w:hanging="644"/>
        <w:spacing w:after="0"/>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Any grant of Restricted Stock may require that any or all dividends or other distributions paid thereon during the period of such</w:t>
      </w:r>
    </w:p>
    <w:p>
      <w:pPr>
        <w:spacing w:after="0" w:line="36" w:lineRule="exact"/>
        <w:rPr>
          <w:rFonts w:ascii="Arial" w:cs="Arial" w:eastAsia="Arial" w:hAnsi="Arial"/>
          <w:sz w:val="18"/>
          <w:szCs w:val="18"/>
          <w:b w:val="1"/>
          <w:bCs w:val="1"/>
          <w:color w:val="auto"/>
        </w:rPr>
      </w:pPr>
    </w:p>
    <w:p>
      <w:pPr>
        <w:ind w:left="1292" w:right="2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 xml:space="preserve">restrictions be automatically deferred and/or reinvested in additional shares of Restricted Stock (which may be subject to the same restrictions as the underlying Award) or be paid in cash on a deferred or contingent basis, subject to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w:t>
      </w:r>
    </w:p>
    <w:p>
      <w:pPr>
        <w:spacing w:after="0" w:line="304" w:lineRule="exact"/>
        <w:rPr>
          <w:rFonts w:ascii="Arial" w:cs="Arial" w:eastAsia="Arial" w:hAnsi="Arial"/>
          <w:sz w:val="18"/>
          <w:szCs w:val="18"/>
          <w:b w:val="1"/>
          <w:bCs w:val="1"/>
          <w:color w:val="auto"/>
        </w:rPr>
      </w:pPr>
    </w:p>
    <w:p>
      <w:pPr>
        <w:jc w:val="both"/>
        <w:ind w:left="1292" w:hanging="644"/>
        <w:spacing w:after="0" w:line="284" w:lineRule="auto"/>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Unless otherwise directed by the Compensation Committee, (i) all certificates representing shares of Restricted Stock will be held in custody by the Corporation until all restrictions thereon have lapsed, together with a stock power or powers executed by the Participant in whose name such certificates are registered, endorsed in blank and covering such shares of Common Stock, or (ii) all uncertificated shares of Restricted Stock will be held at the Corporation’s transfer agent in book entry form with appropriate restrictions relating to the transfer of such shares of Restricted Stock.</w:t>
      </w:r>
    </w:p>
    <w:p>
      <w:pPr>
        <w:spacing w:after="0" w:line="292" w:lineRule="exact"/>
        <w:rPr>
          <w:rFonts w:ascii="Arial" w:cs="Arial" w:eastAsia="Arial" w:hAnsi="Arial"/>
          <w:sz w:val="18"/>
          <w:szCs w:val="18"/>
          <w:b w:val="1"/>
          <w:bCs w:val="1"/>
          <w:color w:val="auto"/>
        </w:rPr>
      </w:pPr>
    </w:p>
    <w:p>
      <w:pPr>
        <w:ind w:left="652" w:hanging="652"/>
        <w:spacing w:after="0"/>
        <w:tabs>
          <w:tab w:leader="none" w:pos="6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w:t>
      </w:r>
    </w:p>
    <w:p>
      <w:pPr>
        <w:spacing w:after="0" w:line="360" w:lineRule="exact"/>
        <w:rPr>
          <w:rFonts w:ascii="Arial" w:cs="Arial" w:eastAsia="Arial" w:hAnsi="Arial"/>
          <w:sz w:val="18"/>
          <w:szCs w:val="18"/>
          <w:b w:val="1"/>
          <w:bCs w:val="1"/>
          <w:color w:val="auto"/>
        </w:rPr>
      </w:pPr>
    </w:p>
    <w:p>
      <w:pPr>
        <w:jc w:val="both"/>
        <w:ind w:left="1292" w:hanging="644"/>
        <w:spacing w:after="0" w:line="294" w:lineRule="auto"/>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The Board, the Compensation Committee or, in accordance with </w:t>
      </w:r>
      <w:r>
        <w:rPr>
          <w:rFonts w:ascii="Arial" w:cs="Arial" w:eastAsia="Arial" w:hAnsi="Arial"/>
          <w:sz w:val="18"/>
          <w:szCs w:val="18"/>
          <w:b w:val="1"/>
          <w:bCs w:val="1"/>
          <w:u w:val="single" w:color="auto"/>
          <w:color w:val="auto"/>
        </w:rPr>
        <w:t>Section 12.D.</w:t>
      </w:r>
      <w:r>
        <w:rPr>
          <w:rFonts w:ascii="Arial" w:cs="Arial" w:eastAsia="Arial" w:hAnsi="Arial"/>
          <w:sz w:val="18"/>
          <w:szCs w:val="18"/>
          <w:color w:val="auto"/>
        </w:rPr>
        <w:t xml:space="preserve"> of the Plan, an Authorized Officer, may grant Restricted Stock Units to Participants. Each such grant of Restricted Stock Units will constitute the agreement by the Corporation to deliver shares of Common Stock or cash to the Participant in the future in consideration of the performance of services.</w:t>
      </w:r>
    </w:p>
    <w:p>
      <w:pPr>
        <w:spacing w:after="0" w:line="304" w:lineRule="exact"/>
        <w:rPr>
          <w:rFonts w:ascii="Arial" w:cs="Arial" w:eastAsia="Arial" w:hAnsi="Arial"/>
          <w:sz w:val="18"/>
          <w:szCs w:val="18"/>
          <w:b w:val="1"/>
          <w:bCs w:val="1"/>
          <w:color w:val="auto"/>
        </w:rPr>
      </w:pPr>
    </w:p>
    <w:p>
      <w:pPr>
        <w:ind w:left="1292" w:hanging="644"/>
        <w:spacing w:after="0"/>
        <w:tabs>
          <w:tab w:leader="none" w:pos="129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Each grant of Restricted Stock Units will be memorialized by an Evidence of Award that shall specify:</w:t>
      </w:r>
    </w:p>
    <w:p>
      <w:pPr>
        <w:spacing w:after="0" w:line="338" w:lineRule="exact"/>
        <w:rPr>
          <w:rFonts w:ascii="Arial" w:cs="Arial" w:eastAsia="Arial" w:hAnsi="Arial"/>
          <w:sz w:val="18"/>
          <w:szCs w:val="18"/>
          <w:b w:val="1"/>
          <w:bCs w:val="1"/>
          <w:color w:val="auto"/>
        </w:rPr>
      </w:pPr>
    </w:p>
    <w:p>
      <w:pPr>
        <w:ind w:left="1952" w:hanging="655"/>
        <w:spacing w:after="0"/>
        <w:tabs>
          <w:tab w:leader="none" w:pos="1952" w:val="left"/>
        </w:tabs>
        <w:numPr>
          <w:ilvl w:val="2"/>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Common Stock to which it pertains, subject to the limitations set forth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the Plan;</w:t>
      </w:r>
    </w:p>
    <w:p>
      <w:pPr>
        <w:spacing w:after="0" w:line="382" w:lineRule="exact"/>
        <w:rPr>
          <w:rFonts w:ascii="Arial" w:cs="Arial" w:eastAsia="Arial" w:hAnsi="Arial"/>
          <w:sz w:val="18"/>
          <w:szCs w:val="18"/>
          <w:b w:val="1"/>
          <w:bCs w:val="1"/>
          <w:color w:val="auto"/>
        </w:rPr>
      </w:pPr>
    </w:p>
    <w:p>
      <w:pPr>
        <w:ind w:left="1952" w:hanging="655"/>
        <w:spacing w:after="0" w:line="293" w:lineRule="auto"/>
        <w:tabs>
          <w:tab w:leader="none" w:pos="1952" w:val="left"/>
        </w:tabs>
        <w:numPr>
          <w:ilvl w:val="2"/>
          <w:numId w:val="62"/>
        </w:numPr>
        <w:rPr>
          <w:rFonts w:ascii="Arial" w:cs="Arial" w:eastAsia="Arial" w:hAnsi="Arial"/>
          <w:sz w:val="18"/>
          <w:szCs w:val="18"/>
          <w:b w:val="1"/>
          <w:bCs w:val="1"/>
          <w:color w:val="auto"/>
        </w:rPr>
      </w:pPr>
      <w:r>
        <w:rPr>
          <w:rFonts w:ascii="Arial" w:cs="Arial" w:eastAsia="Arial" w:hAnsi="Arial"/>
          <w:sz w:val="18"/>
          <w:szCs w:val="18"/>
          <w:color w:val="auto"/>
        </w:rPr>
        <w:t>the conditions for the Restricted Stock Units or installments thereof to vest (including without limitation the attainment of Performance Objectives);</w:t>
      </w:r>
    </w:p>
    <w:p>
      <w:pPr>
        <w:sectPr>
          <w:pgSz w:w="11900" w:h="16838" w:orient="portrait"/>
          <w:cols w:equalWidth="0" w:num="1">
            <w:col w:w="11412"/>
          </w:cols>
          <w:pgMar w:left="248" w:top="481" w:right="239" w:bottom="31" w:gutter="0" w:footer="0" w:header="0"/>
        </w:sectPr>
      </w:pPr>
    </w:p>
    <w:bookmarkStart w:id="82" w:name="page83"/>
    <w:bookmarkEnd w:id="82"/>
    <w:p>
      <w:pPr>
        <w:jc w:val="both"/>
        <w:ind w:left="1960" w:hanging="655"/>
        <w:spacing w:after="0" w:line="287" w:lineRule="auto"/>
        <w:tabs>
          <w:tab w:leader="none" w:pos="1960" w:val="left"/>
        </w:tabs>
        <w:numPr>
          <w:ilvl w:val="2"/>
          <w:numId w:val="63"/>
        </w:numPr>
        <w:rPr>
          <w:rFonts w:ascii="Arial" w:cs="Arial" w:eastAsia="Arial" w:hAnsi="Arial"/>
          <w:sz w:val="18"/>
          <w:szCs w:val="18"/>
          <w:b w:val="1"/>
          <w:bCs w:val="1"/>
          <w:color w:val="auto"/>
        </w:rPr>
      </w:pPr>
      <w:r>
        <w:rPr>
          <w:rFonts w:ascii="Arial" w:cs="Arial" w:eastAsia="Arial" w:hAnsi="Arial"/>
          <w:sz w:val="18"/>
          <w:szCs w:val="18"/>
          <w:color w:val="auto"/>
        </w:rPr>
        <w:t>whether payment thereunder shall be made in Common Stock, cash or any combination thereof (and whether such form may be determined in the discretion of the Compensation Committee or Authorized Officer or Participant) and the time or times at which such amounts shall be payable; and</w:t>
      </w:r>
    </w:p>
    <w:p>
      <w:pPr>
        <w:spacing w:after="0" w:line="310" w:lineRule="exact"/>
        <w:rPr>
          <w:rFonts w:ascii="Arial" w:cs="Arial" w:eastAsia="Arial" w:hAnsi="Arial"/>
          <w:sz w:val="18"/>
          <w:szCs w:val="18"/>
          <w:b w:val="1"/>
          <w:bCs w:val="1"/>
          <w:color w:val="auto"/>
        </w:rPr>
      </w:pPr>
    </w:p>
    <w:p>
      <w:pPr>
        <w:jc w:val="both"/>
        <w:ind w:left="1960" w:hanging="655"/>
        <w:spacing w:after="0" w:line="287" w:lineRule="auto"/>
        <w:tabs>
          <w:tab w:leader="none" w:pos="1960" w:val="left"/>
        </w:tabs>
        <w:numPr>
          <w:ilvl w:val="2"/>
          <w:numId w:val="63"/>
        </w:numPr>
        <w:rPr>
          <w:rFonts w:ascii="Arial" w:cs="Arial" w:eastAsia="Arial" w:hAnsi="Arial"/>
          <w:sz w:val="18"/>
          <w:szCs w:val="18"/>
          <w:b w:val="1"/>
          <w:bCs w:val="1"/>
          <w:color w:val="auto"/>
        </w:rPr>
      </w:pPr>
      <w:r>
        <w:rPr>
          <w:rFonts w:ascii="Arial" w:cs="Arial" w:eastAsia="Arial" w:hAnsi="Arial"/>
          <w:sz w:val="18"/>
          <w:szCs w:val="18"/>
          <w:color w:val="auto"/>
        </w:rPr>
        <w:t>such other terms as the Compensation Committee or Authorized Officer may approve, including without limitation provisions under which some portion or all of the Restricted Stock Units or proceeds attributable thereto may be subject to recoupment in circumstances of Participant conduct deemed detrimental to the Corporation or its Affiliates.</w:t>
      </w:r>
    </w:p>
    <w:p>
      <w:pPr>
        <w:spacing w:after="0" w:line="310" w:lineRule="exact"/>
        <w:rPr>
          <w:rFonts w:ascii="Arial" w:cs="Arial" w:eastAsia="Arial" w:hAnsi="Arial"/>
          <w:sz w:val="18"/>
          <w:szCs w:val="18"/>
          <w:b w:val="1"/>
          <w:bCs w:val="1"/>
          <w:color w:val="auto"/>
        </w:rPr>
      </w:pPr>
    </w:p>
    <w:p>
      <w:pPr>
        <w:jc w:val="both"/>
        <w:ind w:left="1300" w:hanging="644"/>
        <w:spacing w:after="0" w:line="281" w:lineRule="auto"/>
        <w:tabs>
          <w:tab w:leader="none" w:pos="130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During the Restriction Period, the Participant will have none of the rights of a shareholder of any shares of Common Stock with respect to such Restricted Stock Units, but the Compensation Committee or Authorized Officer may authorize the payment of</w:t>
      </w:r>
    </w:p>
    <w:p>
      <w:pPr>
        <w:spacing w:after="0" w:line="1" w:lineRule="exact"/>
        <w:rPr>
          <w:rFonts w:ascii="Arial" w:cs="Arial" w:eastAsia="Arial" w:hAnsi="Arial"/>
          <w:sz w:val="18"/>
          <w:szCs w:val="18"/>
          <w:b w:val="1"/>
          <w:bCs w:val="1"/>
          <w:color w:val="auto"/>
        </w:rPr>
      </w:pPr>
    </w:p>
    <w:p>
      <w:pPr>
        <w:ind w:left="130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 xml:space="preserve">dividend equivalents on such Restricted Stock Units on either a current, deferred or contingent basis, either in cash or in additional shares of Common Stock, subject to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w:t>
      </w:r>
    </w:p>
    <w:p>
      <w:pPr>
        <w:spacing w:after="0" w:line="282" w:lineRule="exact"/>
        <w:rPr>
          <w:rFonts w:ascii="Arial" w:cs="Arial" w:eastAsia="Arial" w:hAnsi="Arial"/>
          <w:sz w:val="18"/>
          <w:szCs w:val="18"/>
          <w:b w:val="1"/>
          <w:bCs w:val="1"/>
          <w:color w:val="auto"/>
        </w:rPr>
      </w:pPr>
    </w:p>
    <w:p>
      <w:pPr>
        <w:ind w:left="1300" w:right="20" w:hanging="644"/>
        <w:spacing w:after="0" w:line="318" w:lineRule="auto"/>
        <w:tabs>
          <w:tab w:leader="none" w:pos="130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each Award of Restricted Stock Units granted under this Plan shall provide for a minimum vesting period of twelve (12) months from the Date of Grant.</w:t>
      </w:r>
    </w:p>
    <w:p>
      <w:pPr>
        <w:spacing w:after="0" w:line="283"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Any grant of Restricted Stock Units may provide for the earlier lapse of restrictions or other modifications in the event of specified terminations of the Participant’s employment or service, a Change in Control, an unforeseeable emergency, the grant of a Substitute Award or other special circumstances.</w:t>
      </w:r>
    </w:p>
    <w:p>
      <w:pPr>
        <w:spacing w:after="0" w:line="310" w:lineRule="exact"/>
        <w:rPr>
          <w:rFonts w:ascii="Arial" w:cs="Arial" w:eastAsia="Arial" w:hAnsi="Arial"/>
          <w:sz w:val="18"/>
          <w:szCs w:val="18"/>
          <w:b w:val="1"/>
          <w:bCs w:val="1"/>
          <w:color w:val="auto"/>
        </w:rPr>
      </w:pPr>
    </w:p>
    <w:p>
      <w:pPr>
        <w:jc w:val="both"/>
        <w:ind w:left="1300" w:hanging="644"/>
        <w:spacing w:after="0" w:line="285" w:lineRule="auto"/>
        <w:tabs>
          <w:tab w:leader="none" w:pos="130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Except as provided in an Evidence of Award, in the event of a Participant’s termination of employment or service, any Restricted Stock Unit that has not yet become vested will be immediately forfeited to the Corporation, without further action on the part of the Corporation or the Compensation Committee, and the Participant will have no further rights in respect of such Restricted Stock Units.</w:t>
      </w:r>
    </w:p>
    <w:p>
      <w:pPr>
        <w:spacing w:after="0" w:line="291" w:lineRule="exact"/>
        <w:rPr>
          <w:rFonts w:ascii="Arial" w:cs="Arial" w:eastAsia="Arial" w:hAnsi="Arial"/>
          <w:sz w:val="18"/>
          <w:szCs w:val="18"/>
          <w:b w:val="1"/>
          <w:bCs w:val="1"/>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SHARES AND PERFORMANCE UNITS</w:t>
      </w:r>
      <w:r>
        <w:rPr>
          <w:rFonts w:ascii="Arial" w:cs="Arial" w:eastAsia="Arial" w:hAnsi="Arial"/>
          <w:sz w:val="18"/>
          <w:szCs w:val="18"/>
          <w:color w:val="auto"/>
        </w:rPr>
        <w:t>.</w:t>
      </w:r>
    </w:p>
    <w:p>
      <w:pPr>
        <w:spacing w:after="0" w:line="360" w:lineRule="exact"/>
        <w:rPr>
          <w:rFonts w:ascii="Arial" w:cs="Arial" w:eastAsia="Arial" w:hAnsi="Arial"/>
          <w:sz w:val="18"/>
          <w:szCs w:val="18"/>
          <w:b w:val="1"/>
          <w:bCs w:val="1"/>
          <w:color w:val="auto"/>
        </w:rPr>
      </w:pPr>
    </w:p>
    <w:p>
      <w:pPr>
        <w:ind w:left="1300" w:hanging="644"/>
        <w:spacing w:after="0" w:line="318" w:lineRule="auto"/>
        <w:tabs>
          <w:tab w:leader="none" w:pos="130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The Board, the Compensation Committee or, in accordance with </w:t>
      </w:r>
      <w:r>
        <w:rPr>
          <w:rFonts w:ascii="Arial" w:cs="Arial" w:eastAsia="Arial" w:hAnsi="Arial"/>
          <w:sz w:val="18"/>
          <w:szCs w:val="18"/>
          <w:b w:val="1"/>
          <w:bCs w:val="1"/>
          <w:u w:val="single" w:color="auto"/>
          <w:color w:val="auto"/>
        </w:rPr>
        <w:t>Section 12.D.</w:t>
      </w:r>
      <w:r>
        <w:rPr>
          <w:rFonts w:ascii="Arial" w:cs="Arial" w:eastAsia="Arial" w:hAnsi="Arial"/>
          <w:sz w:val="18"/>
          <w:szCs w:val="18"/>
          <w:color w:val="auto"/>
        </w:rPr>
        <w:t xml:space="preserve"> of the Plan, an Authorized Officer, may grant Performance Shares and Performance Units that will become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52" w:right="239" w:bottom="1440" w:gutter="0" w:footer="0" w:header="0"/>
        </w:sectPr>
      </w:pPr>
    </w:p>
    <w:bookmarkStart w:id="83" w:name="page84"/>
    <w:bookmarkEnd w:id="83"/>
    <w:p>
      <w:pPr>
        <w:jc w:val="center"/>
        <w:ind w:right="-79"/>
        <w:spacing w:after="0"/>
        <w:rPr>
          <w:sz w:val="20"/>
          <w:szCs w:val="20"/>
          <w:color w:val="auto"/>
        </w:rPr>
      </w:pPr>
      <w:r>
        <w:rPr>
          <w:rFonts w:ascii="Arial" w:cs="Arial" w:eastAsia="Arial" w:hAnsi="Arial"/>
          <w:sz w:val="18"/>
          <w:szCs w:val="18"/>
          <w:color w:val="auto"/>
        </w:rPr>
        <w:t>payable to a Participant upon achievement of specified Performance Objectives during the Performance Period.</w:t>
      </w:r>
    </w:p>
    <w:p>
      <w:pPr>
        <w:spacing w:after="0" w:line="387" w:lineRule="exact"/>
        <w:rPr>
          <w:sz w:val="20"/>
          <w:szCs w:val="20"/>
          <w:color w:val="auto"/>
        </w:rPr>
      </w:pPr>
    </w:p>
    <w:p>
      <w:pPr>
        <w:ind w:left="1300" w:hanging="644"/>
        <w:spacing w:after="0"/>
        <w:tabs>
          <w:tab w:leader="none" w:pos="130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Each grant of Performance Shares or Performance Units will be memorialized by an Evidence of Award that shall specify:</w:t>
      </w:r>
    </w:p>
    <w:p>
      <w:pPr>
        <w:spacing w:after="0" w:line="338" w:lineRule="exact"/>
        <w:rPr>
          <w:rFonts w:ascii="Arial" w:cs="Arial" w:eastAsia="Arial" w:hAnsi="Arial"/>
          <w:sz w:val="18"/>
          <w:szCs w:val="18"/>
          <w:b w:val="1"/>
          <w:bCs w:val="1"/>
          <w:color w:val="auto"/>
        </w:rPr>
      </w:pPr>
    </w:p>
    <w:p>
      <w:pPr>
        <w:ind w:left="1960" w:hanging="655"/>
        <w:spacing w:after="0" w:line="318" w:lineRule="auto"/>
        <w:tabs>
          <w:tab w:leader="none" w:pos="1960"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units or shares of Common Stock to which it pertains, subject to the limitations set forth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the Plan, which number may be subject to adjustment to reflect changes in compensation or other factors;</w:t>
      </w:r>
    </w:p>
    <w:p>
      <w:pPr>
        <w:spacing w:after="0" w:line="283" w:lineRule="exact"/>
        <w:rPr>
          <w:rFonts w:ascii="Arial" w:cs="Arial" w:eastAsia="Arial" w:hAnsi="Arial"/>
          <w:sz w:val="18"/>
          <w:szCs w:val="18"/>
          <w:b w:val="1"/>
          <w:bCs w:val="1"/>
          <w:color w:val="auto"/>
        </w:rPr>
      </w:pPr>
    </w:p>
    <w:p>
      <w:pPr>
        <w:ind w:left="1960" w:hanging="655"/>
        <w:spacing w:after="0"/>
        <w:tabs>
          <w:tab w:leader="none" w:pos="1960"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the conditions for the Performance Shares or Performance Units or installments thereof to vest;</w:t>
      </w:r>
    </w:p>
    <w:p>
      <w:pPr>
        <w:spacing w:after="0" w:line="360" w:lineRule="exact"/>
        <w:rPr>
          <w:rFonts w:ascii="Arial" w:cs="Arial" w:eastAsia="Arial" w:hAnsi="Arial"/>
          <w:sz w:val="18"/>
          <w:szCs w:val="18"/>
          <w:b w:val="1"/>
          <w:bCs w:val="1"/>
          <w:color w:val="auto"/>
        </w:rPr>
      </w:pPr>
    </w:p>
    <w:p>
      <w:pPr>
        <w:jc w:val="both"/>
        <w:ind w:left="1960" w:hanging="655"/>
        <w:spacing w:after="0" w:line="287" w:lineRule="auto"/>
        <w:tabs>
          <w:tab w:leader="none" w:pos="1960"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whether payment under Performance Shares or Performance Units shall be made in Common Stock, cash or any combination thereof (and whether such form may be determined in the discretion of the Compensation Committee or Authorized Officer or Participant) and the time or times at which such amounts shall be payable; and</w:t>
      </w:r>
    </w:p>
    <w:p>
      <w:pPr>
        <w:spacing w:after="0" w:line="310" w:lineRule="exact"/>
        <w:rPr>
          <w:rFonts w:ascii="Arial" w:cs="Arial" w:eastAsia="Arial" w:hAnsi="Arial"/>
          <w:sz w:val="18"/>
          <w:szCs w:val="18"/>
          <w:b w:val="1"/>
          <w:bCs w:val="1"/>
          <w:color w:val="auto"/>
        </w:rPr>
      </w:pPr>
    </w:p>
    <w:p>
      <w:pPr>
        <w:jc w:val="both"/>
        <w:ind w:left="1960" w:hanging="655"/>
        <w:spacing w:after="0" w:line="285" w:lineRule="auto"/>
        <w:tabs>
          <w:tab w:leader="none" w:pos="1960"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such other terms as the Compensation Committee or Authorized Officer may approve, including without limitation provisions under which some portion or all of the Performance Shares or Performance Units or proceeds attributable thereto may be subject to recoupment in circumstances of Participant conduct deemed detrimental to the Corporation or its Affiliates.</w:t>
      </w:r>
    </w:p>
    <w:p>
      <w:pPr>
        <w:spacing w:after="0" w:line="291" w:lineRule="exact"/>
        <w:rPr>
          <w:rFonts w:ascii="Arial" w:cs="Arial" w:eastAsia="Arial" w:hAnsi="Arial"/>
          <w:sz w:val="18"/>
          <w:szCs w:val="18"/>
          <w:b w:val="1"/>
          <w:bCs w:val="1"/>
          <w:color w:val="auto"/>
        </w:rPr>
      </w:pPr>
    </w:p>
    <w:p>
      <w:pPr>
        <w:ind w:left="1300" w:hanging="644"/>
        <w:spacing w:after="0" w:line="318" w:lineRule="auto"/>
        <w:tabs>
          <w:tab w:leader="none" w:pos="130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each Award of Performance Shares or Performance Units granted under this Plan shall provide for a minimum vesting period of twelve (12) months from the Date of Grant.</w:t>
      </w:r>
    </w:p>
    <w:p>
      <w:pPr>
        <w:spacing w:after="0" w:line="283"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Any grant of Performance Shares or Performance Units may provide for the earlier lapse of restrictions or other modifications in the event of specified terminations of the Participant’s employment or service, a Change in Control, an unforeseeable emergency, the grant of a Substitute Award or other special circumstances.</w:t>
      </w:r>
    </w:p>
    <w:p>
      <w:pPr>
        <w:spacing w:after="0" w:line="310" w:lineRule="exact"/>
        <w:rPr>
          <w:rFonts w:ascii="Arial" w:cs="Arial" w:eastAsia="Arial" w:hAnsi="Arial"/>
          <w:sz w:val="18"/>
          <w:szCs w:val="18"/>
          <w:b w:val="1"/>
          <w:bCs w:val="1"/>
          <w:color w:val="auto"/>
        </w:rPr>
      </w:pPr>
    </w:p>
    <w:p>
      <w:pPr>
        <w:jc w:val="both"/>
        <w:ind w:left="1300" w:hanging="644"/>
        <w:spacing w:after="0" w:line="285" w:lineRule="auto"/>
        <w:tabs>
          <w:tab w:leader="none" w:pos="130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Except as provided in an Evidence of Award, in the event of a Participant’s termination of employment or service, any Performance Share or Performance Unit that has not yet become vested will be immediately forfeited to the Corporation, without further action on the part of the Corporation or the Compensation Committee, and the Participant will have no further rights in respect of such Performance Shares or Performance Units.</w:t>
      </w:r>
    </w:p>
    <w:p>
      <w:pPr>
        <w:spacing w:after="0" w:line="313" w:lineRule="exact"/>
        <w:rPr>
          <w:rFonts w:ascii="Arial" w:cs="Arial" w:eastAsia="Arial" w:hAnsi="Arial"/>
          <w:sz w:val="18"/>
          <w:szCs w:val="18"/>
          <w:b w:val="1"/>
          <w:bCs w:val="1"/>
          <w:color w:val="auto"/>
        </w:rPr>
      </w:pPr>
    </w:p>
    <w:p>
      <w:pPr>
        <w:jc w:val="both"/>
        <w:ind w:left="1300" w:hanging="644"/>
        <w:spacing w:after="0" w:line="281" w:lineRule="auto"/>
        <w:tabs>
          <w:tab w:leader="none" w:pos="130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During the Performance Period, the Participant will have none of the rights of a shareholder of any shares of Common Stock with respect to Performance Shares, but the Compensation Committee or Authorized Officer may authorize the payment of</w:t>
      </w:r>
    </w:p>
    <w:p>
      <w:pPr>
        <w:spacing w:after="0" w:line="1" w:lineRule="exact"/>
        <w:rPr>
          <w:rFonts w:ascii="Arial" w:cs="Arial" w:eastAsia="Arial" w:hAnsi="Arial"/>
          <w:sz w:val="18"/>
          <w:szCs w:val="18"/>
          <w:b w:val="1"/>
          <w:bCs w:val="1"/>
          <w:color w:val="auto"/>
        </w:rPr>
      </w:pPr>
    </w:p>
    <w:p>
      <w:pPr>
        <w:ind w:left="130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 xml:space="preserve">dividend equivalents on Performance Shares on either a current, deferred or contingent basis, either in cash or in additional shares of Common Stock, subject to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w:t>
      </w:r>
    </w:p>
    <w:p>
      <w:pPr>
        <w:spacing w:after="0" w:line="282" w:lineRule="exact"/>
        <w:rPr>
          <w:rFonts w:ascii="Arial" w:cs="Arial" w:eastAsia="Arial" w:hAnsi="Arial"/>
          <w:sz w:val="18"/>
          <w:szCs w:val="18"/>
          <w:b w:val="1"/>
          <w:bCs w:val="1"/>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p>
    <w:p>
      <w:pPr>
        <w:spacing w:after="0" w:line="360" w:lineRule="exact"/>
        <w:rPr>
          <w:rFonts w:ascii="Arial" w:cs="Arial" w:eastAsia="Arial" w:hAnsi="Arial"/>
          <w:sz w:val="18"/>
          <w:szCs w:val="18"/>
          <w:b w:val="1"/>
          <w:bCs w:val="1"/>
          <w:color w:val="auto"/>
        </w:rPr>
      </w:pPr>
    </w:p>
    <w:p>
      <w:pPr>
        <w:jc w:val="both"/>
        <w:ind w:left="1300" w:hanging="644"/>
        <w:spacing w:after="0" w:line="290" w:lineRule="auto"/>
        <w:tabs>
          <w:tab w:leader="none" w:pos="130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 xml:space="preserve">The Board, the Compensation Committee or, in accordance with </w:t>
      </w:r>
      <w:r>
        <w:rPr>
          <w:rFonts w:ascii="Arial" w:cs="Arial" w:eastAsia="Arial" w:hAnsi="Arial"/>
          <w:sz w:val="18"/>
          <w:szCs w:val="18"/>
          <w:b w:val="1"/>
          <w:bCs w:val="1"/>
          <w:u w:val="single" w:color="auto"/>
          <w:color w:val="auto"/>
        </w:rPr>
        <w:t>Section 12.D.</w:t>
      </w:r>
      <w:r>
        <w:rPr>
          <w:rFonts w:ascii="Arial" w:cs="Arial" w:eastAsia="Arial" w:hAnsi="Arial"/>
          <w:sz w:val="18"/>
          <w:szCs w:val="18"/>
          <w:color w:val="auto"/>
        </w:rPr>
        <w:t xml:space="preserve"> of the Plan, an Authorized Officer, may, subject to limitations under applicable law, rule, or regulation applicable to the Corporation, authorize grants to any Participant other awards that may be denominated or payable in, valued in whole or in part by reference to, or otherwise based on, or related to</w:t>
      </w: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(i) shares of Common Stock or factors that may influence the value of such shares, including, without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84" w:name="page85"/>
    <w:bookmarkEnd w:id="84"/>
    <w:p>
      <w:pPr>
        <w:jc w:val="both"/>
        <w:ind w:left="1300"/>
        <w:spacing w:after="0" w:line="344" w:lineRule="auto"/>
        <w:rPr>
          <w:sz w:val="20"/>
          <w:szCs w:val="20"/>
          <w:color w:val="auto"/>
        </w:rPr>
      </w:pPr>
      <w:r>
        <w:rPr>
          <w:rFonts w:ascii="Arial" w:cs="Arial" w:eastAsia="Arial" w:hAnsi="Arial"/>
          <w:sz w:val="18"/>
          <w:szCs w:val="18"/>
          <w:color w:val="auto"/>
        </w:rPr>
        <w:t>limitation, convertible or exchangeable debt securities, other rights convertible or exchangeable into shares of Common Stock, purchase rights for shares of Common Stock, awards with value and payment contingent upon performance of the Corporation or specified Subsidiaries, Affiliates or other business units thereof or any other factors designated by the Compensation Committee or Authorized Officer, and awards valued by reference to the book value of shares of Common Stock or the value of securities of, or the performance of specified Subsidiaries or Affiliates or other business units of, the Corporation, (ii) cash, or</w:t>
      </w:r>
    </w:p>
    <w:p>
      <w:pPr>
        <w:spacing w:after="0" w:line="2" w:lineRule="exact"/>
        <w:rPr>
          <w:sz w:val="20"/>
          <w:szCs w:val="20"/>
          <w:color w:val="auto"/>
        </w:rPr>
      </w:pPr>
    </w:p>
    <w:p>
      <w:pPr>
        <w:jc w:val="both"/>
        <w:ind w:left="1300"/>
        <w:spacing w:after="0" w:line="348" w:lineRule="auto"/>
        <w:rPr>
          <w:sz w:val="20"/>
          <w:szCs w:val="20"/>
          <w:color w:val="auto"/>
        </w:rPr>
      </w:pPr>
      <w:r>
        <w:rPr>
          <w:rFonts w:ascii="Arial" w:cs="Arial" w:eastAsia="Arial" w:hAnsi="Arial"/>
          <w:sz w:val="18"/>
          <w:szCs w:val="18"/>
          <w:color w:val="auto"/>
        </w:rPr>
        <w:t>(iii) any combination of the foregoing, including without limitation grants of cash or shares of Common Stock as a bonus or in lieu of obligations of the Corporation or a Subsidiary to pay cash or deliver other property under this Plan or under other plans or compensatory arrangements, all subject to such terms as shall be determined by the Compensation Committee or Authorized Officer.</w:t>
      </w:r>
    </w:p>
    <w:p>
      <w:pPr>
        <w:spacing w:after="0" w:line="285"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Each grant of an Other Award will be memorialized by an Evidence of Award that shall specify:</w:t>
      </w:r>
    </w:p>
    <w:p>
      <w:pPr>
        <w:spacing w:after="0" w:line="360" w:lineRule="exact"/>
        <w:rPr>
          <w:sz w:val="20"/>
          <w:szCs w:val="20"/>
          <w:color w:val="auto"/>
        </w:rPr>
      </w:pPr>
    </w:p>
    <w:p>
      <w:pPr>
        <w:ind w:left="1960" w:hanging="655"/>
        <w:spacing w:after="0" w:line="293" w:lineRule="auto"/>
        <w:tabs>
          <w:tab w:leader="none" w:pos="1960" w:val="left"/>
        </w:tabs>
        <w:numPr>
          <w:ilvl w:val="2"/>
          <w:numId w:val="69"/>
        </w:numPr>
        <w:rPr>
          <w:rFonts w:ascii="Arial" w:cs="Arial" w:eastAsia="Arial" w:hAnsi="Arial"/>
          <w:sz w:val="18"/>
          <w:szCs w:val="18"/>
          <w:b w:val="1"/>
          <w:bCs w:val="1"/>
          <w:color w:val="auto"/>
        </w:rPr>
      </w:pPr>
      <w:r>
        <w:rPr>
          <w:rFonts w:ascii="Arial" w:cs="Arial" w:eastAsia="Arial" w:hAnsi="Arial"/>
          <w:sz w:val="18"/>
          <w:szCs w:val="18"/>
          <w:color w:val="auto"/>
        </w:rPr>
        <w:t xml:space="preserve">the number of shares of Common Stock and/or the amount of cash to which it pertains, subject to the limitations set forth in Section </w:t>
      </w:r>
      <w:r>
        <w:rPr>
          <w:rFonts w:ascii="Arial" w:cs="Arial" w:eastAsia="Arial" w:hAnsi="Arial"/>
          <w:sz w:val="18"/>
          <w:szCs w:val="18"/>
          <w:b w:val="1"/>
          <w:bCs w:val="1"/>
          <w:u w:val="single" w:color="auto"/>
          <w:color w:val="auto"/>
        </w:rPr>
        <w:t>3</w:t>
      </w:r>
      <w:r>
        <w:rPr>
          <w:rFonts w:ascii="Arial" w:cs="Arial" w:eastAsia="Arial" w:hAnsi="Arial"/>
          <w:sz w:val="18"/>
          <w:szCs w:val="18"/>
          <w:color w:val="auto"/>
        </w:rPr>
        <w:t xml:space="preserve"> of the Plan;</w:t>
      </w:r>
    </w:p>
    <w:p>
      <w:pPr>
        <w:spacing w:after="0" w:line="304" w:lineRule="exact"/>
        <w:rPr>
          <w:rFonts w:ascii="Arial" w:cs="Arial" w:eastAsia="Arial" w:hAnsi="Arial"/>
          <w:sz w:val="18"/>
          <w:szCs w:val="18"/>
          <w:b w:val="1"/>
          <w:bCs w:val="1"/>
          <w:color w:val="auto"/>
        </w:rPr>
      </w:pPr>
    </w:p>
    <w:p>
      <w:pPr>
        <w:ind w:left="1960" w:hanging="655"/>
        <w:spacing w:after="0" w:line="293" w:lineRule="auto"/>
        <w:tabs>
          <w:tab w:leader="none" w:pos="1960" w:val="left"/>
        </w:tabs>
        <w:numPr>
          <w:ilvl w:val="2"/>
          <w:numId w:val="69"/>
        </w:numPr>
        <w:rPr>
          <w:rFonts w:ascii="Arial" w:cs="Arial" w:eastAsia="Arial" w:hAnsi="Arial"/>
          <w:sz w:val="18"/>
          <w:szCs w:val="18"/>
          <w:b w:val="1"/>
          <w:bCs w:val="1"/>
          <w:color w:val="auto"/>
        </w:rPr>
      </w:pPr>
      <w:r>
        <w:rPr>
          <w:rFonts w:ascii="Arial" w:cs="Arial" w:eastAsia="Arial" w:hAnsi="Arial"/>
          <w:sz w:val="18"/>
          <w:szCs w:val="18"/>
          <w:color w:val="auto"/>
        </w:rPr>
        <w:t>the conditions for the Other Award or installments thereof to vest (including without limitation the attainment of Performance Objectives);</w:t>
      </w:r>
    </w:p>
    <w:p>
      <w:pPr>
        <w:spacing w:after="0" w:line="304" w:lineRule="exact"/>
        <w:rPr>
          <w:rFonts w:ascii="Arial" w:cs="Arial" w:eastAsia="Arial" w:hAnsi="Arial"/>
          <w:sz w:val="18"/>
          <w:szCs w:val="18"/>
          <w:b w:val="1"/>
          <w:bCs w:val="1"/>
          <w:color w:val="auto"/>
        </w:rPr>
      </w:pPr>
    </w:p>
    <w:p>
      <w:pPr>
        <w:jc w:val="both"/>
        <w:ind w:left="1960" w:hanging="655"/>
        <w:spacing w:after="0" w:line="287" w:lineRule="auto"/>
        <w:tabs>
          <w:tab w:leader="none" w:pos="1960" w:val="left"/>
        </w:tabs>
        <w:numPr>
          <w:ilvl w:val="2"/>
          <w:numId w:val="69"/>
        </w:numPr>
        <w:rPr>
          <w:rFonts w:ascii="Arial" w:cs="Arial" w:eastAsia="Arial" w:hAnsi="Arial"/>
          <w:sz w:val="18"/>
          <w:szCs w:val="18"/>
          <w:b w:val="1"/>
          <w:bCs w:val="1"/>
          <w:color w:val="auto"/>
        </w:rPr>
      </w:pPr>
      <w:r>
        <w:rPr>
          <w:rFonts w:ascii="Arial" w:cs="Arial" w:eastAsia="Arial" w:hAnsi="Arial"/>
          <w:sz w:val="18"/>
          <w:szCs w:val="18"/>
          <w:color w:val="auto"/>
        </w:rPr>
        <w:t>whether payment thereunder shall be made in Common Stock, cash or any combination thereof (and whether such form may be determined in the discretion of the Compensation Committee or Authorized Officer or Participant) and the time or times at which such amounts shall be payable; and</w:t>
      </w:r>
    </w:p>
    <w:p>
      <w:pPr>
        <w:spacing w:after="0" w:line="310" w:lineRule="exact"/>
        <w:rPr>
          <w:rFonts w:ascii="Arial" w:cs="Arial" w:eastAsia="Arial" w:hAnsi="Arial"/>
          <w:sz w:val="18"/>
          <w:szCs w:val="18"/>
          <w:b w:val="1"/>
          <w:bCs w:val="1"/>
          <w:color w:val="auto"/>
        </w:rPr>
      </w:pPr>
    </w:p>
    <w:p>
      <w:pPr>
        <w:jc w:val="both"/>
        <w:ind w:left="1960" w:hanging="655"/>
        <w:spacing w:after="0" w:line="287" w:lineRule="auto"/>
        <w:tabs>
          <w:tab w:leader="none" w:pos="1960" w:val="left"/>
        </w:tabs>
        <w:numPr>
          <w:ilvl w:val="2"/>
          <w:numId w:val="69"/>
        </w:numPr>
        <w:rPr>
          <w:rFonts w:ascii="Arial" w:cs="Arial" w:eastAsia="Arial" w:hAnsi="Arial"/>
          <w:sz w:val="18"/>
          <w:szCs w:val="18"/>
          <w:b w:val="1"/>
          <w:bCs w:val="1"/>
          <w:color w:val="auto"/>
        </w:rPr>
      </w:pPr>
      <w:r>
        <w:rPr>
          <w:rFonts w:ascii="Arial" w:cs="Arial" w:eastAsia="Arial" w:hAnsi="Arial"/>
          <w:sz w:val="18"/>
          <w:szCs w:val="18"/>
          <w:color w:val="auto"/>
        </w:rPr>
        <w:t>such other terms as the Compensation Committee or Authorized Officer may approve, including without limitation provisions under which some portion or all of the Other Award or proceeds attributable thereto may be subject to recoupment in circumstances of Participant conduct deemed detrimental to the Corporation or its Affiliates.</w:t>
      </w:r>
    </w:p>
    <w:p>
      <w:pPr>
        <w:spacing w:after="0" w:line="288" w:lineRule="exact"/>
        <w:rPr>
          <w:rFonts w:ascii="Arial" w:cs="Arial" w:eastAsia="Arial" w:hAnsi="Arial"/>
          <w:sz w:val="18"/>
          <w:szCs w:val="18"/>
          <w:b w:val="1"/>
          <w:bCs w:val="1"/>
          <w:color w:val="auto"/>
        </w:rPr>
      </w:pPr>
    </w:p>
    <w:p>
      <w:pPr>
        <w:ind w:left="1300" w:right="20" w:hanging="644"/>
        <w:spacing w:after="0" w:line="318" w:lineRule="auto"/>
        <w:tabs>
          <w:tab w:leader="none" w:pos="1300"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each Other Award granted under this Plan shall provide for a minimum vesting period of twelve (12) months from the Date of Grant.</w:t>
      </w:r>
    </w:p>
    <w:p>
      <w:pPr>
        <w:spacing w:after="0" w:line="283"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Any grant of an Other Award may provide for the earlier lapse of restrictions or other modifications in the event of specified terminations of the Participant’s employment or service, a Change in Control, an unforeseeable emergency, the grant of a Substitute Award or other special circumstances.</w:t>
      </w:r>
    </w:p>
    <w:p>
      <w:pPr>
        <w:spacing w:after="0" w:line="310"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Except as provided in an Evidence of Award, in the event of a Participant’s termination of employment or service, any Other Award that has not yet become vested will be immediately forfeited to the Corporation, without further action on the part of the Corporation or the Compensation Committee, and the Participant will have no further rights in respect of such Other Award.</w:t>
      </w:r>
    </w:p>
    <w:p>
      <w:pPr>
        <w:spacing w:after="0" w:line="288" w:lineRule="exact"/>
        <w:rPr>
          <w:rFonts w:ascii="Arial" w:cs="Arial" w:eastAsia="Arial" w:hAnsi="Arial"/>
          <w:sz w:val="18"/>
          <w:szCs w:val="18"/>
          <w:b w:val="1"/>
          <w:bCs w:val="1"/>
          <w:color w:val="auto"/>
        </w:rPr>
      </w:pPr>
    </w:p>
    <w:p>
      <w:pPr>
        <w:jc w:val="both"/>
        <w:ind w:firstLine="8"/>
        <w:spacing w:after="0" w:line="294" w:lineRule="auto"/>
        <w:tabs>
          <w:tab w:leader="none" w:pos="531"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TO NON-EMPLOYEE DIRECTORS. </w:t>
      </w:r>
      <w:r>
        <w:rPr>
          <w:rFonts w:ascii="Arial" w:cs="Arial" w:eastAsia="Arial" w:hAnsi="Arial"/>
          <w:sz w:val="18"/>
          <w:szCs w:val="18"/>
          <w:color w:val="auto"/>
        </w:rPr>
        <w:t>The Board may from time to time grant Awards to Non-Employee Directors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otherwise applicable to the grants of Awards under the Plan. If a Non-Employee Director subsequently becomes an employee of the Corporation or a Subsidiary while remaining a member of the Board, any Award held under this Plan by such individual at the time of such commencement of employment will not be affected thereby.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85" w:name="page86"/>
    <w:bookmarkEnd w:id="85"/>
    <w:p>
      <w:pPr>
        <w:ind w:firstLine="8"/>
        <w:spacing w:after="0" w:line="318" w:lineRule="auto"/>
        <w:tabs>
          <w:tab w:leader="none" w:pos="571"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VESTING PERIOD. </w:t>
      </w:r>
      <w:r>
        <w:rPr>
          <w:rFonts w:ascii="Arial" w:cs="Arial" w:eastAsia="Arial" w:hAnsi="Arial"/>
          <w:sz w:val="18"/>
          <w:szCs w:val="18"/>
          <w:color w:val="auto"/>
        </w:rPr>
        <w:t>Awards covering in the aggregate not more than 5% of the shares of Common Stock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issuance under the Plan shall not necessarily be subject to the restrictions set forth </w:t>
      </w:r>
      <w:r>
        <w:rPr>
          <w:rFonts w:ascii="Arial" w:cs="Arial" w:eastAsia="Arial" w:hAnsi="Arial"/>
          <w:sz w:val="18"/>
          <w:szCs w:val="18"/>
          <w:b w:val="1"/>
          <w:bCs w:val="1"/>
          <w:u w:val="single" w:color="auto"/>
          <w:color w:val="auto"/>
        </w:rPr>
        <w:t>Section 4.D., 5.E., 6.D., 7.D., 8.C., or 9.C.</w:t>
      </w:r>
    </w:p>
    <w:p>
      <w:pPr>
        <w:spacing w:after="0" w:line="356" w:lineRule="exact"/>
        <w:rPr>
          <w:rFonts w:ascii="Arial" w:cs="Arial" w:eastAsia="Arial" w:hAnsi="Arial"/>
          <w:sz w:val="18"/>
          <w:szCs w:val="18"/>
          <w:b w:val="1"/>
          <w:bCs w:val="1"/>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47" w:lineRule="exact"/>
        <w:rPr>
          <w:rFonts w:ascii="Arial" w:cs="Arial" w:eastAsia="Arial" w:hAnsi="Arial"/>
          <w:sz w:val="18"/>
          <w:szCs w:val="18"/>
          <w:b w:val="1"/>
          <w:bCs w:val="1"/>
          <w:color w:val="auto"/>
        </w:rPr>
      </w:pPr>
    </w:p>
    <w:p>
      <w:pPr>
        <w:jc w:val="both"/>
        <w:ind w:left="1300" w:hanging="644"/>
        <w:spacing w:after="0" w:line="25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This Plan will be administered by the Compensation Committee. The Board or the Compensation Committee, as applicable, may from time to time delegate all or any part of its authority under this Plan to any other committee of the Board or subcommittee thereof consisting exclusively of not less than two or more members of the Board, each of whom shall be a “non-employee director” within the meaning of Rule 16b-3 of the Securities and Exchange Commission promulgated under the Exchange Act, and an “independent director” within the meaning of the rules of the NASDAQ, as constituted from time to time. To the extent of any such delegation, references in this Plan to the Board or the Compensation Committee, as applicable, will be deemed to be references to such committee or subcommittee. A majority of the committee (or subcommittee) will constitute a quorum, and the action of the members of the committee (or subcommittee) present at any meeting at which a quorum is present, or acts unanimously approved in writing, will be the acts of the committee (or subcommittee).</w:t>
      </w:r>
    </w:p>
    <w:p>
      <w:pPr>
        <w:spacing w:after="0" w:line="212"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interpretation and construction by the Compensation Committee of any provision of the Plan or of any agreement, notification or document evidencing the grant of an Award, and any determination by the Compensation Committee pursuant to any provision of the Plan or of any such agreement, notification or document will be final and conclusive. No member of the Board will be liable for any such action or determination made in good faith.</w:t>
      </w:r>
    </w:p>
    <w:p>
      <w:pPr>
        <w:spacing w:after="0" w:line="182"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law but subject to </w:t>
      </w:r>
      <w:r>
        <w:rPr>
          <w:rFonts w:ascii="Arial" w:cs="Arial" w:eastAsia="Arial" w:hAnsi="Arial"/>
          <w:sz w:val="18"/>
          <w:szCs w:val="18"/>
          <w:b w:val="1"/>
          <w:bCs w:val="1"/>
          <w:u w:val="single" w:color="auto"/>
          <w:color w:val="auto"/>
        </w:rPr>
        <w:t>Section 12.D.</w:t>
      </w:r>
      <w:r>
        <w:rPr>
          <w:rFonts w:ascii="Arial" w:cs="Arial" w:eastAsia="Arial" w:hAnsi="Arial"/>
          <w:sz w:val="18"/>
          <w:szCs w:val="18"/>
          <w:color w:val="auto"/>
        </w:rPr>
        <w:t xml:space="preserve"> of the Plan, the Board or the Compensation Committee, as applicable, may, from time to time, delegate to one or more of its members or to one or more officers of the Corporation, or to one or more agents or advisors, such administrative duties or powers as it may deem advisable, and the Board, the Compensation Committee or any person to whom duties or powers have been delegated as aforesaid, may employ one or more persons to render advice with respect to any responsibility the Board, the Compensation Committee or such person may have under this Plan.</w:t>
      </w:r>
    </w:p>
    <w:p>
      <w:pPr>
        <w:spacing w:after="0" w:line="204" w:lineRule="exact"/>
        <w:rPr>
          <w:rFonts w:ascii="Arial" w:cs="Arial" w:eastAsia="Arial" w:hAnsi="Arial"/>
          <w:sz w:val="18"/>
          <w:szCs w:val="18"/>
          <w:color w:val="auto"/>
        </w:rPr>
      </w:pPr>
    </w:p>
    <w:p>
      <w:pPr>
        <w:jc w:val="both"/>
        <w:ind w:left="1300" w:hanging="644"/>
        <w:spacing w:after="0" w:line="251"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the extent permitted by applicable law, rule, and regulation, the Compensation Committee may, by resolution, authorize one or more Executive Officers of the Corporation (each, an “Authorized Officer”), to do one or both of the following on the same basis as the Compensation Committee: (i) designate Participants to be recipients of Awards under this Plan and (ii) determine the size of any such Awards; provided, however, that (A) the Compensation Committee shall not delegate such responsibilities to any Executive Officer for Awards granted to a Participant who is an Executive Officer, a Director, or a more than 10% beneficial owner of any class of the Corporation’s equity securities that is registered pursuant to Section 12 of the Exchange Act, as determined by the Board in accordance with Section 16 of the Exchange Act, and (B) the resolution providing for such authorization sets forth the total number of shares of Common Stock the Authorized Officer(s) may grant. The Authorized Officer(s) shall report periodically to the Compensation Committee regarding the nature and scope of the Awards granted pursuant to the authority delegated.</w:t>
      </w:r>
    </w:p>
    <w:p>
      <w:pPr>
        <w:spacing w:after="0" w:line="95" w:lineRule="exact"/>
        <w:rPr>
          <w:rFonts w:ascii="Arial" w:cs="Arial" w:eastAsia="Arial" w:hAnsi="Arial"/>
          <w:sz w:val="18"/>
          <w:szCs w:val="18"/>
          <w:color w:val="auto"/>
        </w:rPr>
      </w:pPr>
    </w:p>
    <w:p>
      <w:pPr>
        <w:jc w:val="both"/>
        <w:ind w:firstLine="8"/>
        <w:spacing w:after="0" w:line="286" w:lineRule="auto"/>
        <w:tabs>
          <w:tab w:leader="none" w:pos="571"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The Board shall make or provide for such adjustments in the numbers of shares of Common Stock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 Rights, Appreciation Rights, Restricted Stock Units, Performance Shares, Performance Units and Other Awards, in the Option Price and Base Price provided in outstanding Option Rights and Appreciation Rights, and in the kind of shares covered thereby, as is equitably required to prevent dilution or enlargement of the rights of Participants or Optionees that otherwise would result from (a) any stock dividend, stock split, combination of shares, recapitalization or other change in the capital structure of the Corporation, (b) any merger, consolidation, spin-off, split-off, spin-out, split-up, reorganization, partial or complete liquidation or other distribution of assets, issuance of rights</w:t>
      </w:r>
    </w:p>
    <w:p>
      <w:pPr>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 xml:space="preserve">or warrants to purchase securities, or (c) any other corporate transaction or event having an effect similar to any of the foregoing. Moreover, in the event of any such transaction or event specified in this </w:t>
      </w:r>
      <w:r>
        <w:rPr>
          <w:rFonts w:ascii="Arial" w:cs="Arial" w:eastAsia="Arial" w:hAnsi="Arial"/>
          <w:sz w:val="18"/>
          <w:szCs w:val="18"/>
          <w:b w:val="1"/>
          <w:bCs w:val="1"/>
          <w:u w:val="single" w:color="auto"/>
          <w:color w:val="auto"/>
        </w:rPr>
        <w:t>Section 13</w:t>
      </w:r>
      <w:r>
        <w:rPr>
          <w:rFonts w:ascii="Arial" w:cs="Arial" w:eastAsia="Arial" w:hAnsi="Arial"/>
          <w:sz w:val="18"/>
          <w:szCs w:val="18"/>
          <w:color w:val="auto"/>
        </w:rPr>
        <w:t xml:space="preserve"> of the Plan,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81" w:right="239" w:bottom="1440" w:gutter="0" w:footer="0" w:header="0"/>
        </w:sectPr>
      </w:pPr>
    </w:p>
    <w:bookmarkStart w:id="86" w:name="page87"/>
    <w:bookmarkEnd w:id="86"/>
    <w:p>
      <w:pPr>
        <w:jc w:val="both"/>
        <w:spacing w:after="0" w:line="285" w:lineRule="auto"/>
        <w:rPr>
          <w:sz w:val="20"/>
          <w:szCs w:val="20"/>
          <w:color w:val="auto"/>
        </w:rPr>
      </w:pPr>
      <w:r>
        <w:rPr>
          <w:rFonts w:ascii="Arial" w:cs="Arial" w:eastAsia="Arial" w:hAnsi="Arial"/>
          <w:sz w:val="18"/>
          <w:szCs w:val="18"/>
          <w:color w:val="auto"/>
        </w:rPr>
        <w:t xml:space="preserve">Compensation Committee, in its discretion, may provide in substitution for any or all outstanding Awards under this Plan such alternative consideration (including cash), if any, as it may determine, in good faith, to be equitable in the circumstances and may require in connection therewith the surrender of all Awards so replaced. The Compensation Committee also shall make or provide for such adjustments in the numbers of shares specified in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the Plan as is appropriate to reflect any transaction or event described in this </w:t>
      </w:r>
      <w:r>
        <w:rPr>
          <w:rFonts w:ascii="Arial" w:cs="Arial" w:eastAsia="Arial" w:hAnsi="Arial"/>
          <w:sz w:val="18"/>
          <w:szCs w:val="18"/>
          <w:b w:val="1"/>
          <w:bCs w:val="1"/>
          <w:u w:val="single" w:color="auto"/>
          <w:color w:val="auto"/>
        </w:rPr>
        <w:t>Section 13</w:t>
      </w:r>
      <w:r>
        <w:rPr>
          <w:rFonts w:ascii="Arial" w:cs="Arial" w:eastAsia="Arial" w:hAnsi="Arial"/>
          <w:sz w:val="18"/>
          <w:szCs w:val="18"/>
          <w:color w:val="auto"/>
        </w:rPr>
        <w:t>.</w:t>
      </w:r>
    </w:p>
    <w:p>
      <w:pPr>
        <w:spacing w:after="0" w:line="17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247" w:lineRule="exact"/>
        <w:rPr>
          <w:rFonts w:ascii="Arial" w:cs="Arial" w:eastAsia="Arial" w:hAnsi="Arial"/>
          <w:sz w:val="18"/>
          <w:szCs w:val="18"/>
          <w:b w:val="1"/>
          <w:bCs w:val="1"/>
          <w:color w:val="auto"/>
        </w:rPr>
      </w:pPr>
    </w:p>
    <w:p>
      <w:pPr>
        <w:jc w:val="both"/>
        <w:ind w:left="1300" w:hanging="644"/>
        <w:spacing w:after="0" w:line="253"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Except as otherwise provided in an Evidence of Award or by the Compensation Committee at the Date of Grant, to the extent outstanding Awards granted under this Plan are not assumed, converted or replaced by the resulting entity or its direct or indirect parent in the event of a Change in Control, all outstanding Awards that may be exercised shall become fully exercisable, all restrictions with respect to outstanding Awards shall lapse and become vested and non-forfeitable, and any specified Performance Objectives with respect to outstanding Awards shall be deemed to be satisfied at target.</w:t>
      </w:r>
    </w:p>
    <w:p>
      <w:pPr>
        <w:spacing w:after="0" w:line="205" w:lineRule="exact"/>
        <w:rPr>
          <w:rFonts w:ascii="Arial" w:cs="Arial" w:eastAsia="Arial" w:hAnsi="Arial"/>
          <w:sz w:val="18"/>
          <w:szCs w:val="18"/>
          <w:color w:val="auto"/>
        </w:rPr>
      </w:pPr>
    </w:p>
    <w:p>
      <w:pPr>
        <w:jc w:val="both"/>
        <w:ind w:left="1300" w:hanging="644"/>
        <w:spacing w:after="0" w:line="252"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Except as otherwise provided in an Evidence of Award or by the Compensation Committee, to the extent outstanding Awards granted under this Plan are assumed, converted or replaced by the resulting entity or its direct or indirect parent in the event of a Change in Control, any outstanding Awards that are subject to Performance Objectives shall be converted by the resulting entity or its direct or indirect parent, as if target performance had been achieved as of the date of the Change in Control, and each Award of: (i) Performance Shares or Performance Units shall continue to vest during the remaining Performance Period, (ii) Restricted Stock shall remain subject to the otherwise applicable vesting conditions during the remaining vesting period, (iii) Restricted Stock Units shall remain subject to the otherwise applicable vesting conditions during the Restriction Period, and (iv) all other Awards shall remain subject to the otherwise applicable vesting conditions during the remaining vesting period, if any.</w:t>
      </w:r>
    </w:p>
    <w:p>
      <w:pPr>
        <w:spacing w:after="0" w:line="206" w:lineRule="exact"/>
        <w:rPr>
          <w:rFonts w:ascii="Arial" w:cs="Arial" w:eastAsia="Arial" w:hAnsi="Arial"/>
          <w:sz w:val="18"/>
          <w:szCs w:val="18"/>
          <w:color w:val="auto"/>
        </w:rPr>
      </w:pPr>
    </w:p>
    <w:p>
      <w:pPr>
        <w:jc w:val="both"/>
        <w:ind w:left="1300" w:hanging="644"/>
        <w:spacing w:after="0" w:line="252"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Except as otherwise provided in an Evidence of Award or by the Compensation Committee, to the extent outstanding Awards granted under this Plan are either assumed, converted or replaced by the resulting entity or its direct or indirect parent in the event of a Change in Control, if a Participant’s service is terminated without Cause by the Corporation, any of its Subsidiaries or the resulting entity or a Participant resigns his or her employment with an Employer for Good Reason, in either case, all outstanding Awards held by the Participant that may be exercised shall become fully exercisable and all restrictions with respect to outstanding Awards shall lapse and become vested and non-forfeitable.</w:t>
      </w:r>
    </w:p>
    <w:p>
      <w:pPr>
        <w:spacing w:after="0" w:line="208" w:lineRule="exact"/>
        <w:rPr>
          <w:rFonts w:ascii="Arial" w:cs="Arial" w:eastAsia="Arial" w:hAnsi="Arial"/>
          <w:sz w:val="18"/>
          <w:szCs w:val="18"/>
          <w:color w:val="auto"/>
        </w:rPr>
      </w:pPr>
    </w:p>
    <w:p>
      <w:pPr>
        <w:jc w:val="both"/>
        <w:ind w:left="1300" w:hanging="644"/>
        <w:spacing w:after="0" w:line="251"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Notwithstanding any other provision of the Plan, in the event of a Change in Control, the Board in its discretion, at or after the Date of Grant, may (i) provide for the cancellation of each outstanding and unexercised Option Right or Appreciation Right with an Option Price or Base Price, as applicable, less than the highest price per share of Common Stock paid for a share of Common Stock in the Change in Control (or, if less, the Market Value Per Share at the time of cancellation to the extent required to avoid imposition of a tax under Section 409A of the Code) (such amount the “Transaction Consideration”) in exchange for a cash payment to be made at the same time as payment is made to holders of Common Stock in connection with the Change in Control in an amount equal to the amount by which the Transaction Consideration exceeds the Option Price or Base Price, as applicable, multiplied by the number of shares of Common Stock granted under the Option Right or Appreciation Right, and (ii) provide for the cancellation of each outstanding and unexercised Option Right or Appreciation Right with an Option Price or Base Price, as applicable, equal to or more than the Transaction Consideration without any payment to the holder of such Option Right or Appreciation Right, as applicable.</w:t>
      </w:r>
    </w:p>
    <w:p>
      <w:pPr>
        <w:spacing w:after="0" w:line="211"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to the extent an Award constitutes a “deferral of compensation” for purposes of Section 409A of the Code, and such Award shall be deemed to be vested or restrictions lapse, expire or terminate upon the occurrence of a Change in Control and such Change in Control does not constitute a “change in the ownership or effective control” or a “change in the ownership or a substantial portion of the assets” of the Corporation within the meaning of Section 409A(a)(2)(A)(v) of the Code, then even though such Award may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03" w:right="239" w:bottom="1440" w:gutter="0" w:footer="0" w:header="0"/>
        </w:sectPr>
      </w:pPr>
    </w:p>
    <w:bookmarkStart w:id="87" w:name="page88"/>
    <w:bookmarkEnd w:id="87"/>
    <w:p>
      <w:pPr>
        <w:jc w:val="both"/>
        <w:ind w:left="1300"/>
        <w:spacing w:after="0" w:line="299" w:lineRule="auto"/>
        <w:rPr>
          <w:sz w:val="20"/>
          <w:szCs w:val="20"/>
          <w:color w:val="auto"/>
        </w:rPr>
      </w:pPr>
      <w:r>
        <w:rPr>
          <w:rFonts w:ascii="Arial" w:cs="Arial" w:eastAsia="Arial" w:hAnsi="Arial"/>
          <w:sz w:val="18"/>
          <w:szCs w:val="18"/>
          <w:color w:val="auto"/>
        </w:rPr>
        <w:t>be deemed to be vested or restrictions lapse, expire or terminate upon the occurrence of the Change in Control or any other provision of the Plan, payment will be made, to the extent necessary to comply with the provisions of Section 409A of the Code, to the Participant on the earliest of: (i) the Participant’s “separation from service” with the Corporation (determined in accordance with Section 409A of the Code); provided, however, that if the Participant is a “specified employee” (within the meaning of Section 409A of the Code), the payment date shall be the date that is six (6) months after the date of the Participant’s separation from service with the Employer, (ii) the date payment otherwise would have been made in the absence of any provisions in this Plan to the contrary (provided such date is permissible under Section 409A of the Code), or (iii) the Participant’s death.</w:t>
      </w:r>
    </w:p>
    <w:p>
      <w:pPr>
        <w:spacing w:after="0" w:line="62" w:lineRule="exact"/>
        <w:rPr>
          <w:sz w:val="20"/>
          <w:szCs w:val="20"/>
          <w:color w:val="auto"/>
        </w:rPr>
      </w:pPr>
    </w:p>
    <w:p>
      <w:pPr>
        <w:jc w:val="both"/>
        <w:ind w:firstLine="8"/>
        <w:spacing w:after="0" w:line="285" w:lineRule="auto"/>
        <w:tabs>
          <w:tab w:leader="none" w:pos="54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NON-U.S. PARTICIPANTS. </w:t>
      </w:r>
      <w:r>
        <w:rPr>
          <w:rFonts w:ascii="Arial" w:cs="Arial" w:eastAsia="Arial" w:hAnsi="Arial"/>
          <w:sz w:val="18"/>
          <w:szCs w:val="18"/>
          <w:color w:val="auto"/>
        </w:rPr>
        <w:t>In order to facilitate the making of any grant or combination of grants under this Plan, the Board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may provide for such special terms for awards to participants who are foreign nationals or who are employed by the Corporation or any Subsidiary outside of the United States of America or who provide services to the Corporation or any Subsidiary under an agreement with a foreign nation or agency, as the Board or the Compensation Committee may consider necessary or appropriate to accommodate differences in local law, tax policy or custom. Moreover, the Compensation Committee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the Corporation may certify any such document as having been approved and adopted in the same manner as this Plan. No such special terms, supplements, amendments or restatements, however, will include any provisions that are inconsistent with the terms of the Plan as then in effect unless this Plan could have been amended to eliminate such inconsistency without further approval by the shareholders of the Corporation.</w:t>
      </w:r>
    </w:p>
    <w:p>
      <w:pPr>
        <w:spacing w:after="0" w:line="172" w:lineRule="exact"/>
        <w:rPr>
          <w:rFonts w:ascii="Arial" w:cs="Arial" w:eastAsia="Arial" w:hAnsi="Arial"/>
          <w:sz w:val="18"/>
          <w:szCs w:val="18"/>
          <w:b w:val="1"/>
          <w:bCs w:val="1"/>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225" w:lineRule="exact"/>
        <w:rPr>
          <w:rFonts w:ascii="Arial" w:cs="Arial" w:eastAsia="Arial" w:hAnsi="Arial"/>
          <w:sz w:val="18"/>
          <w:szCs w:val="18"/>
          <w:b w:val="1"/>
          <w:bCs w:val="1"/>
          <w:color w:val="auto"/>
        </w:rPr>
      </w:pPr>
    </w:p>
    <w:p>
      <w:pPr>
        <w:jc w:val="both"/>
        <w:ind w:left="1300" w:hanging="644"/>
        <w:spacing w:after="0" w:line="256"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Except as otherwise determined by the Board or the Compensation Committee pursuant to the provisions of </w:t>
      </w:r>
      <w:r>
        <w:rPr>
          <w:rFonts w:ascii="Arial" w:cs="Arial" w:eastAsia="Arial" w:hAnsi="Arial"/>
          <w:sz w:val="18"/>
          <w:szCs w:val="18"/>
          <w:b w:val="1"/>
          <w:bCs w:val="1"/>
          <w:u w:val="single" w:color="auto"/>
          <w:color w:val="auto"/>
        </w:rPr>
        <w:t>Section 16.C.</w:t>
      </w:r>
      <w:r>
        <w:rPr>
          <w:rFonts w:ascii="Arial" w:cs="Arial" w:eastAsia="Arial" w:hAnsi="Arial"/>
          <w:sz w:val="18"/>
          <w:szCs w:val="18"/>
          <w:color w:val="auto"/>
        </w:rPr>
        <w:t xml:space="preserve"> of the Plan, no Award or dividend equivalents paid with respect to Awards made under this Plan shall be transferable by the Participant except by will or the laws of descent and distribution, and may be otherwise transferred in a manner that protects the interest of the Corporation as the Board or the Compensation Committee may determine; provided, however, that if so determined by the Compensation Committee, each Participant may, in a manner established by the Board or the Compensation Committee, designate a beneficiary to exercise the rights of the Participant with respect to any Award upon the death of the Participant and to receive shares of Common Stock or other property issued upon such exercise.</w:t>
      </w:r>
    </w:p>
    <w:p>
      <w:pPr>
        <w:spacing w:after="0" w:line="20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Compensation Committee or an Authorized Officer may specify at the Date of Grant that part or all of the shares of Common Stock that are (i) to be issued or transferred by the Corporation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the Plan, will be subject to further restrictions on transfer.</w:t>
      </w:r>
    </w:p>
    <w:p>
      <w:pPr>
        <w:spacing w:after="0" w:line="183"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u w:val="single" w:color="auto"/>
          <w:color w:val="auto"/>
        </w:rPr>
        <w:t>Section 16.A.</w:t>
      </w:r>
      <w:r>
        <w:rPr>
          <w:rFonts w:ascii="Arial" w:cs="Arial" w:eastAsia="Arial" w:hAnsi="Arial"/>
          <w:sz w:val="18"/>
          <w:szCs w:val="18"/>
          <w:color w:val="auto"/>
        </w:rPr>
        <w:t xml:space="preserve"> of the Plan, the Board or the Compensation Committee may determine that Awards (other than Incentive Stock Options) may be transferable by a Participant, without payment of consideration therefor by the transferee, only to any one or more family members (as defined in the General Instructions to Form S-8 under the Securities Act of 1933) of the Participant; provided, however, that (i) no such transfer shall be effective unless reasonable prior notice thereof is delivered to the Corporation and such transfer is thereafter effected in accordance with any terms and conditions that shall have been made applicable thereto by the Board or the Compensation Committee, and (ii) any such transferee shall be subject to the same terms and conditions hereunder as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09" w:right="239" w:bottom="1440" w:gutter="0" w:footer="0" w:header="0"/>
        </w:sectPr>
      </w:pPr>
    </w:p>
    <w:bookmarkStart w:id="88" w:name="page89"/>
    <w:bookmarkEnd w:id="88"/>
    <w:p>
      <w:pPr>
        <w:jc w:val="both"/>
        <w:ind w:firstLine="8"/>
        <w:spacing w:after="0" w:line="285" w:lineRule="auto"/>
        <w:tabs>
          <w:tab w:leader="none" w:pos="45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To the extent that an Employer is required to withhold federal, state, local or foreign taxes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made or benefit realized by a Participant or other person under this Plan, and the amounts available to the Employer for such withholding are insufficient, it will be a condition to the receipt of such payment or the realization of such benefit that the Participant or such other person make arrangements satisfactory to the Corporation for payment of the balance of such taxes required to be withheld, which arrangements (in the discretion of the Compensation Committee) may include relinquishment of a portion of such benefit or the delivery to the Corporation of other shares of Common Stock held by such Participant. If a Participant’s benefit is to be received in the form of shares of Common Stock, and such Participant fails to make arrangements for the payment of tax, the Corporation may withhold such shares of Common Stock having a value equal to the amount required to be withheld. In no event shall the Market Value Per Share of the shares of Common Stock to be withheld pursuant to this section to satisfy applicable withholding taxes in connection with the benefit exceed the maximum statutory withholding amount permitted that will not result in a negative accounting impact.</w:t>
      </w:r>
    </w:p>
    <w:p>
      <w:pPr>
        <w:spacing w:after="0" w:line="297" w:lineRule="exact"/>
        <w:rPr>
          <w:rFonts w:ascii="Arial" w:cs="Arial" w:eastAsia="Arial" w:hAnsi="Arial"/>
          <w:sz w:val="18"/>
          <w:szCs w:val="18"/>
          <w:b w:val="1"/>
          <w:bCs w:val="1"/>
          <w:color w:val="auto"/>
        </w:rPr>
      </w:pPr>
    </w:p>
    <w:p>
      <w:pPr>
        <w:jc w:val="both"/>
        <w:ind w:firstLine="8"/>
        <w:spacing w:after="0" w:line="294" w:lineRule="auto"/>
        <w:tabs>
          <w:tab w:leader="none" w:pos="6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OF THE CODE. </w:t>
      </w:r>
      <w:r>
        <w:rPr>
          <w:rFonts w:ascii="Arial" w:cs="Arial" w:eastAsia="Arial" w:hAnsi="Arial"/>
          <w:sz w:val="18"/>
          <w:szCs w:val="18"/>
          <w:color w:val="auto"/>
        </w:rPr>
        <w:t>To the extent applicable, it is intended that this Plan and any grants made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are exempt from Section 409A of the Code or are structured in a manner that would not cause a Participant to be subject to taxes and interest pursuant to Section 409A of the Code. This Plan and any grants made hereunder shall be administered in a manner consistent with this intent.</w:t>
      </w:r>
    </w:p>
    <w:p>
      <w:pPr>
        <w:spacing w:after="0" w:line="282" w:lineRule="exact"/>
        <w:rPr>
          <w:rFonts w:ascii="Arial" w:cs="Arial" w:eastAsia="Arial" w:hAnsi="Arial"/>
          <w:sz w:val="18"/>
          <w:szCs w:val="18"/>
          <w:b w:val="1"/>
          <w:bCs w:val="1"/>
          <w:color w:val="auto"/>
        </w:rPr>
      </w:pPr>
    </w:p>
    <w:p>
      <w:pPr>
        <w:jc w:val="both"/>
        <w:ind w:firstLine="8"/>
        <w:spacing w:after="0" w:line="300" w:lineRule="auto"/>
        <w:tabs>
          <w:tab w:leader="none" w:pos="45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 DATE AND TERM OF PLAN. </w:t>
      </w:r>
      <w:r>
        <w:rPr>
          <w:rFonts w:ascii="Arial" w:cs="Arial" w:eastAsia="Arial" w:hAnsi="Arial"/>
          <w:sz w:val="18"/>
          <w:szCs w:val="18"/>
          <w:color w:val="auto"/>
        </w:rPr>
        <w:t>This Plan will be effective as of the Effective Date, provided the shareholders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the Plan. No grant will be made under this Plan more than ten (10) years after the Effective Date, but all grants made on or prior to such date will continue in effect thereafter subject to the terms thereof and of the Plan.</w:t>
      </w:r>
    </w:p>
    <w:p>
      <w:pPr>
        <w:spacing w:after="0" w:line="277" w:lineRule="exact"/>
        <w:rPr>
          <w:rFonts w:ascii="Arial" w:cs="Arial" w:eastAsia="Arial" w:hAnsi="Arial"/>
          <w:sz w:val="18"/>
          <w:szCs w:val="18"/>
          <w:b w:val="1"/>
          <w:bCs w:val="1"/>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p>
    <w:p>
      <w:pPr>
        <w:spacing w:after="0" w:line="382" w:lineRule="exact"/>
        <w:rPr>
          <w:rFonts w:ascii="Arial" w:cs="Arial" w:eastAsia="Arial" w:hAnsi="Arial"/>
          <w:sz w:val="18"/>
          <w:szCs w:val="18"/>
          <w:b w:val="1"/>
          <w:bCs w:val="1"/>
          <w:color w:val="auto"/>
        </w:rPr>
      </w:pPr>
    </w:p>
    <w:p>
      <w:pPr>
        <w:jc w:val="both"/>
        <w:ind w:left="1300" w:hanging="644"/>
        <w:spacing w:after="0" w:line="281" w:lineRule="auto"/>
        <w:tabs>
          <w:tab w:leader="none" w:pos="130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The Plan and any Award may be amended, suspended or terminated at any time by the Board, provided that no amendment shall be made without shareholder approval if such shareholder approval is required in order to comply with applicable law,</w:t>
      </w:r>
    </w:p>
    <w:p>
      <w:pPr>
        <w:spacing w:after="0" w:line="1" w:lineRule="exact"/>
        <w:rPr>
          <w:rFonts w:ascii="Arial" w:cs="Arial" w:eastAsia="Arial" w:hAnsi="Arial"/>
          <w:sz w:val="18"/>
          <w:szCs w:val="18"/>
          <w:b w:val="1"/>
          <w:bCs w:val="1"/>
          <w:color w:val="auto"/>
        </w:rPr>
      </w:pPr>
    </w:p>
    <w:p>
      <w:pPr>
        <w:jc w:val="both"/>
        <w:ind w:left="1300"/>
        <w:spacing w:after="0" w:line="285" w:lineRule="auto"/>
        <w:rPr>
          <w:rFonts w:ascii="Arial" w:cs="Arial" w:eastAsia="Arial" w:hAnsi="Arial"/>
          <w:sz w:val="18"/>
          <w:szCs w:val="18"/>
          <w:b w:val="1"/>
          <w:bCs w:val="1"/>
          <w:color w:val="auto"/>
        </w:rPr>
      </w:pPr>
      <w:r>
        <w:rPr>
          <w:rFonts w:ascii="Arial" w:cs="Arial" w:eastAsia="Arial" w:hAnsi="Arial"/>
          <w:sz w:val="18"/>
          <w:szCs w:val="18"/>
          <w:color w:val="auto"/>
        </w:rPr>
        <w:t xml:space="preserve">rule, or regulation, including the rules of the NASDAQ or any other securities exchange on which Common Stock is traded or quoted. Except as otherwise provided in </w:t>
      </w:r>
      <w:r>
        <w:rPr>
          <w:rFonts w:ascii="Arial" w:cs="Arial" w:eastAsia="Arial" w:hAnsi="Arial"/>
          <w:sz w:val="18"/>
          <w:szCs w:val="18"/>
          <w:b w:val="1"/>
          <w:bCs w:val="1"/>
          <w:u w:val="single" w:color="auto"/>
          <w:color w:val="auto"/>
        </w:rPr>
        <w:t>Section 14</w:t>
      </w:r>
      <w:r>
        <w:rPr>
          <w:rFonts w:ascii="Arial" w:cs="Arial" w:eastAsia="Arial" w:hAnsi="Arial"/>
          <w:sz w:val="18"/>
          <w:szCs w:val="18"/>
          <w:color w:val="auto"/>
        </w:rPr>
        <w:t xml:space="preserve"> of the Plan, no termination, suspension or amendment of the Plan or any Award shall adversely affect the right of any Participant with respect to any Award theretofore granted, as determined by the Compensation Committee, without such Participant’s written consent.</w:t>
      </w:r>
    </w:p>
    <w:p>
      <w:pPr>
        <w:spacing w:after="0" w:line="291" w:lineRule="exact"/>
        <w:rPr>
          <w:rFonts w:ascii="Arial" w:cs="Arial" w:eastAsia="Arial" w:hAnsi="Arial"/>
          <w:sz w:val="18"/>
          <w:szCs w:val="18"/>
          <w:b w:val="1"/>
          <w:bCs w:val="1"/>
          <w:color w:val="auto"/>
        </w:rPr>
      </w:pPr>
    </w:p>
    <w:p>
      <w:pPr>
        <w:jc w:val="both"/>
        <w:ind w:left="1300" w:hanging="644"/>
        <w:spacing w:after="0" w:line="290" w:lineRule="auto"/>
        <w:tabs>
          <w:tab w:leader="none" w:pos="130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u w:val="single" w:color="auto"/>
          <w:color w:val="auto"/>
        </w:rPr>
        <w:t>Section 20.A.</w:t>
      </w:r>
      <w:r>
        <w:rPr>
          <w:rFonts w:ascii="Arial" w:cs="Arial" w:eastAsia="Arial" w:hAnsi="Arial"/>
          <w:sz w:val="18"/>
          <w:szCs w:val="18"/>
          <w:color w:val="auto"/>
        </w:rPr>
        <w:t xml:space="preserve"> of the Plan, the Corporation shall obtain shareholder approval for: (i) subject to </w:t>
      </w:r>
      <w:r>
        <w:rPr>
          <w:rFonts w:ascii="Arial" w:cs="Arial" w:eastAsia="Arial" w:hAnsi="Arial"/>
          <w:sz w:val="18"/>
          <w:szCs w:val="18"/>
          <w:b w:val="1"/>
          <w:bCs w:val="1"/>
          <w:u w:val="single" w:color="auto"/>
          <w:color w:val="auto"/>
        </w:rPr>
        <w:t>Section 13</w:t>
      </w:r>
      <w:r>
        <w:rPr>
          <w:rFonts w:ascii="Arial" w:cs="Arial" w:eastAsia="Arial" w:hAnsi="Arial"/>
          <w:sz w:val="18"/>
          <w:szCs w:val="18"/>
          <w:color w:val="auto"/>
        </w:rPr>
        <w:t xml:space="preserve"> of the Plan, a reduction in the exercise price of an Award (or the cancellation and re-grant of an Award resulting in a lower exercise price); (ii) any amendment to materially expand the group of individuals eligible for Awards under the Plan; (iii) an</w:t>
      </w:r>
    </w:p>
    <w:p>
      <w:pPr>
        <w:jc w:val="both"/>
        <w:ind w:left="13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 xml:space="preserve">increase to the maximum number of shares of Common Stock available for issuance under the Plan (other than adjustments in accordance with </w:t>
      </w:r>
      <w:r>
        <w:rPr>
          <w:rFonts w:ascii="Arial" w:cs="Arial" w:eastAsia="Arial" w:hAnsi="Arial"/>
          <w:sz w:val="18"/>
          <w:szCs w:val="18"/>
          <w:b w:val="1"/>
          <w:bCs w:val="1"/>
          <w:u w:val="single" w:color="auto"/>
          <w:color w:val="auto"/>
        </w:rPr>
        <w:t>Section 13</w:t>
      </w:r>
      <w:r>
        <w:rPr>
          <w:rFonts w:ascii="Arial" w:cs="Arial" w:eastAsia="Arial" w:hAnsi="Arial"/>
          <w:sz w:val="18"/>
          <w:szCs w:val="18"/>
          <w:color w:val="auto"/>
        </w:rPr>
        <w:t xml:space="preserve"> of the Plan); or (iv) amendments that would materially increase the benefits accruing to Participants under this Plan.</w:t>
      </w:r>
    </w:p>
    <w:p>
      <w:pPr>
        <w:spacing w:after="0" w:line="288" w:lineRule="exact"/>
        <w:rPr>
          <w:rFonts w:ascii="Arial" w:cs="Arial" w:eastAsia="Arial" w:hAnsi="Arial"/>
          <w:sz w:val="18"/>
          <w:szCs w:val="18"/>
          <w:b w:val="1"/>
          <w:bCs w:val="1"/>
          <w:color w:val="auto"/>
        </w:rPr>
      </w:pPr>
    </w:p>
    <w:p>
      <w:pPr>
        <w:jc w:val="both"/>
        <w:ind w:firstLine="8"/>
        <w:spacing w:after="0" w:line="309" w:lineRule="auto"/>
        <w:tabs>
          <w:tab w:leader="none" w:pos="45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SUBSTITUTE AWARDS FOR AWARDS GRANTED BY OTHER ENTITIES. </w:t>
      </w:r>
      <w:r>
        <w:rPr>
          <w:rFonts w:ascii="Arial" w:cs="Arial" w:eastAsia="Arial" w:hAnsi="Arial"/>
          <w:sz w:val="17"/>
          <w:szCs w:val="17"/>
          <w:color w:val="auto"/>
        </w:rPr>
        <w:t>Substitute Awards may be granted under this Plan for grants</w:t>
      </w:r>
      <w:r>
        <w:rPr>
          <w:rFonts w:ascii="Arial" w:cs="Arial" w:eastAsia="Arial" w:hAnsi="Arial"/>
          <w:sz w:val="17"/>
          <w:szCs w:val="17"/>
          <w:b w:val="1"/>
          <w:bCs w:val="1"/>
          <w:color w:val="auto"/>
        </w:rPr>
        <w:t xml:space="preserve"> </w:t>
      </w:r>
      <w:r>
        <w:rPr>
          <w:rFonts w:ascii="Arial" w:cs="Arial" w:eastAsia="Arial" w:hAnsi="Arial"/>
          <w:sz w:val="17"/>
          <w:szCs w:val="17"/>
          <w:color w:val="auto"/>
        </w:rPr>
        <w:t>or awards held by employees of a company or entity who become employees of the Corporation or a Subsidiary as a result of the acquisition, merger or consolidation of the employer company by or with the Corporation or a Subsidiary. Except as otherwise provided by applicable law and notwithstanding anything in the Plan to the contrary, the terms, provisions and benefits of the Substitute Awards so granted may vary from those set forth in or required or authorized by this Plan to such extent as the Compensation Committee at the time of the grant may deem appropriate to conform, in whole or part, to the terms, provisions and benefits of grants or awards in substitution for which they are granted.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81" w:right="239" w:bottom="1440" w:gutter="0" w:footer="0" w:header="0"/>
        </w:sectPr>
      </w:pPr>
    </w:p>
    <w:bookmarkStart w:id="89" w:name="page90"/>
    <w:bookmarkEnd w:id="89"/>
    <w:p>
      <w:pPr>
        <w:jc w:val="both"/>
        <w:ind w:firstLine="8"/>
        <w:spacing w:after="0" w:line="285" w:lineRule="auto"/>
        <w:tabs>
          <w:tab w:leader="none" w:pos="558"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DIVIDEND EQUIVALENTS. </w:t>
      </w:r>
      <w:r>
        <w:rPr>
          <w:rFonts w:ascii="Arial" w:cs="Arial" w:eastAsia="Arial" w:hAnsi="Arial"/>
          <w:sz w:val="18"/>
          <w:szCs w:val="18"/>
          <w:color w:val="auto"/>
        </w:rPr>
        <w:t>The Compensation Committee may provide the Participant as part of an Award with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or dividend equivalents,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Corporation subject to vesting of the Award, or reinvestment in additional shares of Common Stock or other Awards, provided, that no dividends or dividend equivalents shall be payable in respect of outstanding (i) Option Rights or Appreciation Rights or (ii) unearned Performance Shares or Performance Units or other unearned Awards subject to performance conditions (other than or in addition to the passage of time); provided, further,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297" w:lineRule="exact"/>
        <w:rPr>
          <w:rFonts w:ascii="Arial" w:cs="Arial" w:eastAsia="Arial" w:hAnsi="Arial"/>
          <w:sz w:val="18"/>
          <w:szCs w:val="18"/>
          <w:b w:val="1"/>
          <w:bCs w:val="1"/>
          <w:color w:val="auto"/>
        </w:rPr>
      </w:pPr>
    </w:p>
    <w:p>
      <w:pPr>
        <w:ind w:firstLine="8"/>
        <w:spacing w:after="0" w:line="318" w:lineRule="auto"/>
        <w:tabs>
          <w:tab w:leader="none" w:pos="68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Plan and all grants and Awards and actions taken thereunder shall be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internal substantive laws of the State of Michigan, without regard to its conflicts of laws principles.</w:t>
      </w:r>
    </w:p>
    <w:p>
      <w:pPr>
        <w:spacing w:after="0" w:line="261" w:lineRule="exact"/>
        <w:rPr>
          <w:rFonts w:ascii="Arial" w:cs="Arial" w:eastAsia="Arial" w:hAnsi="Arial"/>
          <w:sz w:val="18"/>
          <w:szCs w:val="18"/>
          <w:b w:val="1"/>
          <w:bCs w:val="1"/>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382" w:lineRule="exact"/>
        <w:rPr>
          <w:rFonts w:ascii="Arial" w:cs="Arial" w:eastAsia="Arial" w:hAnsi="Arial"/>
          <w:sz w:val="18"/>
          <w:szCs w:val="18"/>
          <w:b w:val="1"/>
          <w:bCs w:val="1"/>
          <w:color w:val="auto"/>
        </w:rPr>
      </w:pPr>
    </w:p>
    <w:p>
      <w:pPr>
        <w:jc w:val="both"/>
        <w:ind w:left="1300" w:hanging="644"/>
        <w:spacing w:after="0" w:line="293" w:lineRule="auto"/>
        <w:tabs>
          <w:tab w:leader="none" w:pos="130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The Corporation will not be required to issue any fractional shares of Common Stock pursuant to this Plan. The Board or the Compensation Committee may provide for the elimination of fractional shares or for the settlement of fractional shares in cash</w:t>
      </w:r>
      <w:r>
        <w:rPr>
          <w:rFonts w:ascii="Arial" w:cs="Arial" w:eastAsia="Arial" w:hAnsi="Arial"/>
          <w:sz w:val="18"/>
          <w:szCs w:val="18"/>
          <w:b w:val="1"/>
          <w:bCs w:val="1"/>
          <w:color w:val="auto"/>
        </w:rPr>
        <w:t>.</w:t>
      </w:r>
    </w:p>
    <w:p>
      <w:pPr>
        <w:spacing w:after="0" w:line="304"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This Plan will not confer upon any Participant any right with respect to continuance of employment or other service with the Corporation or any Subsidiary, nor will it interfere in any way with any right the Corporation or any Subsidiary would otherwise have to terminate such Participant’s employment or other service at any time.</w:t>
      </w:r>
    </w:p>
    <w:p>
      <w:pPr>
        <w:spacing w:after="0" w:line="310"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No Award under this Plan may be exercised by the holder thereof if such exercise, and the receipt of cash or stock thereunder, would be, in the opinion of counsel selected by the Compensation Committee, contrary to any law, rule or regulation of any duly constituted authority having jurisdiction over this Plan.</w:t>
      </w:r>
    </w:p>
    <w:p>
      <w:pPr>
        <w:spacing w:after="0" w:line="310"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No Participant shall have any rights as a shareholder with respect to any shares of Common Stock subject to Awards granted to him or her under this Plan prior to the date as of which he or she is actually recorded as the holder of such shares upon the stock records of the Corporation.</w:t>
      </w:r>
    </w:p>
    <w:p>
      <w:pPr>
        <w:spacing w:after="0" w:line="310" w:lineRule="exact"/>
        <w:rPr>
          <w:rFonts w:ascii="Arial" w:cs="Arial" w:eastAsia="Arial" w:hAnsi="Arial"/>
          <w:sz w:val="18"/>
          <w:szCs w:val="18"/>
          <w:b w:val="1"/>
          <w:bCs w:val="1"/>
          <w:color w:val="auto"/>
        </w:rPr>
      </w:pPr>
    </w:p>
    <w:p>
      <w:pPr>
        <w:jc w:val="both"/>
        <w:ind w:left="1300" w:right="20" w:hanging="644"/>
        <w:spacing w:after="0" w:line="287" w:lineRule="auto"/>
        <w:tabs>
          <w:tab w:leader="none" w:pos="130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The Compensation Committee may condition the grant of any Award or combination of Awards authorized under this Plan on the surrender or deferral by the Participant of his or her right to receive a cash bonus or other compensation otherwise payable by the Corporation or a Subsidiary to the Participant.</w:t>
      </w:r>
    </w:p>
    <w:p>
      <w:pPr>
        <w:spacing w:after="0" w:line="310" w:lineRule="exact"/>
        <w:rPr>
          <w:rFonts w:ascii="Arial" w:cs="Arial" w:eastAsia="Arial" w:hAnsi="Arial"/>
          <w:sz w:val="18"/>
          <w:szCs w:val="18"/>
          <w:b w:val="1"/>
          <w:bCs w:val="1"/>
          <w:color w:val="auto"/>
        </w:rPr>
      </w:pPr>
    </w:p>
    <w:p>
      <w:pPr>
        <w:jc w:val="both"/>
        <w:ind w:left="1300" w:hanging="644"/>
        <w:spacing w:after="0" w:line="281" w:lineRule="auto"/>
        <w:tabs>
          <w:tab w:leader="none" w:pos="130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Except with respect to Option Rights and Appreciation Rights, the Compensation Committee may permit Participants to elect to defer the issuance of shares of Common Stock or the settlement of Awards in cash under this Plan pursuant to such rules, procedures or programs as it may establish for purposes of the Plan. The Compensation Committee also may provide that</w:t>
      </w:r>
    </w:p>
    <w:p>
      <w:pPr>
        <w:spacing w:after="0" w:line="2" w:lineRule="exact"/>
        <w:rPr>
          <w:rFonts w:ascii="Arial" w:cs="Arial" w:eastAsia="Arial" w:hAnsi="Arial"/>
          <w:sz w:val="18"/>
          <w:szCs w:val="18"/>
          <w:b w:val="1"/>
          <w:bCs w:val="1"/>
          <w:color w:val="auto"/>
        </w:rPr>
      </w:pPr>
    </w:p>
    <w:p>
      <w:pPr>
        <w:ind w:left="1300"/>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 xml:space="preserve">deferred issuances and settlements include the payment or crediting of dividend equivalents or interest on the deferral amounts, subject to </w:t>
      </w: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w:t>
      </w:r>
    </w:p>
    <w:p>
      <w:pPr>
        <w:spacing w:after="0" w:line="304" w:lineRule="exact"/>
        <w:rPr>
          <w:rFonts w:ascii="Arial" w:cs="Arial" w:eastAsia="Arial" w:hAnsi="Arial"/>
          <w:sz w:val="18"/>
          <w:szCs w:val="18"/>
          <w:b w:val="1"/>
          <w:bCs w:val="1"/>
          <w:color w:val="auto"/>
        </w:rPr>
      </w:pPr>
    </w:p>
    <w:p>
      <w:pPr>
        <w:jc w:val="both"/>
        <w:ind w:left="1300" w:hanging="644"/>
        <w:spacing w:after="0" w:line="287" w:lineRule="auto"/>
        <w:tabs>
          <w:tab w:leader="none" w:pos="130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Any Award granted under the terms of the Plan may specify in the Evidence of Award that the Participant is subject to restrictive covenants including, but not limited to, covenants not to compete and covenants not to solicit, unless otherwise determined by the Compensation Committee.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81" w:right="239" w:bottom="1440" w:gutter="0" w:footer="0" w:header="0"/>
        </w:sectPr>
      </w:pPr>
    </w:p>
    <w:bookmarkStart w:id="90" w:name="page91"/>
    <w:bookmarkEnd w:id="90"/>
    <w:p>
      <w:pPr>
        <w:jc w:val="both"/>
        <w:ind w:left="644" w:hanging="644"/>
        <w:spacing w:after="0" w:line="287" w:lineRule="auto"/>
        <w:tabs>
          <w:tab w:leader="none" w:pos="644"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Participants shall provide the Corporation with a completed, written election form setting forth the name and contact information of the person who will have beneficial ownership rights of Awards made to the Participant under this Plan upon the death of the Participant.</w:t>
      </w:r>
    </w:p>
    <w:p>
      <w:pPr>
        <w:spacing w:after="0" w:line="310" w:lineRule="exact"/>
        <w:rPr>
          <w:rFonts w:ascii="Arial" w:cs="Arial" w:eastAsia="Arial" w:hAnsi="Arial"/>
          <w:sz w:val="18"/>
          <w:szCs w:val="18"/>
          <w:b w:val="1"/>
          <w:bCs w:val="1"/>
          <w:color w:val="auto"/>
        </w:rPr>
      </w:pPr>
    </w:p>
    <w:p>
      <w:pPr>
        <w:jc w:val="both"/>
        <w:ind w:left="644" w:hanging="644"/>
        <w:spacing w:after="0" w:line="285" w:lineRule="auto"/>
        <w:tabs>
          <w:tab w:leader="none" w:pos="644"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If any provision of the Plan is or becomes invalid, illegal or unenforceable in any jurisdiction, or would disqualify this Plan or any Award under any law deemed applicable by the Board or the Compensation Committee, such provision shall be construed or deemed amended or limited in scope to conform to applicable laws or, in the discretion of the Board or the Compensation Committee, it shall be stricken and the remainder of the Plan shall remain in full force and effect.</w:t>
      </w:r>
    </w:p>
    <w:p>
      <w:pPr>
        <w:spacing w:after="0" w:line="200" w:lineRule="exact"/>
        <w:rPr>
          <w:sz w:val="20"/>
          <w:szCs w:val="20"/>
          <w:color w:val="auto"/>
        </w:rPr>
      </w:pPr>
    </w:p>
    <w:p>
      <w:pPr>
        <w:spacing w:after="0" w:line="24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64"/>
          </w:cols>
          <w:pgMar w:left="896" w:top="503" w:right="2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1062355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3056255</wp:posOffset>
            </wp:positionH>
            <wp:positionV relativeFrom="page">
              <wp:posOffset>380365</wp:posOffset>
            </wp:positionV>
            <wp:extent cx="1457960" cy="488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8895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on May 16, 2019)</w:t>
      </w:r>
    </w:p>
    <w:p>
      <w:pPr>
        <w:spacing w:after="0" w:line="203" w:lineRule="exact"/>
        <w:rPr>
          <w:sz w:val="20"/>
          <w:szCs w:val="20"/>
          <w:color w:val="auto"/>
        </w:rPr>
      </w:pPr>
    </w:p>
    <w:p>
      <w:pPr>
        <w:jc w:val="both"/>
        <w:ind w:firstLine="656"/>
        <w:spacing w:after="0" w:line="262" w:lineRule="auto"/>
        <w:tabs>
          <w:tab w:leader="none" w:pos="1039"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Gentex Corporation Long-Term Incentive Plan ("LTIP") is to further emphasize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over a long-term period of time to provide the executive officers, other officers, and/or certain other key employees of the Corporation with such incentives concerning corporate and individual performance that enhance the alignment between such key employees and shareholders. The LTIP is adopted pursuant to the Corporation's 2019 Omnibus Incentive Plan.</w:t>
      </w:r>
    </w:p>
    <w:p>
      <w:pPr>
        <w:spacing w:after="0" w:line="176" w:lineRule="exact"/>
        <w:rPr>
          <w:rFonts w:ascii="Arial" w:cs="Arial" w:eastAsia="Arial" w:hAnsi="Arial"/>
          <w:sz w:val="18"/>
          <w:szCs w:val="18"/>
          <w:color w:val="auto"/>
        </w:rPr>
      </w:pPr>
    </w:p>
    <w:p>
      <w:pPr>
        <w:ind w:firstLine="656"/>
        <w:spacing w:after="0" w:line="287" w:lineRule="auto"/>
        <w:tabs>
          <w:tab w:leader="none" w:pos="101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used herein, but not otherwise defined in this LTIP shall be as set forth in the Corporation's 2019 Omnibus</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53" w:lineRule="exact"/>
        <w:rPr>
          <w:rFonts w:ascii="Arial" w:cs="Arial" w:eastAsia="Arial" w:hAnsi="Arial"/>
          <w:sz w:val="18"/>
          <w:szCs w:val="18"/>
          <w:color w:val="auto"/>
        </w:rPr>
      </w:pPr>
    </w:p>
    <w:p>
      <w:pPr>
        <w:ind w:left="1000" w:hanging="344"/>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47" w:lineRule="exact"/>
        <w:rPr>
          <w:rFonts w:ascii="Arial" w:cs="Arial" w:eastAsia="Arial" w:hAnsi="Arial"/>
          <w:sz w:val="18"/>
          <w:szCs w:val="18"/>
          <w:color w:val="auto"/>
        </w:rPr>
      </w:pPr>
    </w:p>
    <w:p>
      <w:pPr>
        <w:ind w:left="660" w:firstLine="645"/>
        <w:spacing w:after="0" w:line="262" w:lineRule="auto"/>
        <w:tabs>
          <w:tab w:leader="none" w:pos="185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LTIP shall be administered by the Board and/or the Compensation Committee as set forth in the Plan. All determinations made by the Board and/or the Compensation Committee with respect to the LTIP shall be final and conclusive.</w:t>
      </w:r>
    </w:p>
    <w:p>
      <w:pPr>
        <w:spacing w:after="0" w:line="196" w:lineRule="exact"/>
        <w:rPr>
          <w:rFonts w:ascii="Arial" w:cs="Arial" w:eastAsia="Arial" w:hAnsi="Arial"/>
          <w:sz w:val="18"/>
          <w:szCs w:val="18"/>
          <w:color w:val="auto"/>
        </w:rPr>
      </w:pPr>
    </w:p>
    <w:p>
      <w:pPr>
        <w:ind w:left="660" w:right="20" w:firstLine="645"/>
        <w:spacing w:after="0" w:line="262" w:lineRule="auto"/>
        <w:tabs>
          <w:tab w:leader="none" w:pos="16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Participation in this LTIP shall be entirely within the discretion of the Compensation Committee. Nothing herein contained shall be construed to give any employee any right to employment or to participate in this LTIP.</w:t>
      </w:r>
    </w:p>
    <w:p>
      <w:pPr>
        <w:spacing w:after="0" w:line="174" w:lineRule="exact"/>
        <w:rPr>
          <w:rFonts w:ascii="Arial" w:cs="Arial" w:eastAsia="Arial" w:hAnsi="Arial"/>
          <w:sz w:val="18"/>
          <w:szCs w:val="18"/>
          <w:color w:val="auto"/>
        </w:rPr>
      </w:pPr>
    </w:p>
    <w:p>
      <w:pPr>
        <w:ind w:left="1000" w:hanging="344"/>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Only employees of the Corporation shall be eligible to participate in the LTIP.</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of Participation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660" w:firstLine="645"/>
        <w:spacing w:after="0" w:line="287" w:lineRule="auto"/>
        <w:tabs>
          <w:tab w:leader="none" w:pos="1699" w:val="left"/>
        </w:tabs>
        <w:numPr>
          <w:ilvl w:val="1"/>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executive officer, officer, or other key employee designated by the Compensation Committee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participate in the LTIP.</w:t>
      </w:r>
    </w:p>
    <w:p>
      <w:pPr>
        <w:spacing w:after="0" w:line="153" w:lineRule="exact"/>
        <w:rPr>
          <w:rFonts w:ascii="Arial" w:cs="Arial" w:eastAsia="Arial" w:hAnsi="Arial"/>
          <w:sz w:val="18"/>
          <w:szCs w:val="18"/>
          <w:color w:val="auto"/>
        </w:rPr>
      </w:pPr>
    </w:p>
    <w:p>
      <w:pPr>
        <w:jc w:val="both"/>
        <w:ind w:left="660" w:firstLine="645"/>
        <w:spacing w:after="0" w:line="262" w:lineRule="auto"/>
        <w:tabs>
          <w:tab w:leader="none" w:pos="1685" w:val="left"/>
        </w:tabs>
        <w:numPr>
          <w:ilvl w:val="1"/>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Elements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participating in other regular equity compensation programs of the Corporation applicable to salaried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generally, the LTIP provides for Awards including Performance Shares that vest at the end of the third anniversary of the Date of Grant. Each three year period, which shall be deemed to begin on January 1 of a given year and end on December 31 of the third year thereafter, is a "Performance Period." Awards under the LTIP consist of two Awards for the Performance Period as follows:</w:t>
      </w:r>
    </w:p>
    <w:p>
      <w:pPr>
        <w:spacing w:after="0" w:line="177" w:lineRule="exact"/>
        <w:rPr>
          <w:sz w:val="20"/>
          <w:szCs w:val="20"/>
          <w:color w:val="auto"/>
        </w:rPr>
      </w:pPr>
    </w:p>
    <w:p>
      <w:pPr>
        <w:ind w:left="660" w:firstLine="645"/>
        <w:spacing w:after="0" w:line="287" w:lineRule="auto"/>
        <w:tabs>
          <w:tab w:leader="none" w:pos="1682"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Time-Based Restricted Stock - </w:t>
      </w:r>
      <w:r>
        <w:rPr>
          <w:rFonts w:ascii="Arial" w:cs="Arial" w:eastAsia="Arial" w:hAnsi="Arial"/>
          <w:sz w:val="18"/>
          <w:szCs w:val="18"/>
          <w:color w:val="auto"/>
        </w:rPr>
        <w:t>An Award to the Participant of Restricted Stock that vests at the end of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provided the Participant is in the employ of the Corporation on such vesting date.</w:t>
      </w:r>
    </w:p>
    <w:p>
      <w:pPr>
        <w:spacing w:after="0" w:line="153" w:lineRule="exact"/>
        <w:rPr>
          <w:rFonts w:ascii="Arial" w:cs="Arial" w:eastAsia="Arial" w:hAnsi="Arial"/>
          <w:sz w:val="18"/>
          <w:szCs w:val="18"/>
          <w:color w:val="auto"/>
        </w:rPr>
      </w:pPr>
    </w:p>
    <w:p>
      <w:pPr>
        <w:jc w:val="both"/>
        <w:ind w:left="660" w:firstLine="645"/>
        <w:spacing w:after="0" w:line="269" w:lineRule="auto"/>
        <w:tabs>
          <w:tab w:leader="none" w:pos="1722"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Shares - </w:t>
      </w:r>
      <w:r>
        <w:rPr>
          <w:rFonts w:ascii="Arial" w:cs="Arial" w:eastAsia="Arial" w:hAnsi="Arial"/>
          <w:sz w:val="18"/>
          <w:szCs w:val="18"/>
          <w:color w:val="auto"/>
        </w:rPr>
        <w:t>An Award to a Participant of Performance Shares that vest at the end of the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Corporation achieving predetermined Performance Objectives for the Performance Period and provided the Participant is in the employ of the Corporation on such vesting date.</w:t>
      </w:r>
    </w:p>
    <w:p>
      <w:pPr>
        <w:spacing w:after="0" w:line="168" w:lineRule="exact"/>
        <w:rPr>
          <w:rFonts w:ascii="Arial" w:cs="Arial" w:eastAsia="Arial" w:hAnsi="Arial"/>
          <w:sz w:val="18"/>
          <w:szCs w:val="18"/>
          <w:color w:val="auto"/>
        </w:rPr>
      </w:pPr>
    </w:p>
    <w:p>
      <w:pPr>
        <w:jc w:val="both"/>
        <w:ind w:left="660" w:firstLine="645"/>
        <w:spacing w:after="0" w:line="256" w:lineRule="auto"/>
        <w:tabs>
          <w:tab w:leader="none" w:pos="1789"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Payment Percentage - </w:t>
      </w:r>
      <w:r>
        <w:rPr>
          <w:rFonts w:ascii="Arial" w:cs="Arial" w:eastAsia="Arial" w:hAnsi="Arial"/>
          <w:sz w:val="18"/>
          <w:szCs w:val="18"/>
          <w:color w:val="auto"/>
        </w:rPr>
        <w:t>Each Participant is assigned a payout as a percentage of base salary ("Payout Percentages"),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Payout Percentages are a percentage of each Participant's annual base salary in effect. Payout Percentages for each Participant are set forth in an Officer Award Notification that is provided to a Participant at the time of an Award. Participants do not necessarily have the same Payout Percentages and Payout Percentages can vary by the level of achievement (i.e., Threshold, Target, and Maximum). The Payout Percentages will be determined by the Compensation Committee toward the beginning of a Performance Period. The number of shares of Restricted Stock granted to a Participant is computed by multiplying the Participant's Payout Percentage at Target by 30% of such Participant's annual base salary and</w:t>
      </w:r>
    </w:p>
    <w:p>
      <w:pPr>
        <w:sectPr>
          <w:pgSz w:w="11900" w:h="16838" w:orient="portrait"/>
          <w:cols w:equalWidth="0" w:num="1">
            <w:col w:w="11420"/>
          </w:cols>
          <w:pgMar w:left="240" w:top="1440" w:right="239" w:bottom="1440" w:gutter="0" w:footer="0" w:header="0"/>
        </w:sectPr>
      </w:pPr>
    </w:p>
    <w:bookmarkStart w:id="92" w:name="page93"/>
    <w:bookmarkEnd w:id="92"/>
    <w:p>
      <w:pPr>
        <w:jc w:val="both"/>
        <w:ind w:left="4"/>
        <w:spacing w:after="0" w:line="254" w:lineRule="auto"/>
        <w:rPr>
          <w:sz w:val="20"/>
          <w:szCs w:val="20"/>
          <w:color w:val="auto"/>
        </w:rPr>
      </w:pPr>
      <w:r>
        <w:rPr>
          <w:rFonts w:ascii="Arial" w:cs="Arial" w:eastAsia="Arial" w:hAnsi="Arial"/>
          <w:sz w:val="18"/>
          <w:szCs w:val="18"/>
          <w:color w:val="auto"/>
        </w:rPr>
        <w:t>then dividing the result by the average closing price per share of the Common Stock of the Corporation on the twenty (20) trading days preceding the Date of Grant (the "Closing Price"). The number of Performance Shares granted to a Participant is computed by multiplying the Participant's Threshold, Target, or Maximum Payout Percentages, as applicable, by 70% of such Participant's annual base salary and then dividing the result by the Closing Price.</w:t>
      </w:r>
    </w:p>
    <w:p>
      <w:pPr>
        <w:spacing w:after="0" w:line="182" w:lineRule="exact"/>
        <w:rPr>
          <w:sz w:val="20"/>
          <w:szCs w:val="20"/>
          <w:color w:val="auto"/>
        </w:rPr>
      </w:pPr>
    </w:p>
    <w:p>
      <w:pPr>
        <w:ind w:left="4" w:firstLine="645"/>
        <w:spacing w:after="0" w:line="287" w:lineRule="auto"/>
        <w:tabs>
          <w:tab w:leader="none" w:pos="1278"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Performance Objectives- </w:t>
      </w:r>
      <w:r>
        <w:rPr>
          <w:rFonts w:ascii="Arial" w:cs="Arial" w:eastAsia="Arial" w:hAnsi="Arial"/>
          <w:sz w:val="18"/>
          <w:szCs w:val="18"/>
          <w:color w:val="auto"/>
        </w:rPr>
        <w:t>The predetermined Performance Objectives and the Threshold, Target, and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levels that determine payouts will be determined by the Compensation Committee.</w:t>
      </w:r>
    </w:p>
    <w:p>
      <w:pPr>
        <w:spacing w:after="0" w:line="153" w:lineRule="exact"/>
        <w:rPr>
          <w:rFonts w:ascii="Arial" w:cs="Arial" w:eastAsia="Arial" w:hAnsi="Arial"/>
          <w:sz w:val="18"/>
          <w:szCs w:val="18"/>
          <w:color w:val="auto"/>
        </w:rPr>
      </w:pPr>
    </w:p>
    <w:p>
      <w:pPr>
        <w:jc w:val="both"/>
        <w:ind w:left="-656" w:right="20" w:firstLine="656"/>
        <w:spacing w:after="0" w:line="259" w:lineRule="auto"/>
        <w:tabs>
          <w:tab w:leader="none" w:pos="423"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of Plan, Termination and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LTIP shall become effective as of the Effective Date of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Omnibus Incentive Plan. Unless earlier terminated by the Board, the LTIP shall terminate on the date ten (10) years subsequent to the date of adoption. The Board may terminate the LTIP at any time, or may from time to time amend the LTIP as it deems proper and in the best interest of the Corporation. Any Awards made prior to the Effective Date shall remain in place and be effective upon such Effective Date provided shareholder approval for the 2019 Omnibus Incentive Plan is obtained.</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foregoing Plan was duly adopted by the Board of Directors, and will be effective on the Effective Date.</w:t>
      </w:r>
    </w:p>
    <w:p>
      <w:pPr>
        <w:spacing w:after="0" w:line="200" w:lineRule="exact"/>
        <w:rPr>
          <w:sz w:val="20"/>
          <w:szCs w:val="20"/>
          <w:color w:val="auto"/>
        </w:rPr>
      </w:pPr>
    </w:p>
    <w:p>
      <w:pPr>
        <w:spacing w:after="0" w:line="241" w:lineRule="exact"/>
        <w:rPr>
          <w:sz w:val="20"/>
          <w:szCs w:val="20"/>
          <w:color w:val="auto"/>
        </w:rPr>
      </w:pPr>
    </w:p>
    <w:p>
      <w:pPr>
        <w:ind w:left="3884"/>
        <w:spacing w:after="0"/>
        <w:rPr>
          <w:sz w:val="20"/>
          <w:szCs w:val="20"/>
          <w:color w:val="auto"/>
        </w:rPr>
      </w:pPr>
      <w:r>
        <w:rPr>
          <w:rFonts w:ascii="Arial" w:cs="Arial" w:eastAsia="Arial" w:hAnsi="Arial"/>
          <w:sz w:val="18"/>
          <w:szCs w:val="18"/>
          <w:u w:val="single" w:color="auto"/>
          <w:color w:val="auto"/>
        </w:rPr>
        <w:t>/s/Scott Ryan _______________</w:t>
      </w:r>
    </w:p>
    <w:p>
      <w:pPr>
        <w:spacing w:after="0" w:line="9" w:lineRule="exact"/>
        <w:rPr>
          <w:sz w:val="20"/>
          <w:szCs w:val="20"/>
          <w:color w:val="auto"/>
        </w:rPr>
      </w:pPr>
    </w:p>
    <w:p>
      <w:pPr>
        <w:ind w:left="3884"/>
        <w:spacing w:after="0"/>
        <w:rPr>
          <w:sz w:val="20"/>
          <w:szCs w:val="20"/>
          <w:color w:val="auto"/>
        </w:rPr>
      </w:pPr>
      <w:r>
        <w:rPr>
          <w:rFonts w:ascii="Arial" w:cs="Arial" w:eastAsia="Arial" w:hAnsi="Arial"/>
          <w:sz w:val="18"/>
          <w:szCs w:val="18"/>
          <w:color w:val="auto"/>
        </w:rPr>
        <w:t>Scott Ryan, Corporate Secretary</w:t>
      </w:r>
    </w:p>
    <w:p>
      <w:pPr>
        <w:spacing w:after="0" w:line="9" w:lineRule="exact"/>
        <w:rPr>
          <w:sz w:val="20"/>
          <w:szCs w:val="20"/>
          <w:color w:val="auto"/>
        </w:rPr>
      </w:pPr>
    </w:p>
    <w:p>
      <w:pPr>
        <w:ind w:left="3884"/>
        <w:spacing w:after="0"/>
        <w:rPr>
          <w:sz w:val="20"/>
          <w:szCs w:val="20"/>
          <w:color w:val="auto"/>
        </w:rPr>
      </w:pPr>
      <w:r>
        <w:rPr>
          <w:rFonts w:ascii="Arial" w:cs="Arial" w:eastAsia="Arial" w:hAnsi="Arial"/>
          <w:sz w:val="18"/>
          <w:szCs w:val="18"/>
          <w:color w:val="auto"/>
        </w:rPr>
        <w:t>Gentex Corporation</w:t>
      </w:r>
    </w:p>
    <w:p>
      <w:pPr>
        <w:sectPr>
          <w:pgSz w:w="11900" w:h="16838" w:orient="portrait"/>
          <w:cols w:equalWidth="0" w:num="1">
            <w:col w:w="10764"/>
          </w:cols>
          <w:pgMar w:left="896" w:top="598" w:right="239" w:bottom="1440" w:gutter="0" w:footer="0" w:header="0"/>
        </w:sectPr>
      </w:pPr>
    </w:p>
    <w:bookmarkStart w:id="93" w:name="page94"/>
    <w:bookmarkEnd w:id="93"/>
    <w:p>
      <w:pPr>
        <w:jc w:val="center"/>
        <w:ind w:right="640"/>
        <w:spacing w:after="0"/>
        <w:rPr>
          <w:sz w:val="20"/>
          <w:szCs w:val="20"/>
          <w:color w:val="auto"/>
        </w:rPr>
      </w:pPr>
      <w:r>
        <w:rPr>
          <w:rFonts w:ascii="Arial" w:cs="Arial" w:eastAsia="Arial" w:hAnsi="Arial"/>
          <w:sz w:val="18"/>
          <w:szCs w:val="18"/>
          <w:b w:val="1"/>
          <w:bCs w:val="1"/>
          <w:color w:val="auto"/>
        </w:rPr>
        <w:t>GENTEX CORPORATION</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PERFORMANCE SHARE AWARD AGREEMENT</w:t>
      </w:r>
    </w:p>
    <w:p>
      <w:pPr>
        <w:spacing w:after="0" w:line="200" w:lineRule="exact"/>
        <w:rPr>
          <w:sz w:val="20"/>
          <w:szCs w:val="20"/>
          <w:color w:val="auto"/>
        </w:rPr>
      </w:pPr>
    </w:p>
    <w:p>
      <w:pPr>
        <w:spacing w:after="0" w:line="268" w:lineRule="exact"/>
        <w:rPr>
          <w:sz w:val="20"/>
          <w:szCs w:val="20"/>
          <w:color w:val="auto"/>
        </w:rPr>
      </w:pPr>
    </w:p>
    <w:p>
      <w:pPr>
        <w:jc w:val="both"/>
        <w:ind w:firstLine="645"/>
        <w:spacing w:after="0" w:line="299" w:lineRule="auto"/>
        <w:tabs>
          <w:tab w:leader="none" w:pos="144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The Award and the Plan</w:t>
      </w:r>
      <w:r>
        <w:rPr>
          <w:rFonts w:ascii="Arial" w:cs="Arial" w:eastAsia="Arial" w:hAnsi="Arial"/>
          <w:sz w:val="18"/>
          <w:szCs w:val="18"/>
          <w:color w:val="auto"/>
        </w:rPr>
        <w:t>. As of the Date of Grant, Gentex Corporation ("Gentex") grants to you the right to earn the number of Shares (the "Performance Shares") set forth in the Officer Award Notification preceding or accompanying this Performance Share Award Agreement (the "Agreement"), to be issued to you based on the achievement of certain specified Performance Objectives approved by Gentex and as set forth in the Award Notification. Certain terms used in this Agreement are defined in Section 23. Any undefined terms in this Agreement appearing as defined terms will have the same meaning as they do in the Gentex Corporation 2019 Omnibus Incentive Plan, as amended and/or restated from time to time (the "Plan") or Long-Term Incentive Plan ("LTIP") adopted pursuant thereto. Gentex will provide a copy of the Plan or the LTIP to you upon request.</w:t>
      </w:r>
    </w:p>
    <w:p>
      <w:pPr>
        <w:spacing w:after="0" w:line="207" w:lineRule="exact"/>
        <w:rPr>
          <w:rFonts w:ascii="Arial" w:cs="Arial" w:eastAsia="Arial" w:hAnsi="Arial"/>
          <w:sz w:val="18"/>
          <w:szCs w:val="18"/>
          <w:color w:val="auto"/>
        </w:rPr>
      </w:pPr>
    </w:p>
    <w:p>
      <w:pPr>
        <w:ind w:left="1440" w:hanging="795"/>
        <w:spacing w:after="0"/>
        <w:tabs>
          <w:tab w:leader="none" w:pos="14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Earning of Performance Shares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969"/>
        <w:spacing w:after="0" w:line="303" w:lineRule="auto"/>
        <w:tabs>
          <w:tab w:leader="none" w:pos="151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Performance Objectives</w:t>
      </w:r>
      <w:r>
        <w:rPr>
          <w:rFonts w:ascii="Arial" w:cs="Arial" w:eastAsia="Arial" w:hAnsi="Arial"/>
          <w:sz w:val="18"/>
          <w:szCs w:val="18"/>
          <w:color w:val="auto"/>
        </w:rPr>
        <w:t>: Your right to receive Performance Shares will be contingent upon the achievement of the Performance Objectives at the Threshold, Target, and Maximum levels set forth in the Officer Award Notification and will be measured over the Performance Period set forth therein.</w:t>
      </w:r>
    </w:p>
    <w:p>
      <w:pPr>
        <w:spacing w:after="0" w:line="201" w:lineRule="exact"/>
        <w:rPr>
          <w:rFonts w:ascii="Arial" w:cs="Arial" w:eastAsia="Arial" w:hAnsi="Arial"/>
          <w:sz w:val="18"/>
          <w:szCs w:val="18"/>
          <w:color w:val="auto"/>
        </w:rPr>
      </w:pPr>
    </w:p>
    <w:p>
      <w:pPr>
        <w:jc w:val="both"/>
        <w:ind w:right="20" w:firstLine="969"/>
        <w:spacing w:after="0" w:line="303" w:lineRule="auto"/>
        <w:tabs>
          <w:tab w:leader="none" w:pos="151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Below Threshold</w:t>
      </w:r>
      <w:r>
        <w:rPr>
          <w:rFonts w:ascii="Arial" w:cs="Arial" w:eastAsia="Arial" w:hAnsi="Arial"/>
          <w:sz w:val="18"/>
          <w:szCs w:val="18"/>
          <w:color w:val="auto"/>
        </w:rPr>
        <w:t>: If, upon the conclusion of a Performance Period, Gentex's performance for the Performance Period falls below the Threshold level, as set forth in the Performance Objectives, no Performance Shares for the Performance Period will become earned.</w:t>
      </w:r>
    </w:p>
    <w:p>
      <w:pPr>
        <w:spacing w:after="0" w:line="201" w:lineRule="exact"/>
        <w:rPr>
          <w:rFonts w:ascii="Arial" w:cs="Arial" w:eastAsia="Arial" w:hAnsi="Arial"/>
          <w:sz w:val="18"/>
          <w:szCs w:val="18"/>
          <w:color w:val="auto"/>
        </w:rPr>
      </w:pPr>
    </w:p>
    <w:p>
      <w:pPr>
        <w:jc w:val="both"/>
        <w:ind w:firstLine="969"/>
        <w:spacing w:after="0" w:line="303" w:lineRule="auto"/>
        <w:tabs>
          <w:tab w:leader="none" w:pos="150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Threshold</w:t>
      </w:r>
      <w:r>
        <w:rPr>
          <w:rFonts w:ascii="Arial" w:cs="Arial" w:eastAsia="Arial" w:hAnsi="Arial"/>
          <w:sz w:val="18"/>
          <w:szCs w:val="18"/>
          <w:color w:val="auto"/>
        </w:rPr>
        <w:t>: If, upon the conclusion of a Performance Period, Gentex's performance for the Performance Period equals the Threshold level, as set forth in the Performance Objectives, that certain portion of the Performance Shares, as set forth in the Officer Award Notification will become earned.</w:t>
      </w:r>
    </w:p>
    <w:p>
      <w:pPr>
        <w:spacing w:after="0" w:line="201" w:lineRule="exact"/>
        <w:rPr>
          <w:rFonts w:ascii="Arial" w:cs="Arial" w:eastAsia="Arial" w:hAnsi="Arial"/>
          <w:sz w:val="18"/>
          <w:szCs w:val="18"/>
          <w:color w:val="auto"/>
        </w:rPr>
      </w:pPr>
    </w:p>
    <w:p>
      <w:pPr>
        <w:jc w:val="both"/>
        <w:ind w:firstLine="969"/>
        <w:spacing w:after="0" w:line="303" w:lineRule="auto"/>
        <w:tabs>
          <w:tab w:leader="none" w:pos="151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Between Threshold and Target</w:t>
      </w:r>
      <w:r>
        <w:rPr>
          <w:rFonts w:ascii="Arial" w:cs="Arial" w:eastAsia="Arial" w:hAnsi="Arial"/>
          <w:sz w:val="18"/>
          <w:szCs w:val="18"/>
          <w:color w:val="auto"/>
        </w:rPr>
        <w:t>: If, upon the conclusion of a Performance Period, Gentex's performance exceeds the Threshold level, but is less than the Target level, as set forth in the Performance Objectives, the number of Performance Shares as set forth in the Officer Award Notification for the Performance Period, based on linear interpolation, will become earned.</w:t>
      </w:r>
    </w:p>
    <w:p>
      <w:pPr>
        <w:spacing w:after="0" w:line="201" w:lineRule="exact"/>
        <w:rPr>
          <w:rFonts w:ascii="Arial" w:cs="Arial" w:eastAsia="Arial" w:hAnsi="Arial"/>
          <w:sz w:val="18"/>
          <w:szCs w:val="18"/>
          <w:color w:val="auto"/>
        </w:rPr>
      </w:pPr>
    </w:p>
    <w:p>
      <w:pPr>
        <w:jc w:val="both"/>
        <w:ind w:firstLine="969"/>
        <w:spacing w:after="0" w:line="303" w:lineRule="auto"/>
        <w:tabs>
          <w:tab w:leader="none" w:pos="151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Target</w:t>
      </w:r>
      <w:r>
        <w:rPr>
          <w:rFonts w:ascii="Arial" w:cs="Arial" w:eastAsia="Arial" w:hAnsi="Arial"/>
          <w:sz w:val="18"/>
          <w:szCs w:val="18"/>
          <w:color w:val="auto"/>
        </w:rPr>
        <w:t>: If, upon the conclusion of the Performance Period, Gentex's performance for the Performance Period equals the Target level, as set forth in the Performance Objectives, the Performance Shares as set forth in the Officer Award Notification for the Performance Period will become earned.</w:t>
      </w:r>
    </w:p>
    <w:p>
      <w:pPr>
        <w:spacing w:after="0" w:line="201" w:lineRule="exact"/>
        <w:rPr>
          <w:rFonts w:ascii="Arial" w:cs="Arial" w:eastAsia="Arial" w:hAnsi="Arial"/>
          <w:sz w:val="18"/>
          <w:szCs w:val="18"/>
          <w:color w:val="auto"/>
        </w:rPr>
      </w:pPr>
    </w:p>
    <w:p>
      <w:pPr>
        <w:jc w:val="both"/>
        <w:ind w:firstLine="969"/>
        <w:spacing w:after="0" w:line="303" w:lineRule="auto"/>
        <w:tabs>
          <w:tab w:leader="none" w:pos="146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Between Target and Maximum</w:t>
      </w:r>
      <w:r>
        <w:rPr>
          <w:rFonts w:ascii="Arial" w:cs="Arial" w:eastAsia="Arial" w:hAnsi="Arial"/>
          <w:sz w:val="18"/>
          <w:szCs w:val="18"/>
          <w:color w:val="auto"/>
        </w:rPr>
        <w:t>: If, upon the conclusion of the Performance Period, Gentex's performance exceeds the Target level, but is less than the Maximum level, as set forth in the Performance Objectives, the Performance Shares as set forth in the Officer Award Notification, based on linear interpolation, will become earned.</w:t>
      </w:r>
    </w:p>
    <w:p>
      <w:pPr>
        <w:spacing w:after="0" w:line="201" w:lineRule="exact"/>
        <w:rPr>
          <w:rFonts w:ascii="Arial" w:cs="Arial" w:eastAsia="Arial" w:hAnsi="Arial"/>
          <w:sz w:val="18"/>
          <w:szCs w:val="18"/>
          <w:color w:val="auto"/>
        </w:rPr>
      </w:pPr>
    </w:p>
    <w:p>
      <w:pPr>
        <w:jc w:val="both"/>
        <w:ind w:firstLine="969"/>
        <w:spacing w:after="0" w:line="303" w:lineRule="auto"/>
        <w:tabs>
          <w:tab w:leader="none" w:pos="151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Equals or Exceeds Maximum</w:t>
      </w:r>
      <w:r>
        <w:rPr>
          <w:rFonts w:ascii="Arial" w:cs="Arial" w:eastAsia="Arial" w:hAnsi="Arial"/>
          <w:sz w:val="18"/>
          <w:szCs w:val="18"/>
          <w:color w:val="auto"/>
        </w:rPr>
        <w:t>: If, upon the conclusion of the Performance Period, Gentex's performance for the Performance Period equals or exceeds the Maximum level, as set forth in the Performance Objectives, the Performance Shares set forth in the officer Award Notification will become earned (subject to any cap set by the Board or the Compensation Committee).</w:t>
      </w:r>
    </w:p>
    <w:p>
      <w:pPr>
        <w:spacing w:after="0" w:line="201" w:lineRule="exact"/>
        <w:rPr>
          <w:rFonts w:ascii="Arial" w:cs="Arial" w:eastAsia="Arial" w:hAnsi="Arial"/>
          <w:sz w:val="18"/>
          <w:szCs w:val="18"/>
          <w:color w:val="auto"/>
        </w:rPr>
      </w:pPr>
    </w:p>
    <w:p>
      <w:pPr>
        <w:jc w:val="both"/>
        <w:ind w:firstLine="969"/>
        <w:spacing w:after="0" w:line="299" w:lineRule="auto"/>
        <w:tabs>
          <w:tab w:leader="none" w:pos="151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Conditions; Determination of Earned Award:</w:t>
      </w:r>
      <w:r>
        <w:rPr>
          <w:rFonts w:ascii="Arial" w:cs="Arial" w:eastAsia="Arial" w:hAnsi="Arial"/>
          <w:sz w:val="18"/>
          <w:szCs w:val="18"/>
          <w:color w:val="auto"/>
        </w:rPr>
        <w:t xml:space="preserve"> Except as otherwise provided in this Agreement, your right to receive any Performance Shares is contingent upon your remaining in the continuous employ of Gentex through the end of the entire Performance Period. Following a Performance Period, the Board or the Compensation Committee will determine whether and to what extent the goals relating to Performance Objectives have been satisfied for the Performance Period and will determine the number of Performance Shares that will have become earned hereunder. Notwithstanding the foregoing, to the extent it would not cause imposition of a tax under Section 409A of the Code, Gentex may accelerate the vesting of the Performance Shares at any time in part or in full.</w:t>
      </w:r>
    </w:p>
    <w:p>
      <w:pPr>
        <w:spacing w:after="0" w:line="207" w:lineRule="exact"/>
        <w:rPr>
          <w:rFonts w:ascii="Arial" w:cs="Arial" w:eastAsia="Arial" w:hAnsi="Arial"/>
          <w:sz w:val="18"/>
          <w:szCs w:val="18"/>
          <w:color w:val="auto"/>
        </w:rPr>
      </w:pPr>
    </w:p>
    <w:p>
      <w:pPr>
        <w:jc w:val="both"/>
        <w:ind w:firstLine="969"/>
        <w:spacing w:after="0" w:line="303" w:lineRule="auto"/>
        <w:tabs>
          <w:tab w:leader="none" w:pos="1456"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Modification of Management Objectives</w:t>
      </w:r>
      <w:r>
        <w:rPr>
          <w:rFonts w:ascii="Arial" w:cs="Arial" w:eastAsia="Arial" w:hAnsi="Arial"/>
          <w:sz w:val="18"/>
          <w:szCs w:val="18"/>
          <w:color w:val="auto"/>
        </w:rPr>
        <w:t>: If Gentex determines that a change in the business, operations, corporate structure or capital structure of Gentex, the manner in which it conducts business or other events or circumstances render the measurement of the Performance Objectives to be unsuitable, the</w:t>
      </w:r>
    </w:p>
    <w:p>
      <w:pPr>
        <w:sectPr>
          <w:pgSz w:w="11900" w:h="16838" w:orient="portrait"/>
          <w:cols w:equalWidth="0" w:num="1">
            <w:col w:w="10760"/>
          </w:cols>
          <w:pgMar w:left="900" w:top="792" w:right="239" w:bottom="1440" w:gutter="0" w:footer="0" w:header="0"/>
        </w:sectPr>
      </w:pPr>
    </w:p>
    <w:bookmarkStart w:id="94" w:name="page95"/>
    <w:bookmarkEnd w:id="94"/>
    <w:p>
      <w:pPr>
        <w:spacing w:after="0" w:line="309" w:lineRule="auto"/>
        <w:rPr>
          <w:sz w:val="20"/>
          <w:szCs w:val="20"/>
          <w:color w:val="auto"/>
        </w:rPr>
      </w:pPr>
      <w:r>
        <w:rPr>
          <w:rFonts w:ascii="Arial" w:cs="Arial" w:eastAsia="Arial" w:hAnsi="Arial"/>
          <w:sz w:val="18"/>
          <w:szCs w:val="18"/>
          <w:color w:val="auto"/>
        </w:rPr>
        <w:t>Committee may modify the calculation of the Performance Objectives or the related minimum acceptable level of achievement, in whole or in part, as the Committee deems appropriate.</w:t>
      </w:r>
    </w:p>
    <w:p>
      <w:pPr>
        <w:spacing w:after="0" w:line="196" w:lineRule="exact"/>
        <w:rPr>
          <w:sz w:val="20"/>
          <w:szCs w:val="20"/>
          <w:color w:val="auto"/>
        </w:rPr>
      </w:pPr>
    </w:p>
    <w:p>
      <w:pPr>
        <w:jc w:val="both"/>
        <w:ind w:firstLine="645"/>
        <w:spacing w:after="0" w:line="298" w:lineRule="auto"/>
        <w:tabs>
          <w:tab w:leader="none" w:pos="144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Effect of Termination Due to: Death, or Disability, or Change in Control; Retirement, or Resignation with Good Reason, or Without Cause</w:t>
      </w:r>
      <w:r>
        <w:rPr>
          <w:rFonts w:ascii="Arial" w:cs="Arial" w:eastAsia="Arial" w:hAnsi="Arial"/>
          <w:sz w:val="18"/>
          <w:szCs w:val="18"/>
          <w:color w:val="auto"/>
        </w:rPr>
        <w:t>: Notwithstanding Section 2(h), if, during the Performance Period, but before the payment of any Performance Shares as set forth in Section 5, your employment with Gentex is terminated: (a) by reason of death, or Disability, or a Change in Control otherwise occurs, you will be entitled to receive the number of Performance Shares as determined in Section 2 at the conclusion of the Performance Period as if you had remained employed at Gentex through the end of the Performance Period, based on actual performance while employed and based on the assumption that Target performance was met for the remaining years of the Performance Period; or (b) by Retirement, resignation with Good Reason, or without Cause, you will be entitled to receive the number of Performance Shares as determined in Section 2 at the conclusion of the Performance Period as if you had remained employed at Gentex through the end of the Performance Period, based on the actual performance while employed. In the event of termination of employment with Gentex or any Subsidiary in any other manner during the Performance Period, you will forfeit all Performance Shares.</w:t>
      </w:r>
    </w:p>
    <w:p>
      <w:pPr>
        <w:spacing w:after="0" w:line="211" w:lineRule="exact"/>
        <w:rPr>
          <w:rFonts w:ascii="Arial" w:cs="Arial" w:eastAsia="Arial" w:hAnsi="Arial"/>
          <w:sz w:val="18"/>
          <w:szCs w:val="18"/>
          <w:color w:val="auto"/>
        </w:rPr>
      </w:pPr>
    </w:p>
    <w:p>
      <w:pPr>
        <w:jc w:val="both"/>
        <w:ind w:firstLine="645"/>
        <w:spacing w:after="0" w:line="301" w:lineRule="auto"/>
        <w:tabs>
          <w:tab w:leader="none" w:pos="144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Except to the extent you have earned the right to receive Performance Shares pursuant to Sections 2 or 3 hereof, your right to receive Performance Shares will be forfeited automatically and without further notice on the date that you cease to be an employee of Gentex prior to the last day of the entire Performance Period or, in the event that Section 3 applies, on the date on which the Change in Control occurs.</w:t>
      </w:r>
    </w:p>
    <w:p>
      <w:pPr>
        <w:spacing w:after="0" w:line="204" w:lineRule="exact"/>
        <w:rPr>
          <w:rFonts w:ascii="Arial" w:cs="Arial" w:eastAsia="Arial" w:hAnsi="Arial"/>
          <w:sz w:val="18"/>
          <w:szCs w:val="18"/>
          <w:color w:val="auto"/>
        </w:rPr>
      </w:pPr>
    </w:p>
    <w:p>
      <w:pPr>
        <w:ind w:left="1440" w:hanging="795"/>
        <w:spacing w:after="0"/>
        <w:tabs>
          <w:tab w:leader="none" w:pos="14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Payment of Performance Shares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969"/>
        <w:spacing w:after="0" w:line="303" w:lineRule="auto"/>
        <w:tabs>
          <w:tab w:leader="none" w:pos="1516" w:val="left"/>
        </w:tabs>
        <w:numPr>
          <w:ilvl w:val="1"/>
          <w:numId w:val="83"/>
        </w:numPr>
        <w:rPr>
          <w:rFonts w:ascii="Arial" w:cs="Arial" w:eastAsia="Arial" w:hAnsi="Arial"/>
          <w:sz w:val="18"/>
          <w:szCs w:val="18"/>
          <w:color w:val="auto"/>
        </w:rPr>
      </w:pPr>
      <w:r>
        <w:rPr>
          <w:rFonts w:ascii="Arial" w:cs="Arial" w:eastAsia="Arial" w:hAnsi="Arial"/>
          <w:sz w:val="18"/>
          <w:szCs w:val="18"/>
          <w:color w:val="auto"/>
        </w:rPr>
        <w:t>Except as provided in Sections 5(b) and 5(c), each Performance Share earned as provided in Section 2 hereof will be paid to you in a share of Common Stock, in the calendar year immediately following the close of the entire Performance Period to which the award relates, but in no event later than two and one-half (2 1/2) months after the close of the Performance Period.</w:t>
      </w:r>
    </w:p>
    <w:p>
      <w:pPr>
        <w:spacing w:after="0" w:line="201" w:lineRule="exact"/>
        <w:rPr>
          <w:rFonts w:ascii="Arial" w:cs="Arial" w:eastAsia="Arial" w:hAnsi="Arial"/>
          <w:sz w:val="18"/>
          <w:szCs w:val="18"/>
          <w:color w:val="auto"/>
        </w:rPr>
      </w:pPr>
    </w:p>
    <w:p>
      <w:pPr>
        <w:jc w:val="both"/>
        <w:ind w:firstLine="969"/>
        <w:spacing w:after="0" w:line="303" w:lineRule="auto"/>
        <w:tabs>
          <w:tab w:leader="none" w:pos="151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Performance Shares earned due to death will be paid to you your executor or administrator, as the case may be, in shares of Common Stock in the calendar year immediately following the last day of the entire Performance Period, but in no event later than two and one-half (2 1/2) months after the close of the Performance Period to which the award relates.</w:t>
      </w:r>
    </w:p>
    <w:p>
      <w:pPr>
        <w:spacing w:after="0" w:line="201" w:lineRule="exact"/>
        <w:rPr>
          <w:rFonts w:ascii="Arial" w:cs="Arial" w:eastAsia="Arial" w:hAnsi="Arial"/>
          <w:sz w:val="18"/>
          <w:szCs w:val="18"/>
          <w:color w:val="auto"/>
        </w:rPr>
      </w:pPr>
    </w:p>
    <w:p>
      <w:pPr>
        <w:jc w:val="both"/>
        <w:ind w:firstLine="969"/>
        <w:spacing w:after="0" w:line="303" w:lineRule="auto"/>
        <w:tabs>
          <w:tab w:leader="none" w:pos="150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prorated portion of the Performance Shares earned pursuant to Section 3 will be paid to you in shares of Common Stock, in the discretion of Gentex, as soon as practicable following the Change in Control, but in no event later than two and one-half (2 1/2) months following the end of the year in which the Change in Control occurs.</w:t>
      </w:r>
    </w:p>
    <w:p>
      <w:pPr>
        <w:spacing w:after="0" w:line="201" w:lineRule="exact"/>
        <w:rPr>
          <w:rFonts w:ascii="Arial" w:cs="Arial" w:eastAsia="Arial" w:hAnsi="Arial"/>
          <w:sz w:val="18"/>
          <w:szCs w:val="18"/>
          <w:color w:val="auto"/>
        </w:rPr>
      </w:pPr>
    </w:p>
    <w:p>
      <w:pPr>
        <w:ind w:firstLine="645"/>
        <w:spacing w:after="0" w:line="309" w:lineRule="auto"/>
        <w:tabs>
          <w:tab w:leader="none" w:pos="144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Neither the Performance Shares granted hereby nor any interest therein will be transferable or assignable other than by will or the laws of descent and distribution prior to payment.</w:t>
      </w:r>
    </w:p>
    <w:p>
      <w:pPr>
        <w:spacing w:after="0" w:line="196" w:lineRule="exact"/>
        <w:rPr>
          <w:rFonts w:ascii="Arial" w:cs="Arial" w:eastAsia="Arial" w:hAnsi="Arial"/>
          <w:sz w:val="18"/>
          <w:szCs w:val="18"/>
          <w:color w:val="auto"/>
        </w:rPr>
      </w:pPr>
    </w:p>
    <w:p>
      <w:pPr>
        <w:jc w:val="both"/>
        <w:ind w:firstLine="645"/>
        <w:spacing w:after="0" w:line="303" w:lineRule="auto"/>
        <w:tabs>
          <w:tab w:leader="none" w:pos="144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Right to Terminate Employment</w:t>
      </w:r>
      <w:r>
        <w:rPr>
          <w:rFonts w:ascii="Arial" w:cs="Arial" w:eastAsia="Arial" w:hAnsi="Arial"/>
          <w:sz w:val="18"/>
          <w:szCs w:val="18"/>
          <w:color w:val="auto"/>
        </w:rPr>
        <w:t>. Nothing contained in this Agreement will confer upon you any right with respect to continuance of employment by Gentex, nor limit or affect in any manner the right of Gentex to terminate the employment or adjust your compensation.</w:t>
      </w:r>
    </w:p>
    <w:p>
      <w:pPr>
        <w:spacing w:after="0" w:line="201" w:lineRule="exact"/>
        <w:rPr>
          <w:rFonts w:ascii="Arial" w:cs="Arial" w:eastAsia="Arial" w:hAnsi="Arial"/>
          <w:sz w:val="18"/>
          <w:szCs w:val="18"/>
          <w:color w:val="auto"/>
        </w:rPr>
      </w:pPr>
    </w:p>
    <w:p>
      <w:pPr>
        <w:jc w:val="both"/>
        <w:ind w:firstLine="645"/>
        <w:spacing w:after="0" w:line="298" w:lineRule="auto"/>
        <w:tabs>
          <w:tab w:leader="none" w:pos="144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To the extent that Gentex is required to withhold any federal, state, local or foreign taxes in connection with the delivery of shares of Common Stock to you or any other person under this Agreement, and the amounts available to Gentex for such withholding are insufficient, it will be a condition to the receipt of such delivery that you will pay such taxes or make arrangements that are satisfactory to Gentex for payment thereof. You may elect to have the number of shares of Common Stock to be delivered to you reduced (based on the Market Value Per Share as of the date the Performance Shares become payable) to provide for the taxes required to be withheld, with any fractional shares that would otherwise be delivered being rounded up to the next nearest whole share. In no event, however, will the Market Value Per Share of the shares of Common Stock to be withheld pursuant to this Section to satisfy applicable withholding taxes in connection with the benefit exceed the minimum amount of taxes required to be withheld.</w:t>
      </w:r>
    </w:p>
    <w:p>
      <w:pPr>
        <w:sectPr>
          <w:pgSz w:w="11900" w:h="16838" w:orient="portrait"/>
          <w:cols w:equalWidth="0" w:num="1">
            <w:col w:w="10760"/>
          </w:cols>
          <w:pgMar w:left="900" w:top="625" w:right="239" w:bottom="1440" w:gutter="0" w:footer="0" w:header="0"/>
        </w:sectPr>
      </w:pPr>
    </w:p>
    <w:bookmarkStart w:id="95" w:name="page96"/>
    <w:bookmarkEnd w:id="95"/>
    <w:p>
      <w:pPr>
        <w:jc w:val="both"/>
        <w:ind w:left="4" w:firstLine="645"/>
        <w:spacing w:after="0" w:line="299" w:lineRule="auto"/>
        <w:tabs>
          <w:tab w:leader="none" w:pos="145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Payment of Dividends</w:t>
      </w:r>
      <w:r>
        <w:rPr>
          <w:rFonts w:ascii="Arial" w:cs="Arial" w:eastAsia="Arial" w:hAnsi="Arial"/>
          <w:sz w:val="18"/>
          <w:szCs w:val="18"/>
          <w:color w:val="auto"/>
        </w:rPr>
        <w:t>. No dividends will be paid with respect to any Performance Shares until such Performance Shares are earned by and paid to you in the form of shares of Common Stock as provided in this Agreement. With respect to Performance Shares actually earned by and paid to you hereunder, from and after the Date of Grant and until the time when such Performance Shares become nonforfeitable, you will be entitled to an additional number of Performance Shares (rounded to the nearest whole number) determined by dividing (A) the product of (i) the dollar amount of the cash dividends paid per share of common stock during such period and (ii) the total number of Performance Shares that become nonforfeitable, by (B) the Market Value Per Share on the date such Performance Shares become nonforfeitable. Such dividend equivalents (if any) will be subject to the same terms and conditions and will be settled in the same manner and at the same time as the Performance Shares to which they relate.</w:t>
      </w:r>
    </w:p>
    <w:p>
      <w:pPr>
        <w:spacing w:after="0" w:line="205" w:lineRule="exact"/>
        <w:rPr>
          <w:rFonts w:ascii="Arial" w:cs="Arial" w:eastAsia="Arial" w:hAnsi="Arial"/>
          <w:sz w:val="18"/>
          <w:szCs w:val="18"/>
          <w:color w:val="auto"/>
        </w:rPr>
      </w:pPr>
    </w:p>
    <w:p>
      <w:pPr>
        <w:jc w:val="both"/>
        <w:ind w:left="4" w:firstLine="645"/>
        <w:spacing w:after="0" w:line="298" w:lineRule="auto"/>
        <w:tabs>
          <w:tab w:leader="none" w:pos="155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Gentex will make any adjustments in the number of Performance Shares or other securities covered by this Agreement that Gentex may determine to be equitably required to prevent any dilution or expansion of your rights under this Agreement that otherwise would result from any (a) stock dividend, stock split, reverse stock split, combination of shares, recapitalization or other change in the capital structure of Gentex, (b) merger, consolidation, spin-off, split-off, spin-out, split-up, separation, reorganization, partial or complete liquidation involving Gentex or other distribution of assets, issuance of rights or warrants to purchase securities of Gentex, or (c) other transaction or event having an effect similar to any of those referred to in Sections 10(a) or 10(b). Furthermore, in the event that any transaction or event described or referred to in the immediately preceding sentence will occur, Gentex may provide in substitution of any or all of your rights under this Agreement such alternative consideration as Gentex may determine in good faith to be equitable under the circumstances.</w:t>
      </w:r>
    </w:p>
    <w:p>
      <w:pPr>
        <w:spacing w:after="0" w:line="212" w:lineRule="exact"/>
        <w:rPr>
          <w:rFonts w:ascii="Arial" w:cs="Arial" w:eastAsia="Arial" w:hAnsi="Arial"/>
          <w:sz w:val="18"/>
          <w:szCs w:val="18"/>
          <w:color w:val="auto"/>
        </w:rPr>
      </w:pPr>
    </w:p>
    <w:p>
      <w:pPr>
        <w:jc w:val="both"/>
        <w:ind w:left="4" w:firstLine="645"/>
        <w:spacing w:after="0" w:line="315" w:lineRule="auto"/>
        <w:tabs>
          <w:tab w:leader="none" w:pos="1550"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Compliance with Section 409A of the Code</w:t>
      </w:r>
      <w:r>
        <w:rPr>
          <w:rFonts w:ascii="Arial" w:cs="Arial" w:eastAsia="Arial" w:hAnsi="Arial"/>
          <w:sz w:val="17"/>
          <w:szCs w:val="17"/>
          <w:color w:val="auto"/>
        </w:rPr>
        <w:t>. To the extent applicable, it is intended that this Agreement and the Plan be exempt from or comply with the provisions of Section 409A of the Code, so that the income inclusion provisions of Section 409A(a)</w:t>
      </w:r>
    </w:p>
    <w:p>
      <w:pPr>
        <w:ind w:left="264" w:hanging="264"/>
        <w:spacing w:after="0"/>
        <w:tabs>
          <w:tab w:leader="none" w:pos="2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the Code do not apply to you. This Agreement and the Plan will be administered in a manner consistent with this intent.</w:t>
      </w:r>
    </w:p>
    <w:p>
      <w:pPr>
        <w:spacing w:after="0" w:line="265" w:lineRule="exact"/>
        <w:rPr>
          <w:rFonts w:ascii="Arial" w:cs="Arial" w:eastAsia="Arial" w:hAnsi="Arial"/>
          <w:sz w:val="18"/>
          <w:szCs w:val="18"/>
          <w:color w:val="auto"/>
        </w:rPr>
      </w:pPr>
    </w:p>
    <w:p>
      <w:pPr>
        <w:ind w:left="4" w:firstLine="645"/>
        <w:spacing w:after="0" w:line="309" w:lineRule="auto"/>
        <w:tabs>
          <w:tab w:leader="none" w:pos="155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this Agreement, the Performance Shares covered by this Agreement will not be paid if the payment thereof would result in violation of any applicable federal or state securities law.</w:t>
      </w:r>
    </w:p>
    <w:p>
      <w:pPr>
        <w:spacing w:after="0" w:line="196" w:lineRule="exact"/>
        <w:rPr>
          <w:rFonts w:ascii="Arial" w:cs="Arial" w:eastAsia="Arial" w:hAnsi="Arial"/>
          <w:sz w:val="18"/>
          <w:szCs w:val="18"/>
          <w:color w:val="auto"/>
        </w:rPr>
      </w:pPr>
    </w:p>
    <w:p>
      <w:pPr>
        <w:jc w:val="both"/>
        <w:ind w:left="4" w:firstLine="645"/>
        <w:spacing w:after="0" w:line="301" w:lineRule="auto"/>
        <w:tabs>
          <w:tab w:leader="none" w:pos="155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Any amendment to the Plan will be deemed to be an amendment to this Agreement to the extent that the amendment is applicable hereto; provided, however, that no amendment will adversely affect your rights under this Agreement without your consent (provided, however, that your consent will not be required to an amendment that is deemed necessary by Gentex to ensure exemption from or compliance with Section 409A of the Code).</w:t>
      </w:r>
    </w:p>
    <w:p>
      <w:pPr>
        <w:spacing w:after="0" w:line="204" w:lineRule="exact"/>
        <w:rPr>
          <w:rFonts w:ascii="Arial" w:cs="Arial" w:eastAsia="Arial" w:hAnsi="Arial"/>
          <w:sz w:val="18"/>
          <w:szCs w:val="18"/>
          <w:color w:val="auto"/>
        </w:rPr>
      </w:pPr>
    </w:p>
    <w:p>
      <w:pPr>
        <w:jc w:val="both"/>
        <w:ind w:left="4" w:firstLine="645"/>
        <w:spacing w:after="0" w:line="300" w:lineRule="auto"/>
        <w:tabs>
          <w:tab w:leader="none" w:pos="155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Information about you and your participation in the Plan may be collected, recorded and held, used and disclosed for any purpose related to the administration of the Plan. You understand that such processing of this information may need to be carried out by Gentex and its Subsidiaries and by third party administrators whether such persons are located within your country or elsewhere, including the United States of America. You consent to the processing of information relating to you and your participation in the Plan in any one or more of the ways referred to above.</w:t>
      </w:r>
    </w:p>
    <w:p>
      <w:pPr>
        <w:spacing w:after="0" w:line="205" w:lineRule="exact"/>
        <w:rPr>
          <w:rFonts w:ascii="Arial" w:cs="Arial" w:eastAsia="Arial" w:hAnsi="Arial"/>
          <w:sz w:val="18"/>
          <w:szCs w:val="18"/>
          <w:color w:val="auto"/>
        </w:rPr>
      </w:pPr>
    </w:p>
    <w:p>
      <w:pPr>
        <w:jc w:val="both"/>
        <w:ind w:left="4" w:firstLine="645"/>
        <w:spacing w:after="0" w:line="301" w:lineRule="auto"/>
        <w:tabs>
          <w:tab w:leader="none" w:pos="155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any provision in this Agreement to any person or circumstances is held invalid, unenforceable or otherwise illegal, the remainder of this Agreement and the application of such provision to any other person or circumstances will not be affected, and the provisions so held to be invalid, unenforceable or otherwise illegal will be reformed to the extent (and only to the extent) necessary to make it enforceable, valid and legal.</w:t>
      </w:r>
    </w:p>
    <w:p>
      <w:pPr>
        <w:spacing w:after="0" w:line="204" w:lineRule="exact"/>
        <w:rPr>
          <w:rFonts w:ascii="Arial" w:cs="Arial" w:eastAsia="Arial" w:hAnsi="Arial"/>
          <w:sz w:val="18"/>
          <w:szCs w:val="18"/>
          <w:color w:val="auto"/>
        </w:rPr>
      </w:pPr>
    </w:p>
    <w:p>
      <w:pPr>
        <w:jc w:val="both"/>
        <w:ind w:left="4" w:firstLine="645"/>
        <w:spacing w:after="0" w:line="300" w:lineRule="auto"/>
        <w:tabs>
          <w:tab w:leader="none" w:pos="155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Relation to Plan</w:t>
      </w:r>
      <w:r>
        <w:rPr>
          <w:rFonts w:ascii="Arial" w:cs="Arial" w:eastAsia="Arial" w:hAnsi="Arial"/>
          <w:sz w:val="18"/>
          <w:szCs w:val="18"/>
          <w:color w:val="auto"/>
        </w:rPr>
        <w:t>. This Agreement is subject to the terms and conditions of the Plan. In the event of any inconsistency between the provisions of this Agreement and the Plan, the Plan will govern. The Board or the Compensation Committee will, except as expressly provided otherwise herein, have the right to determine any questions which arise in connection with the grant of Performance Shares. By your acceptance of the award under this Agreement, you acknowledge receipt of a copy of the Prospectus for the Plan and your agreement to the terms and conditions of the Plan and this Agreement.</w:t>
      </w:r>
    </w:p>
    <w:p>
      <w:pPr>
        <w:sectPr>
          <w:pgSz w:w="11900" w:h="16838" w:orient="portrait"/>
          <w:cols w:equalWidth="0" w:num="1">
            <w:col w:w="10764"/>
          </w:cols>
          <w:pgMar w:left="896" w:top="625" w:right="239" w:bottom="1440" w:gutter="0" w:footer="0" w:header="0"/>
        </w:sectPr>
      </w:pPr>
    </w:p>
    <w:bookmarkStart w:id="96" w:name="page97"/>
    <w:bookmarkEnd w:id="96"/>
    <w:p>
      <w:pPr>
        <w:jc w:val="both"/>
        <w:ind w:left="660" w:firstLine="645"/>
        <w:spacing w:after="0" w:line="309" w:lineRule="auto"/>
        <w:tabs>
          <w:tab w:leader="none" w:pos="220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Without limiting Section 6, the provisions of this Agreement will inure to the benefit of, and be binding upon, your successors, administrators, heirs, legal representatives and assigns, and the successors and assigns of Gentex.</w:t>
      </w:r>
    </w:p>
    <w:p>
      <w:pPr>
        <w:spacing w:after="0" w:line="196" w:lineRule="exact"/>
        <w:rPr>
          <w:rFonts w:ascii="Arial" w:cs="Arial" w:eastAsia="Arial" w:hAnsi="Arial"/>
          <w:sz w:val="18"/>
          <w:szCs w:val="18"/>
          <w:color w:val="auto"/>
        </w:rPr>
      </w:pPr>
    </w:p>
    <w:p>
      <w:pPr>
        <w:ind w:left="660" w:firstLine="645"/>
        <w:spacing w:after="0" w:line="309" w:lineRule="auto"/>
        <w:tabs>
          <w:tab w:leader="none" w:pos="220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internal substantive laws of the State of Michigan, without giving effect to any principles of conflict of laws thereof.</w:t>
      </w:r>
    </w:p>
    <w:p>
      <w:pPr>
        <w:spacing w:after="0" w:line="196" w:lineRule="exact"/>
        <w:rPr>
          <w:rFonts w:ascii="Arial" w:cs="Arial" w:eastAsia="Arial" w:hAnsi="Arial"/>
          <w:sz w:val="18"/>
          <w:szCs w:val="18"/>
          <w:color w:val="auto"/>
        </w:rPr>
      </w:pPr>
    </w:p>
    <w:p>
      <w:pPr>
        <w:ind w:left="660" w:right="20" w:firstLine="645"/>
        <w:spacing w:after="0" w:line="309" w:lineRule="auto"/>
        <w:tabs>
          <w:tab w:leader="none" w:pos="220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Gentex to enforce at any time any provision of this Agreement shall in no way be construed to be a waiver of such provision or of any other provision hereof.</w:t>
      </w:r>
    </w:p>
    <w:p>
      <w:pPr>
        <w:spacing w:after="0" w:line="196" w:lineRule="exact"/>
        <w:rPr>
          <w:rFonts w:ascii="Arial" w:cs="Arial" w:eastAsia="Arial" w:hAnsi="Arial"/>
          <w:sz w:val="18"/>
          <w:szCs w:val="18"/>
          <w:color w:val="auto"/>
        </w:rPr>
      </w:pPr>
    </w:p>
    <w:p>
      <w:pPr>
        <w:ind w:left="660" w:firstLine="645"/>
        <w:spacing w:after="0" w:line="309" w:lineRule="auto"/>
        <w:tabs>
          <w:tab w:leader="none" w:pos="220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 Shareholder Rights Prior to Issuance of Shares</w:t>
      </w:r>
      <w:r>
        <w:rPr>
          <w:rFonts w:ascii="Arial" w:cs="Arial" w:eastAsia="Arial" w:hAnsi="Arial"/>
          <w:sz w:val="18"/>
          <w:szCs w:val="18"/>
          <w:color w:val="auto"/>
        </w:rPr>
        <w:t>. You will have no rights as a shareholder unless and until shares of Company Stock are issued pursuant to the terms of this Agreement.</w:t>
      </w:r>
    </w:p>
    <w:p>
      <w:pPr>
        <w:spacing w:after="0" w:line="196" w:lineRule="exact"/>
        <w:rPr>
          <w:rFonts w:ascii="Arial" w:cs="Arial" w:eastAsia="Arial" w:hAnsi="Arial"/>
          <w:sz w:val="18"/>
          <w:szCs w:val="18"/>
          <w:color w:val="auto"/>
        </w:rPr>
      </w:pPr>
    </w:p>
    <w:p>
      <w:pPr>
        <w:jc w:val="both"/>
        <w:ind w:left="660" w:firstLine="645"/>
        <w:spacing w:after="0" w:line="300" w:lineRule="auto"/>
        <w:tabs>
          <w:tab w:leader="none" w:pos="220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Relation to Other Benefits</w:t>
      </w:r>
      <w:r>
        <w:rPr>
          <w:rFonts w:ascii="Arial" w:cs="Arial" w:eastAsia="Arial" w:hAnsi="Arial"/>
          <w:sz w:val="18"/>
          <w:szCs w:val="18"/>
          <w:color w:val="auto"/>
        </w:rPr>
        <w:t>. Any economic or other benefit to you under this Agreement or the Plan will not be taken into account or considered as salary or compensation in determining any benefits to which you may be entitled under any profit-sharing, retirement or other benefit or compensation plan maintained by Gentex, except to the extent otherwise expressly provided under any such plan, and will not affect the amount of any life insurance coverage available to any beneficiary under any life insurance plan covering employees of Gentex, except to the extent otherwise expressly provided under any such plan.</w:t>
      </w:r>
    </w:p>
    <w:p>
      <w:pPr>
        <w:spacing w:after="0" w:line="205" w:lineRule="exact"/>
        <w:rPr>
          <w:rFonts w:ascii="Arial" w:cs="Arial" w:eastAsia="Arial" w:hAnsi="Arial"/>
          <w:sz w:val="18"/>
          <w:szCs w:val="18"/>
          <w:color w:val="auto"/>
        </w:rPr>
      </w:pPr>
    </w:p>
    <w:p>
      <w:pPr>
        <w:ind w:left="2200" w:hanging="895"/>
        <w:spacing w:after="0"/>
        <w:tabs>
          <w:tab w:leader="none" w:pos="22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Detrimental Activity</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660" w:firstLine="969"/>
        <w:spacing w:after="0" w:line="300" w:lineRule="auto"/>
        <w:tabs>
          <w:tab w:leader="none" w:pos="21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the Board or the Compensation Committee thereof determines that you engaged in any Detrimental Activity, then, promptly upon receiving notice of the Board's or the Compensation Committee's finding, you shall: (i) forfeit all rights under this Agreement to the extent it remains outstanding; (ii) return to Gentex shares of Common Stock acquired pursuant to this Agreement to the extent then still held by or for you; (iii) with respect to any shares of Common Stock acquired pursuant to this Agreement that are no longer held by or for you, pay to Gentex the Market Value Per Share of such shares of Common Stock on the date acquired.</w:t>
      </w:r>
    </w:p>
    <w:p>
      <w:pPr>
        <w:spacing w:after="0" w:line="205" w:lineRule="exact"/>
        <w:rPr>
          <w:rFonts w:ascii="Arial" w:cs="Arial" w:eastAsia="Arial" w:hAnsi="Arial"/>
          <w:sz w:val="18"/>
          <w:szCs w:val="18"/>
          <w:color w:val="auto"/>
        </w:rPr>
      </w:pPr>
    </w:p>
    <w:p>
      <w:pPr>
        <w:jc w:val="both"/>
        <w:ind w:left="660" w:firstLine="969"/>
        <w:spacing w:after="0" w:line="303" w:lineRule="auto"/>
        <w:tabs>
          <w:tab w:leader="none" w:pos="21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the extent that such shares are not returned to or amounts are not paid to Gentex, Gentex may seek other remedies, including without limitation a set off of the amounts so payable to it against any amounts that may be owing from time to time by Gentex to you for any reason, including without limitation wages, deferred compensation or vacation pay.</w:t>
      </w:r>
    </w:p>
    <w:p>
      <w:pPr>
        <w:spacing w:after="0" w:line="201" w:lineRule="exact"/>
        <w:rPr>
          <w:rFonts w:ascii="Arial" w:cs="Arial" w:eastAsia="Arial" w:hAnsi="Arial"/>
          <w:sz w:val="18"/>
          <w:szCs w:val="18"/>
          <w:color w:val="auto"/>
        </w:rPr>
      </w:pPr>
    </w:p>
    <w:p>
      <w:pPr>
        <w:ind w:left="2200" w:hanging="895"/>
        <w:spacing w:after="0"/>
        <w:tabs>
          <w:tab w:leader="none" w:pos="22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Certain Defined Terms. For purposes of this Agreement</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shall mean (a) the intentional engagement in any acts or omissions constituting dishonesty, breach of a fiduciary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wrongdoing or misfeasance, in each case, in connection with your duties or otherwise during the course of your employment with Gentex; (b) the commission of a felony or the indictment for any felony, including, but not limited to, any felony involving fraud, embezzlement, moral turpitude or theft; (c) the intentional and wrongful damaging of property, contractual interests or business relationships of Gentex; (d) the intentional and wrongful disclosure of secret processes or confidential information of Gentex in violation of an agreement with or a policy of Gentex; (e) the continued failure to substantially perform your duties for Gentex; (f) current alcohol or prescription drug abuse affecting work performance; (g) current illegal use of drugs; or (h) any intentional conduct contrary to announced policies or practices of Gentex (including, but not limited to, those contained in Gentex's Code of Business Conduct and Ethics).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"Detrimental Activity" </w:t>
      </w:r>
      <w:r>
        <w:rPr>
          <w:rFonts w:ascii="Arial" w:cs="Arial" w:eastAsia="Arial" w:hAnsi="Arial"/>
          <w:sz w:val="18"/>
          <w:szCs w:val="18"/>
          <w:color w:val="auto"/>
        </w:rPr>
        <w:t>shall mean: (a) engaging in any activity of competition or solicitation prohibited by any noncompete or</w:t>
      </w:r>
      <w:r>
        <w:rPr>
          <w:rFonts w:ascii="Arial" w:cs="Arial" w:eastAsia="Arial" w:hAnsi="Arial"/>
          <w:sz w:val="18"/>
          <w:szCs w:val="18"/>
          <w:i w:val="1"/>
          <w:iCs w:val="1"/>
          <w:color w:val="auto"/>
        </w:rPr>
        <w:t xml:space="preserve"> </w:t>
      </w:r>
      <w:r>
        <w:rPr>
          <w:rFonts w:ascii="Arial" w:cs="Arial" w:eastAsia="Arial" w:hAnsi="Arial"/>
          <w:sz w:val="18"/>
          <w:szCs w:val="18"/>
          <w:color w:val="auto"/>
        </w:rPr>
        <w:t>nonsolicitation agreement between you and Gentex; (b) the disclosure to anyone outside Gentex, or the use in other than Gentex's business, (i) without prior written authorization from Gentex, of any confidential, proprietary or trade secret information or material relating to the business of Gentex and acquired by you during your employment or other service with Gentex, or (ii) in violation of any covenant not to disclose set forth in any agreement between you and Gentex; (c) the (i) unreasonable failure or refusal to disclose promptly and to assign to Gentex upon request all right, title and interest in any invention or idea, patentable or not, made or conceived by you during your service with Gentex and relating in any manner to the actual or anticipated business, research or development work of Gentex or the failure or refusal to do anything reasonably necessary to enable Gentex to secure a patent where</w:t>
      </w:r>
    </w:p>
    <w:p>
      <w:pPr>
        <w:sectPr>
          <w:pgSz w:w="11900" w:h="16838" w:orient="portrait"/>
          <w:cols w:equalWidth="0" w:num="1">
            <w:col w:w="11420"/>
          </w:cols>
          <w:pgMar w:left="240" w:top="625" w:right="239" w:bottom="1440" w:gutter="0" w:footer="0" w:header="0"/>
        </w:sectPr>
      </w:pPr>
    </w:p>
    <w:bookmarkStart w:id="97" w:name="page98"/>
    <w:bookmarkEnd w:id="97"/>
    <w:p>
      <w:pPr>
        <w:jc w:val="both"/>
        <w:spacing w:after="0" w:line="254" w:lineRule="auto"/>
        <w:rPr>
          <w:sz w:val="20"/>
          <w:szCs w:val="20"/>
          <w:color w:val="auto"/>
        </w:rPr>
      </w:pPr>
      <w:r>
        <w:rPr>
          <w:rFonts w:ascii="Arial" w:cs="Arial" w:eastAsia="Arial" w:hAnsi="Arial"/>
          <w:sz w:val="18"/>
          <w:szCs w:val="18"/>
          <w:color w:val="auto"/>
        </w:rPr>
        <w:t>appropriate in the United States or in other countries, or (ii) violation of any development and inventions provision set forth in any agreement between you and Gentex; (d) activity during your employment by Gentex that could form the basis of your termination for Cause; or (e) if you are or were an officer of Gentex, activity that the Board or the Compensation Committee determines entitles Gentex to seek recovery from an officer under any policy promulgated by the Board or the Compensation Committee as in effect on the date hereof.</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shall mean a termination of employment under circumstances that would make you eligible to receive benefits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Gentex's long-term disability plan, as it may be in effect from time to time, or any successor plan, program, agreement or arrangement.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mean the occurrence of: without your consent and without Cause, assignment to duties materially inconsistent with your position, duties, and responsibilities with Gentex; a material reduction by Gentex in your annual base salary as then in effect (which is not applicable to employees generally); or a material breach by Gentex of its obligations under this Agreement; provided, however, you provide Gentex written notice within thirty (30) days of such occasion and Gentex has not cured the same.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shall mean termination of employment (other than termination for Cause or due to death or Disability) at or after age 60</w:t>
      </w:r>
      <w:r>
        <w:rPr>
          <w:rFonts w:ascii="Arial" w:cs="Arial" w:eastAsia="Arial" w:hAnsi="Arial"/>
          <w:sz w:val="18"/>
          <w:szCs w:val="18"/>
          <w:i w:val="1"/>
          <w:iCs w:val="1"/>
          <w:color w:val="auto"/>
        </w:rPr>
        <w:t xml:space="preserve"> </w:t>
      </w:r>
      <w:r>
        <w:rPr>
          <w:rFonts w:ascii="Arial" w:cs="Arial" w:eastAsia="Arial" w:hAnsi="Arial"/>
          <w:sz w:val="18"/>
          <w:szCs w:val="18"/>
          <w:color w:val="auto"/>
        </w:rPr>
        <w:t>with at least ten (10) years of service with Gentex or at or after age 65, with at least five (5) years of service with Gentex or a Subsidiary, in each case requiring six months advance written notice.</w:t>
      </w:r>
    </w:p>
    <w:p>
      <w:pPr>
        <w:sectPr>
          <w:pgSz w:w="11900" w:h="16838" w:orient="portrait"/>
          <w:cols w:equalWidth="0" w:num="1">
            <w:col w:w="11420"/>
          </w:cols>
          <w:pgMar w:left="240" w:top="598" w:right="239" w:bottom="1440" w:gutter="0" w:footer="0" w:header="0"/>
        </w:sectPr>
      </w:pPr>
    </w:p>
    <w:bookmarkStart w:id="98" w:name="page99"/>
    <w:bookmarkEnd w:id="98"/>
    <w:p>
      <w:pPr>
        <w:jc w:val="center"/>
        <w:ind w:right="640"/>
        <w:spacing w:after="0"/>
        <w:rPr>
          <w:sz w:val="20"/>
          <w:szCs w:val="20"/>
          <w:color w:val="auto"/>
        </w:rPr>
      </w:pPr>
      <w:r>
        <w:rPr>
          <w:rFonts w:ascii="Arial" w:cs="Arial" w:eastAsia="Arial" w:hAnsi="Arial"/>
          <w:sz w:val="18"/>
          <w:szCs w:val="18"/>
          <w:b w:val="1"/>
          <w:bCs w:val="1"/>
          <w:color w:val="auto"/>
        </w:rPr>
        <w:t>GENTEX CORPORATION</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RESTRICTED STOCK AWARD AGREEMENT</w:t>
      </w:r>
    </w:p>
    <w:p>
      <w:pPr>
        <w:spacing w:after="0" w:line="252" w:lineRule="exact"/>
        <w:rPr>
          <w:sz w:val="20"/>
          <w:szCs w:val="20"/>
          <w:color w:val="auto"/>
        </w:rPr>
      </w:pPr>
    </w:p>
    <w:p>
      <w:pPr>
        <w:jc w:val="both"/>
        <w:ind w:firstLine="645"/>
        <w:spacing w:after="0" w:line="299" w:lineRule="auto"/>
        <w:tabs>
          <w:tab w:leader="none" w:pos="144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The Award and the Plan</w:t>
      </w:r>
      <w:r>
        <w:rPr>
          <w:rFonts w:ascii="Arial" w:cs="Arial" w:eastAsia="Arial" w:hAnsi="Arial"/>
          <w:sz w:val="18"/>
          <w:szCs w:val="18"/>
          <w:color w:val="auto"/>
        </w:rPr>
        <w:t>. As of the Date of Grant set forth in the Officer Award Notification preceding or accompanying this Restricted Stock Award Agreement (the "Agreement"), Gentex Corporation ("Gentex") grants to you the number of Shares set forth in such Officer Award Notification. Certain terms used in this Agreement are defined in Section 24 below. Any undefined terms in this Agreement appearing as defined terms will have the same meaning as they do in the Gentex Corporation 2019 Omnibus Incentive Plan as amended and/or restated from time to time (the "Plan") or Long-Term Incentive Plan ("LTIP") adopted pursuant thereto. Gentex will provide a copy of the Plan or the LTIP to you upon request.</w:t>
      </w:r>
    </w:p>
    <w:p>
      <w:pPr>
        <w:spacing w:after="0" w:line="208" w:lineRule="exact"/>
        <w:rPr>
          <w:rFonts w:ascii="Arial" w:cs="Arial" w:eastAsia="Arial" w:hAnsi="Arial"/>
          <w:sz w:val="18"/>
          <w:szCs w:val="18"/>
          <w:color w:val="auto"/>
        </w:rPr>
      </w:pPr>
    </w:p>
    <w:p>
      <w:pPr>
        <w:ind w:firstLine="645"/>
        <w:spacing w:after="0" w:line="309" w:lineRule="auto"/>
        <w:tabs>
          <w:tab w:leader="none" w:pos="144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Restriction</w:t>
      </w:r>
      <w:r>
        <w:rPr>
          <w:rFonts w:ascii="Arial" w:cs="Arial" w:eastAsia="Arial" w:hAnsi="Arial"/>
          <w:sz w:val="18"/>
          <w:szCs w:val="18"/>
          <w:color w:val="auto"/>
        </w:rPr>
        <w:t>. Until the Vesting Date (as defined below), the Shares shall be subject to restriction contained in the following legend, which legend shall be conspicuously placed on the face of the certificate or otherwise accompany the Shares:</w:t>
      </w:r>
    </w:p>
    <w:p>
      <w:pPr>
        <w:spacing w:after="0" w:line="169"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The Shares represented hereby are subject to restrictions on transfer as provided in the Gentex Corporation 2019 Omnibus Incentive Plan, Gentex Corporation Long-Term Incentive Plan, and the Restricted Stock Award Agreement between Gentex Corporation and the record holder and such Shares are subject to forfeiture and return to Gentex Corporation upon the happening of certain events specified in such plans or agreement.</w:t>
      </w:r>
    </w:p>
    <w:p>
      <w:pPr>
        <w:spacing w:after="0" w:line="231" w:lineRule="exact"/>
        <w:rPr>
          <w:sz w:val="20"/>
          <w:szCs w:val="20"/>
          <w:color w:val="auto"/>
        </w:rPr>
      </w:pPr>
    </w:p>
    <w:p>
      <w:pPr>
        <w:jc w:val="both"/>
        <w:ind w:firstLine="645"/>
        <w:spacing w:after="0" w:line="300" w:lineRule="auto"/>
        <w:tabs>
          <w:tab w:leader="none" w:pos="14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Vesting of Shares</w:t>
      </w:r>
      <w:r>
        <w:rPr>
          <w:rFonts w:ascii="Arial" w:cs="Arial" w:eastAsia="Arial" w:hAnsi="Arial"/>
          <w:sz w:val="18"/>
          <w:szCs w:val="18"/>
          <w:color w:val="auto"/>
        </w:rPr>
        <w:t>. Subject to the terms and conditions of Sections 4, 5 and 6 below, your right to receive one hundred percent (100%) of the Shares will become nonforfeitable on the third anniversary of the Date of Grant set forth in your Officer Award Notification (the "Vesting Date") provided you remain continuously employed by Gentex or any of its Subsidiaries until such time. Notwithstanding the foregoing, to the extent it would not cause imposition of a tax under Section 409A of the Code, Gentex may accelerate the vesting of the Shares at any time in part or in full.</w:t>
      </w:r>
    </w:p>
    <w:p>
      <w:pPr>
        <w:spacing w:after="0" w:line="205" w:lineRule="exact"/>
        <w:rPr>
          <w:rFonts w:ascii="Arial" w:cs="Arial" w:eastAsia="Arial" w:hAnsi="Arial"/>
          <w:sz w:val="18"/>
          <w:szCs w:val="18"/>
          <w:color w:val="auto"/>
        </w:rPr>
      </w:pPr>
    </w:p>
    <w:p>
      <w:pPr>
        <w:jc w:val="both"/>
        <w:ind w:right="20" w:firstLine="645"/>
        <w:spacing w:after="0" w:line="303" w:lineRule="auto"/>
        <w:tabs>
          <w:tab w:leader="none" w:pos="14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In the event a Change in Control occurs prior to the Shares becoming nonforfeitable as provided in Section 3 above and while you are an employee of Gentex or any Subsidiary, the Shares covered by this Agreement will become nonforfeitable to the extent set forth in the Plan.</w:t>
      </w:r>
    </w:p>
    <w:p>
      <w:pPr>
        <w:spacing w:after="0" w:line="201" w:lineRule="exact"/>
        <w:rPr>
          <w:rFonts w:ascii="Arial" w:cs="Arial" w:eastAsia="Arial" w:hAnsi="Arial"/>
          <w:sz w:val="18"/>
          <w:szCs w:val="18"/>
          <w:color w:val="auto"/>
        </w:rPr>
      </w:pPr>
    </w:p>
    <w:p>
      <w:pPr>
        <w:jc w:val="both"/>
        <w:ind w:firstLine="645"/>
        <w:spacing w:after="0" w:line="300" w:lineRule="auto"/>
        <w:tabs>
          <w:tab w:leader="none" w:pos="14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of Termination Due to: Death or Disability; Retirement or Resignation with Good Reason; or Without Cause</w:t>
      </w:r>
      <w:r>
        <w:rPr>
          <w:rFonts w:ascii="Arial" w:cs="Arial" w:eastAsia="Arial" w:hAnsi="Arial"/>
          <w:sz w:val="18"/>
          <w:szCs w:val="18"/>
          <w:color w:val="auto"/>
        </w:rPr>
        <w:t>. Notwithstanding Section 3 above, if your employment with Gentex or any Subsidiary is terminated: (A) by reason of death or Disability, the shares will become nonforfeitable; or (B) by Retirement, by resignation with Good Reason, or without Cause, a prorated portion of the Shares will become forfeitable based on the number of months you were employed during the Performance Period set forth in the Officer Award Notification.</w:t>
      </w:r>
    </w:p>
    <w:p>
      <w:pPr>
        <w:spacing w:after="0" w:line="205" w:lineRule="exact"/>
        <w:rPr>
          <w:rFonts w:ascii="Arial" w:cs="Arial" w:eastAsia="Arial" w:hAnsi="Arial"/>
          <w:sz w:val="18"/>
          <w:szCs w:val="18"/>
          <w:color w:val="auto"/>
        </w:rPr>
      </w:pPr>
    </w:p>
    <w:p>
      <w:pPr>
        <w:jc w:val="both"/>
        <w:ind w:firstLine="645"/>
        <w:spacing w:after="0" w:line="303" w:lineRule="auto"/>
        <w:tabs>
          <w:tab w:leader="none" w:pos="14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Other Employment Terminations</w:t>
      </w:r>
      <w:r>
        <w:rPr>
          <w:rFonts w:ascii="Arial" w:cs="Arial" w:eastAsia="Arial" w:hAnsi="Arial"/>
          <w:sz w:val="18"/>
          <w:szCs w:val="18"/>
          <w:color w:val="auto"/>
        </w:rPr>
        <w:t>. In the event that your employment with Gentex or a Subsidiary terminates during the Performance Period in a manner other than any specified in Sections 4 or 5 above, you will forfeit any Shares that have not become nonforfeitable by you at the time of such termination.</w:t>
      </w:r>
    </w:p>
    <w:p>
      <w:pPr>
        <w:spacing w:after="0" w:line="201" w:lineRule="exact"/>
        <w:rPr>
          <w:rFonts w:ascii="Arial" w:cs="Arial" w:eastAsia="Arial" w:hAnsi="Arial"/>
          <w:sz w:val="18"/>
          <w:szCs w:val="18"/>
          <w:color w:val="auto"/>
        </w:rPr>
      </w:pPr>
    </w:p>
    <w:p>
      <w:pPr>
        <w:jc w:val="both"/>
        <w:ind w:firstLine="645"/>
        <w:spacing w:after="0" w:line="299" w:lineRule="auto"/>
        <w:tabs>
          <w:tab w:leader="none" w:pos="14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To the extent that Gentex is required to withhold any federal, state, local or foreign taxes in connection with the delivery or vesting of the Shares under this Agreement, and the amounts available to Gentex for such withholding are insufficient, it will be a condition to the receipt of such delivery that you will pay such taxes or make arrangements that are satisfactory to Gentex for payment thereof. You may elect to have the number of Shares reduced (based on the Market Value Per Share as of the date the Shares vest) to provide for the taxes required to be withheld, with any fractional shares that would otherwise be delivered being rounded up to the next nearest whole share. In no event, however, will the Market Value Per Share of the Shares to be withheld pursuant to this Section to satisfy applicable withholding taxes in connection with the benefit exceed the minimum amount of taxes required to be withheld.</w:t>
      </w:r>
    </w:p>
    <w:p>
      <w:pPr>
        <w:spacing w:after="0" w:line="205" w:lineRule="exact"/>
        <w:rPr>
          <w:rFonts w:ascii="Arial" w:cs="Arial" w:eastAsia="Arial" w:hAnsi="Arial"/>
          <w:sz w:val="18"/>
          <w:szCs w:val="18"/>
          <w:color w:val="auto"/>
        </w:rPr>
      </w:pPr>
    </w:p>
    <w:p>
      <w:pPr>
        <w:jc w:val="both"/>
        <w:ind w:firstLine="645"/>
        <w:spacing w:after="0" w:line="300" w:lineRule="auto"/>
        <w:tabs>
          <w:tab w:leader="none" w:pos="14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Payment of Dividend Equivalents</w:t>
      </w:r>
      <w:r>
        <w:rPr>
          <w:rFonts w:ascii="Arial" w:cs="Arial" w:eastAsia="Arial" w:hAnsi="Arial"/>
          <w:sz w:val="18"/>
          <w:szCs w:val="18"/>
          <w:color w:val="auto"/>
        </w:rPr>
        <w:t>. From and after the Date of Grant and until the time when the Shares become nonforfeitable, on the date that Gentex pays a cash dividend (if any) to holders of shares of Common Stock generally, you will be entitled to a number of Shares (rounded down to the nearest whole number) determined by dividing (A) the product of (i) the dollar amount of the cash dividend paid per share of Common Stock on such date and (ii) the total number of Shares, by (B) the Market Value Per Share on such date. Such dividend equivalents (if any) will be subject to the same terms and conditions and will be settled</w:t>
      </w:r>
    </w:p>
    <w:p>
      <w:pPr>
        <w:sectPr>
          <w:pgSz w:w="11900" w:h="16838" w:orient="portrait"/>
          <w:cols w:equalWidth="0" w:num="1">
            <w:col w:w="10760"/>
          </w:cols>
          <w:pgMar w:left="900" w:top="576" w:right="239" w:bottom="1440" w:gutter="0" w:footer="0" w:header="0"/>
        </w:sectPr>
      </w:pPr>
    </w:p>
    <w:bookmarkStart w:id="99" w:name="page100"/>
    <w:bookmarkEnd w:id="99"/>
    <w:p>
      <w:pPr>
        <w:ind w:left="4"/>
        <w:spacing w:after="0"/>
        <w:rPr>
          <w:sz w:val="20"/>
          <w:szCs w:val="20"/>
          <w:color w:val="auto"/>
        </w:rPr>
      </w:pPr>
      <w:r>
        <w:rPr>
          <w:rFonts w:ascii="Arial" w:cs="Arial" w:eastAsia="Arial" w:hAnsi="Arial"/>
          <w:sz w:val="18"/>
          <w:szCs w:val="18"/>
          <w:color w:val="auto"/>
        </w:rPr>
        <w:t>or forfeited in the same manner and at the same time as the Shares to which the dividend equivalents were credited.</w:t>
      </w:r>
    </w:p>
    <w:p>
      <w:pPr>
        <w:spacing w:after="0" w:line="266" w:lineRule="exact"/>
        <w:rPr>
          <w:sz w:val="20"/>
          <w:szCs w:val="20"/>
          <w:color w:val="auto"/>
        </w:rPr>
      </w:pPr>
    </w:p>
    <w:p>
      <w:pPr>
        <w:ind w:left="4" w:firstLine="645"/>
        <w:spacing w:after="0" w:line="309" w:lineRule="auto"/>
        <w:tabs>
          <w:tab w:leader="none" w:pos="145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Shares Nontransferable</w:t>
      </w:r>
      <w:r>
        <w:rPr>
          <w:rFonts w:ascii="Arial" w:cs="Arial" w:eastAsia="Arial" w:hAnsi="Arial"/>
          <w:sz w:val="18"/>
          <w:szCs w:val="18"/>
          <w:color w:val="auto"/>
        </w:rPr>
        <w:t>. Neither the Shares nor any interest therein will be transferable or assignable other than by will or the laws of descent and distribution prior to payment.</w:t>
      </w:r>
    </w:p>
    <w:p>
      <w:pPr>
        <w:spacing w:after="0" w:line="196" w:lineRule="exact"/>
        <w:rPr>
          <w:rFonts w:ascii="Arial" w:cs="Arial" w:eastAsia="Arial" w:hAnsi="Arial"/>
          <w:sz w:val="18"/>
          <w:szCs w:val="18"/>
          <w:color w:val="auto"/>
        </w:rPr>
      </w:pPr>
    </w:p>
    <w:p>
      <w:pPr>
        <w:jc w:val="both"/>
        <w:ind w:left="4" w:firstLine="645"/>
        <w:spacing w:after="0" w:line="297" w:lineRule="auto"/>
        <w:tabs>
          <w:tab w:leader="none" w:pos="155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Gentex will make any adjustments in the number of Shares that Gentex may determine to be equitably required to prevent any dilution or expansion of your rights under this Agreement that otherwise would result from any (A) stock dividend, stock split, reverse stock split, combination of shares, recapitalization or other change in the capital structure of Gentex,</w:t>
      </w:r>
    </w:p>
    <w:p>
      <w:pPr>
        <w:spacing w:after="0" w:line="1" w:lineRule="exact"/>
        <w:rPr>
          <w:rFonts w:ascii="Arial" w:cs="Arial" w:eastAsia="Arial" w:hAnsi="Arial"/>
          <w:sz w:val="18"/>
          <w:szCs w:val="18"/>
          <w:color w:val="auto"/>
        </w:rPr>
      </w:pPr>
    </w:p>
    <w:p>
      <w:pPr>
        <w:jc w:val="both"/>
        <w:ind w:left="4" w:hanging="4"/>
        <w:spacing w:after="0" w:line="30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merger, consolidation, spin-off, split-off, spin-out, split-up, separation, reorganization, partial or complete liquidation involving Gentex or other distribution of assets, issuance of rights or warrants to purchase securities of Gentex, or (C) other transaction or event having an effect similar to any of those referred to in Sections 10(A) or 10(B). Furthermore, in the event that any transaction or event described or referred to in the immediately preceding sentence will occur, Gentex may provide in substitution of any or all of your rights under this Agreement such alternative consideration as Gentex may determine in good faith to be equitable under the circumstances.</w:t>
      </w:r>
    </w:p>
    <w:p>
      <w:pPr>
        <w:spacing w:after="0" w:line="205" w:lineRule="exact"/>
        <w:rPr>
          <w:rFonts w:ascii="Arial" w:cs="Arial" w:eastAsia="Arial" w:hAnsi="Arial"/>
          <w:sz w:val="18"/>
          <w:szCs w:val="18"/>
          <w:color w:val="auto"/>
        </w:rPr>
      </w:pPr>
    </w:p>
    <w:p>
      <w:pPr>
        <w:jc w:val="both"/>
        <w:ind w:left="4" w:firstLine="645"/>
        <w:spacing w:after="0" w:line="315" w:lineRule="auto"/>
        <w:tabs>
          <w:tab w:leader="none" w:pos="1550"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Compliance with Section 409A of the Code</w:t>
      </w:r>
      <w:r>
        <w:rPr>
          <w:rFonts w:ascii="Arial" w:cs="Arial" w:eastAsia="Arial" w:hAnsi="Arial"/>
          <w:sz w:val="17"/>
          <w:szCs w:val="17"/>
          <w:color w:val="auto"/>
        </w:rPr>
        <w:t>. To the extent applicable, it is intended that this Agreement and the Plan be exempt from or comply with the provisions of Section 409A of the Code, so that the income inclusion provisions of Section 409A(a)</w:t>
      </w:r>
    </w:p>
    <w:p>
      <w:pPr>
        <w:ind w:left="4"/>
        <w:spacing w:after="0"/>
        <w:rPr>
          <w:rFonts w:ascii="Arial" w:cs="Arial" w:eastAsia="Arial" w:hAnsi="Arial"/>
          <w:sz w:val="17"/>
          <w:szCs w:val="17"/>
          <w:color w:val="auto"/>
        </w:rPr>
      </w:pPr>
      <w:r>
        <w:rPr>
          <w:rFonts w:ascii="Arial" w:cs="Arial" w:eastAsia="Arial" w:hAnsi="Arial"/>
          <w:sz w:val="18"/>
          <w:szCs w:val="18"/>
          <w:color w:val="auto"/>
        </w:rPr>
        <w:t>(1) of the Code do not apply to you. This Agreement and the Plan will be administered in a manner consistent with this intent.</w:t>
      </w:r>
    </w:p>
    <w:p>
      <w:pPr>
        <w:spacing w:after="0" w:line="265" w:lineRule="exact"/>
        <w:rPr>
          <w:rFonts w:ascii="Arial" w:cs="Arial" w:eastAsia="Arial" w:hAnsi="Arial"/>
          <w:sz w:val="17"/>
          <w:szCs w:val="17"/>
          <w:color w:val="auto"/>
        </w:rPr>
      </w:pPr>
    </w:p>
    <w:p>
      <w:pPr>
        <w:jc w:val="both"/>
        <w:ind w:left="4" w:firstLine="645"/>
        <w:spacing w:after="0" w:line="303" w:lineRule="auto"/>
        <w:tabs>
          <w:tab w:leader="none" w:pos="155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Right to Terminate Employment</w:t>
      </w:r>
      <w:r>
        <w:rPr>
          <w:rFonts w:ascii="Arial" w:cs="Arial" w:eastAsia="Arial" w:hAnsi="Arial"/>
          <w:sz w:val="18"/>
          <w:szCs w:val="18"/>
          <w:color w:val="auto"/>
        </w:rPr>
        <w:t>. Nothing contained in this Agreement will confer upon you any right with respect to continuance of employment by Gentex or any Subsidiary, nor limit or affect in any manner the right of Gentex or any Subsidiary to terminate the employment or adjust your compensation.</w:t>
      </w:r>
    </w:p>
    <w:p>
      <w:pPr>
        <w:spacing w:after="0" w:line="201" w:lineRule="exact"/>
        <w:rPr>
          <w:rFonts w:ascii="Arial" w:cs="Arial" w:eastAsia="Arial" w:hAnsi="Arial"/>
          <w:sz w:val="18"/>
          <w:szCs w:val="18"/>
          <w:color w:val="auto"/>
        </w:rPr>
      </w:pPr>
    </w:p>
    <w:p>
      <w:pPr>
        <w:jc w:val="both"/>
        <w:ind w:left="4" w:firstLine="645"/>
        <w:spacing w:after="0" w:line="300" w:lineRule="auto"/>
        <w:tabs>
          <w:tab w:leader="none" w:pos="155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Information about you and your participation in the Plan may be collected, recorded and held, used and disclosed for any purpose related to the administration of the Plan. You understand that such processing of this information may need to be carried out by Gentex and its Subsidiaries and by third party administrators whether such persons are located within your country or elsewhere, including the United States of America. You consent to the processing of information relating to you and your participation in the Plan in any one or more of the ways referred to above.</w:t>
      </w:r>
    </w:p>
    <w:p>
      <w:pPr>
        <w:spacing w:after="0" w:line="205" w:lineRule="exact"/>
        <w:rPr>
          <w:rFonts w:ascii="Arial" w:cs="Arial" w:eastAsia="Arial" w:hAnsi="Arial"/>
          <w:sz w:val="18"/>
          <w:szCs w:val="18"/>
          <w:color w:val="auto"/>
        </w:rPr>
      </w:pPr>
    </w:p>
    <w:p>
      <w:pPr>
        <w:jc w:val="both"/>
        <w:ind w:left="4" w:firstLine="645"/>
        <w:spacing w:after="0" w:line="299" w:lineRule="auto"/>
        <w:tabs>
          <w:tab w:leader="none" w:pos="155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Relation to Other Benefits</w:t>
      </w:r>
      <w:r>
        <w:rPr>
          <w:rFonts w:ascii="Arial" w:cs="Arial" w:eastAsia="Arial" w:hAnsi="Arial"/>
          <w:sz w:val="18"/>
          <w:szCs w:val="18"/>
          <w:color w:val="auto"/>
        </w:rPr>
        <w:t>. Any economic or other benefit to you under this Agreement or the Plan will not be taken into account or considered as salary or compensation in determining any benefits to which you may be entitled under any profit-sharing, retirement or other benefit or compensation plan maintained by Gentex or any Subsidiary, except to the extent otherwise expressly provided under any such plan, and will not affect the amount of any life insurance coverage available to any beneficiary under any life insurance plan covering employees of Gentex or a Subsidiary, except to the extent otherwise expressly provided under any such plan.</w:t>
      </w:r>
    </w:p>
    <w:p>
      <w:pPr>
        <w:spacing w:after="0" w:line="208" w:lineRule="exact"/>
        <w:rPr>
          <w:rFonts w:ascii="Arial" w:cs="Arial" w:eastAsia="Arial" w:hAnsi="Arial"/>
          <w:sz w:val="18"/>
          <w:szCs w:val="18"/>
          <w:color w:val="auto"/>
        </w:rPr>
      </w:pPr>
    </w:p>
    <w:p>
      <w:pPr>
        <w:jc w:val="both"/>
        <w:ind w:left="4" w:firstLine="645"/>
        <w:spacing w:after="0" w:line="300" w:lineRule="auto"/>
        <w:tabs>
          <w:tab w:leader="none" w:pos="155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Relation to Plan</w:t>
      </w:r>
      <w:r>
        <w:rPr>
          <w:rFonts w:ascii="Arial" w:cs="Arial" w:eastAsia="Arial" w:hAnsi="Arial"/>
          <w:sz w:val="18"/>
          <w:szCs w:val="18"/>
          <w:color w:val="auto"/>
        </w:rPr>
        <w:t>. This Agreement is subject to the terms and conditions of the Plan. In the event of any inconsistency between the provisions of this Agreement and the Plan, the Plan will govern. The Board or the Compensation Committee will, except as expressly provided otherwise herein, have the right to determine any questions which arise in connection with the grant of Shares. By your acceptance of the award under this Agreement, you acknowledge receipt of a copy of the Prospectus for the Plan and your agreement to the terms and conditions of the Plan and this Agreement.</w:t>
      </w:r>
    </w:p>
    <w:p>
      <w:pPr>
        <w:spacing w:after="0" w:line="205" w:lineRule="exact"/>
        <w:rPr>
          <w:rFonts w:ascii="Arial" w:cs="Arial" w:eastAsia="Arial" w:hAnsi="Arial"/>
          <w:sz w:val="18"/>
          <w:szCs w:val="18"/>
          <w:color w:val="auto"/>
        </w:rPr>
      </w:pPr>
    </w:p>
    <w:p>
      <w:pPr>
        <w:jc w:val="both"/>
        <w:ind w:left="4" w:firstLine="645"/>
        <w:spacing w:after="0" w:line="301" w:lineRule="auto"/>
        <w:tabs>
          <w:tab w:leader="none" w:pos="155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Any amendment to the Plan will be deemed to be an amendment to this Agreement to the extent that the amendment is applicable hereto; provided, however, that no amendment will adversely affect your rights under this Agreement without your consent (provided, however, that your consent will not be required to an amendment that is deemed necessary by Gentex to ensure exemption from or compliance with Section 409A of the Code).</w:t>
      </w:r>
    </w:p>
    <w:p>
      <w:pPr>
        <w:spacing w:after="0" w:line="204" w:lineRule="exact"/>
        <w:rPr>
          <w:rFonts w:ascii="Arial" w:cs="Arial" w:eastAsia="Arial" w:hAnsi="Arial"/>
          <w:sz w:val="18"/>
          <w:szCs w:val="18"/>
          <w:color w:val="auto"/>
        </w:rPr>
      </w:pPr>
    </w:p>
    <w:p>
      <w:pPr>
        <w:jc w:val="both"/>
        <w:ind w:left="4" w:firstLine="645"/>
        <w:spacing w:after="0" w:line="303" w:lineRule="auto"/>
        <w:tabs>
          <w:tab w:leader="none" w:pos="155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any provision in this Agreement to any person or circumstances is held invalid, unenforceable or otherwise illegal, the remainder of this Agreement and the application of such provision to any other person or circumstances will not be</w:t>
      </w:r>
    </w:p>
    <w:p>
      <w:pPr>
        <w:sectPr>
          <w:pgSz w:w="11900" w:h="16838" w:orient="portrait"/>
          <w:cols w:equalWidth="0" w:num="1">
            <w:col w:w="10764"/>
          </w:cols>
          <w:pgMar w:left="896" w:top="625" w:right="239" w:bottom="1440" w:gutter="0" w:footer="0" w:header="0"/>
        </w:sectPr>
      </w:pPr>
    </w:p>
    <w:bookmarkStart w:id="100" w:name="page101"/>
    <w:bookmarkEnd w:id="100"/>
    <w:p>
      <w:pPr>
        <w:ind w:left="660"/>
        <w:spacing w:after="0" w:line="309" w:lineRule="auto"/>
        <w:rPr>
          <w:sz w:val="20"/>
          <w:szCs w:val="20"/>
          <w:color w:val="auto"/>
        </w:rPr>
      </w:pPr>
      <w:r>
        <w:rPr>
          <w:rFonts w:ascii="Arial" w:cs="Arial" w:eastAsia="Arial" w:hAnsi="Arial"/>
          <w:sz w:val="18"/>
          <w:szCs w:val="18"/>
          <w:color w:val="auto"/>
        </w:rPr>
        <w:t>affected, and the provisions so held to be invalid, unenforceable or otherwise illegal will be reformed to the extent (and only to the extent) necessary to make it enforceable, valid and legal.</w:t>
      </w:r>
    </w:p>
    <w:p>
      <w:pPr>
        <w:spacing w:after="0" w:line="196" w:lineRule="exact"/>
        <w:rPr>
          <w:sz w:val="20"/>
          <w:szCs w:val="20"/>
          <w:color w:val="auto"/>
        </w:rPr>
      </w:pPr>
    </w:p>
    <w:p>
      <w:pPr>
        <w:ind w:left="660" w:firstLine="645"/>
        <w:spacing w:after="0" w:line="309" w:lineRule="auto"/>
        <w:tabs>
          <w:tab w:leader="none" w:pos="220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this Agreement, the Shares covered by this Agreement will not be paid if the payment thereof would result in violation of any applicable federal or state securities law.</w:t>
      </w:r>
    </w:p>
    <w:p>
      <w:pPr>
        <w:spacing w:after="0" w:line="196" w:lineRule="exact"/>
        <w:rPr>
          <w:rFonts w:ascii="Arial" w:cs="Arial" w:eastAsia="Arial" w:hAnsi="Arial"/>
          <w:sz w:val="18"/>
          <w:szCs w:val="18"/>
          <w:color w:val="auto"/>
        </w:rPr>
      </w:pPr>
    </w:p>
    <w:p>
      <w:pPr>
        <w:jc w:val="both"/>
        <w:ind w:left="660" w:firstLine="645"/>
        <w:spacing w:after="0" w:line="303" w:lineRule="auto"/>
        <w:tabs>
          <w:tab w:leader="none" w:pos="220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Without limiting Section 9 above, the provisions of this Agreement will inure to the benefit of, and be binding upon, your successors, administrators, heirs, legal representatives and assigns, and the successors and assigns of Gentex.</w:t>
      </w:r>
    </w:p>
    <w:p>
      <w:pPr>
        <w:spacing w:after="0" w:line="201" w:lineRule="exact"/>
        <w:rPr>
          <w:rFonts w:ascii="Arial" w:cs="Arial" w:eastAsia="Arial" w:hAnsi="Arial"/>
          <w:sz w:val="18"/>
          <w:szCs w:val="18"/>
          <w:color w:val="auto"/>
        </w:rPr>
      </w:pPr>
    </w:p>
    <w:p>
      <w:pPr>
        <w:ind w:left="660" w:firstLine="645"/>
        <w:spacing w:after="0" w:line="309" w:lineRule="auto"/>
        <w:tabs>
          <w:tab w:leader="none" w:pos="220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internal substantive laws of the State of Michigan, without giving effect to any principles of conflict of laws thereof.</w:t>
      </w:r>
    </w:p>
    <w:p>
      <w:pPr>
        <w:spacing w:after="0" w:line="196" w:lineRule="exact"/>
        <w:rPr>
          <w:rFonts w:ascii="Arial" w:cs="Arial" w:eastAsia="Arial" w:hAnsi="Arial"/>
          <w:sz w:val="18"/>
          <w:szCs w:val="18"/>
          <w:color w:val="auto"/>
        </w:rPr>
      </w:pPr>
    </w:p>
    <w:p>
      <w:pPr>
        <w:ind w:left="660" w:right="20" w:firstLine="645"/>
        <w:spacing w:after="0" w:line="309" w:lineRule="auto"/>
        <w:tabs>
          <w:tab w:leader="none" w:pos="220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Gentex to enforce at any time any provision of this Agreement shall in no way be construed to be a waiver of such provision or of any other provision hereof.</w:t>
      </w:r>
    </w:p>
    <w:p>
      <w:pPr>
        <w:spacing w:after="0" w:line="196" w:lineRule="exact"/>
        <w:rPr>
          <w:rFonts w:ascii="Arial" w:cs="Arial" w:eastAsia="Arial" w:hAnsi="Arial"/>
          <w:sz w:val="18"/>
          <w:szCs w:val="18"/>
          <w:color w:val="auto"/>
        </w:rPr>
      </w:pPr>
    </w:p>
    <w:p>
      <w:pPr>
        <w:ind w:left="660" w:right="20" w:firstLine="645"/>
        <w:spacing w:after="0" w:line="309" w:lineRule="auto"/>
        <w:tabs>
          <w:tab w:leader="none" w:pos="220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No Shareholder Rights Prior to Issuance of Shares</w:t>
      </w:r>
      <w:r>
        <w:rPr>
          <w:rFonts w:ascii="Arial" w:cs="Arial" w:eastAsia="Arial" w:hAnsi="Arial"/>
          <w:sz w:val="18"/>
          <w:szCs w:val="18"/>
          <w:color w:val="auto"/>
        </w:rPr>
        <w:t>. With respect to the Shares, Gentex will only have those rights as a shareholder as are set forth herein.</w:t>
      </w:r>
    </w:p>
    <w:p>
      <w:pPr>
        <w:spacing w:after="0" w:line="196" w:lineRule="exact"/>
        <w:rPr>
          <w:rFonts w:ascii="Arial" w:cs="Arial" w:eastAsia="Arial" w:hAnsi="Arial"/>
          <w:sz w:val="18"/>
          <w:szCs w:val="18"/>
          <w:color w:val="auto"/>
        </w:rPr>
      </w:pPr>
    </w:p>
    <w:p>
      <w:pPr>
        <w:ind w:left="2200" w:hanging="895"/>
        <w:spacing w:after="0"/>
        <w:tabs>
          <w:tab w:leader="none" w:pos="220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Detrimental Activity</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660" w:firstLine="969"/>
        <w:spacing w:after="0" w:line="300" w:lineRule="auto"/>
        <w:tabs>
          <w:tab w:leader="none" w:pos="2176" w:val="left"/>
        </w:tabs>
        <w:numPr>
          <w:ilvl w:val="2"/>
          <w:numId w:val="91"/>
        </w:numPr>
        <w:rPr>
          <w:rFonts w:ascii="Arial" w:cs="Arial" w:eastAsia="Arial" w:hAnsi="Arial"/>
          <w:sz w:val="18"/>
          <w:szCs w:val="18"/>
          <w:color w:val="auto"/>
        </w:rPr>
      </w:pPr>
      <w:r>
        <w:rPr>
          <w:rFonts w:ascii="Arial" w:cs="Arial" w:eastAsia="Arial" w:hAnsi="Arial"/>
          <w:sz w:val="18"/>
          <w:szCs w:val="18"/>
          <w:color w:val="auto"/>
        </w:rPr>
        <w:t>If the Board or the Compensation Committee determines that you engaged in any Detrimental Activity, then, promptly upon receiving notice of the Board's or the Compensation Committee's finding, you shall: (i) forfeit all rights under this Agreement to the extent it remains outstanding; (ii) return to Gentex all Shares acquired pursuant to this Agreement to the extent then still held by or for you; (iii) with respect to any Shares acquired pursuant to this Agreement that are no longer held by or for you, pay to Gentex the Market Value Per Share of such Shares on the date acquired.</w:t>
      </w:r>
    </w:p>
    <w:p>
      <w:pPr>
        <w:spacing w:after="0" w:line="205" w:lineRule="exact"/>
        <w:rPr>
          <w:rFonts w:ascii="Arial" w:cs="Arial" w:eastAsia="Arial" w:hAnsi="Arial"/>
          <w:sz w:val="18"/>
          <w:szCs w:val="18"/>
          <w:color w:val="auto"/>
        </w:rPr>
      </w:pPr>
    </w:p>
    <w:p>
      <w:pPr>
        <w:jc w:val="both"/>
        <w:ind w:left="660" w:firstLine="969"/>
        <w:spacing w:after="0" w:line="303" w:lineRule="auto"/>
        <w:tabs>
          <w:tab w:leader="none" w:pos="2176" w:val="left"/>
        </w:tabs>
        <w:numPr>
          <w:ilvl w:val="2"/>
          <w:numId w:val="91"/>
        </w:numPr>
        <w:rPr>
          <w:rFonts w:ascii="Arial" w:cs="Arial" w:eastAsia="Arial" w:hAnsi="Arial"/>
          <w:sz w:val="18"/>
          <w:szCs w:val="18"/>
          <w:color w:val="auto"/>
        </w:rPr>
      </w:pPr>
      <w:r>
        <w:rPr>
          <w:rFonts w:ascii="Arial" w:cs="Arial" w:eastAsia="Arial" w:hAnsi="Arial"/>
          <w:sz w:val="18"/>
          <w:szCs w:val="18"/>
          <w:color w:val="auto"/>
        </w:rPr>
        <w:t>To the extent that such Shares are not returned to or amounts are not paid to Gentex, Gentex may seek other remedies, including without limitation a set off of the amounts so payable to it against any amounts that may be owing from time to time by Gentex or a Subsidiary to you for any reason, including without limitation wages, deferred compensation or vacation pay.</w:t>
      </w:r>
    </w:p>
    <w:p>
      <w:pPr>
        <w:spacing w:after="0" w:line="201" w:lineRule="exact"/>
        <w:rPr>
          <w:rFonts w:ascii="Arial" w:cs="Arial" w:eastAsia="Arial" w:hAnsi="Arial"/>
          <w:sz w:val="18"/>
          <w:szCs w:val="18"/>
          <w:color w:val="auto"/>
        </w:rPr>
      </w:pPr>
    </w:p>
    <w:p>
      <w:pPr>
        <w:ind w:left="1540" w:hanging="654"/>
        <w:spacing w:after="0"/>
        <w:tabs>
          <w:tab w:leader="none" w:pos="15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shall mean (A) the intentional engagement in any acts or omissions constituting dishonesty, breach of a fiduciary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wrongdoing or misfeasance, in each case, in connection with your duties or otherwise during the course of your employment with Gentex or any Subsidiary; (B) the commission of a felony or the indictment for any felony, including, but not limited to, any felony involving fraud, embezzlement, moral turpitude or theft; (C) the intentional and wrongful damaging of property, contractual interests or business relationships of Gentex or any Subsidiary; (D) the intentional and wrongful disclosure of secret processes or confidential information of Gentex or any Subsidiary in violation of an agreement with or a policy of Gentex or a Subsidiary; (E) the continued failure to substantially perform your duties for Gentex or a Subsidiary; (F) current alcohol or prescription drug abuse affecting work performance; (G) current illegal use of drugs; or (H) any intentional conduct contrary to announced policies or practices of Gentex or any Subsidiary (including, but not limited to, those contained in Gentex's Code of Business Conduct and Ethics).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"Detrimental Activity" </w:t>
      </w:r>
      <w:r>
        <w:rPr>
          <w:rFonts w:ascii="Arial" w:cs="Arial" w:eastAsia="Arial" w:hAnsi="Arial"/>
          <w:sz w:val="18"/>
          <w:szCs w:val="18"/>
          <w:color w:val="auto"/>
        </w:rPr>
        <w:t>shall mean: (A) engaging in any activity of competition or solicitation prohibited by any noncompete or</w:t>
      </w:r>
      <w:r>
        <w:rPr>
          <w:rFonts w:ascii="Arial" w:cs="Arial" w:eastAsia="Arial" w:hAnsi="Arial"/>
          <w:sz w:val="18"/>
          <w:szCs w:val="18"/>
          <w:i w:val="1"/>
          <w:iCs w:val="1"/>
          <w:color w:val="auto"/>
        </w:rPr>
        <w:t xml:space="preserve"> </w:t>
      </w:r>
      <w:r>
        <w:rPr>
          <w:rFonts w:ascii="Arial" w:cs="Arial" w:eastAsia="Arial" w:hAnsi="Arial"/>
          <w:sz w:val="18"/>
          <w:szCs w:val="18"/>
          <w:color w:val="auto"/>
        </w:rPr>
        <w:t>nonsolicitation agreement between you and Gentex or a Subsidiary; (B) the disclosure to anyone outside Gentex or a Subsidiary, or the use in other than Gentex's or a Subsidiary's business, (i) without prior written authorization from Gentex, of any confidential, proprietary or trade secret information or material relating to the business of Gentex or its Subsidiaries and acquired by you during your employment or other service with Gentex or any of its Subsidiaries, or (ii) in violation of any covenant not to disclose set forth in any agreement between you and Gentex or a Subsidiary; (C) the (i) unreasonable failure or refusal to disclose promptly and to assign to Gentex or a Subsidiary upon request all right, title and interest in any invention or idea, patentable or not, made or conceived by you during your service with Gentex or any of its Subsidiaries and relating in any manner to the actual or anticipated business,</w:t>
      </w:r>
    </w:p>
    <w:p>
      <w:pPr>
        <w:sectPr>
          <w:pgSz w:w="11900" w:h="16838" w:orient="portrait"/>
          <w:cols w:equalWidth="0" w:num="1">
            <w:col w:w="11420"/>
          </w:cols>
          <w:pgMar w:left="240" w:top="625" w:right="239" w:bottom="1440" w:gutter="0" w:footer="0" w:header="0"/>
        </w:sectPr>
      </w:pPr>
    </w:p>
    <w:bookmarkStart w:id="101" w:name="page102"/>
    <w:bookmarkEnd w:id="101"/>
    <w:p>
      <w:pPr>
        <w:jc w:val="both"/>
        <w:spacing w:after="0" w:line="252" w:lineRule="auto"/>
        <w:rPr>
          <w:sz w:val="20"/>
          <w:szCs w:val="20"/>
          <w:color w:val="auto"/>
        </w:rPr>
      </w:pPr>
      <w:r>
        <w:rPr>
          <w:rFonts w:ascii="Arial" w:cs="Arial" w:eastAsia="Arial" w:hAnsi="Arial"/>
          <w:sz w:val="18"/>
          <w:szCs w:val="18"/>
          <w:color w:val="auto"/>
        </w:rPr>
        <w:t>research or development work of Gentex or any Subsidiary or the failure or refusal to do anything reasonably necessary to enable Gentex or any Subsidiary to secure a patent where appropriate in the United States or in other countries, or (ii) violation of any development and inventions provision set forth in any agreement between you and Gentex or a Subsidiary; (D) activity during your employment by Gentex or a Subsidiary that could form the basis of your termination for Cause; or (E) if you are or were an officer of Gentex, activity that the Board or the Compensation Committee determines entitles Gentex to seek recovery from an officer under any policy promulgated by the Board or the Compensation Committee as in effect on the date hereof.</w:t>
      </w:r>
    </w:p>
    <w:p>
      <w:pPr>
        <w:spacing w:after="0" w:line="1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shall mean a termination of employment under circumstances that would make you eligible to receive benefits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Gentex's long-term disability plan, as it may be in effect from time to time, or any successor plan, program, agreement or arrangement.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shall mean the occurrence of: without your consent, assignment of duties materially inconsistent with your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duties, and responsibilities with Gentex; a material reduction by Gentex in your annual base salary as then in effect (which is not applicable by employees generally); or a material breach by Gentex of this Agreement; provided, however, you provide Gentex written notice within thirty (30) days of such occasion and Gentex has not caused such breach.</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shall mean termination of employment (other than termination for Cause or due to death or Disability) at or after age 60</w:t>
      </w:r>
      <w:r>
        <w:rPr>
          <w:rFonts w:ascii="Arial" w:cs="Arial" w:eastAsia="Arial" w:hAnsi="Arial"/>
          <w:sz w:val="18"/>
          <w:szCs w:val="18"/>
          <w:i w:val="1"/>
          <w:iCs w:val="1"/>
          <w:color w:val="auto"/>
        </w:rPr>
        <w:t xml:space="preserve"> </w:t>
      </w:r>
      <w:r>
        <w:rPr>
          <w:rFonts w:ascii="Arial" w:cs="Arial" w:eastAsia="Arial" w:hAnsi="Arial"/>
          <w:sz w:val="18"/>
          <w:szCs w:val="18"/>
          <w:color w:val="auto"/>
        </w:rPr>
        <w:t>with at least 10 years of service with Gentex or a Subsidiary or at or after age 65, with at least 5 years of service with Gentex or a Subsidiary, in each case requiring six months advance written notice.</w:t>
      </w:r>
    </w:p>
    <w:p>
      <w:pPr>
        <w:sectPr>
          <w:pgSz w:w="11900" w:h="16838" w:orient="portrait"/>
          <w:cols w:equalWidth="0" w:num="1">
            <w:col w:w="11420"/>
          </w:cols>
          <w:pgMar w:left="240" w:top="598"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List of Gentex Corporation Subsidiaries</w:t>
      </w:r>
    </w:p>
    <w:p>
      <w:pPr>
        <w:spacing w:after="0" w:line="247" w:lineRule="exact"/>
        <w:rPr>
          <w:sz w:val="20"/>
          <w:szCs w:val="20"/>
          <w:color w:val="auto"/>
        </w:rPr>
      </w:pPr>
    </w:p>
    <w:p>
      <w:pPr>
        <w:ind w:left="328" w:hanging="328"/>
        <w:spacing w:after="0"/>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E.C. Aviation Services, Inc., a Michigan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Gentex Holdings, Inc., a Michigan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line="262" w:lineRule="auto"/>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Gentex GmbH, a German limited liability company, is a subsidiary 50% owned by Gentex Corporation and 50% owned by Gentex Holdings, Inc.</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Gentex Japan, Inc., a Japanese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Gentex Mirrors Ltd., a United Kingdom limited liability company,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Gentex France, SAS, a French simplified liability corporation, is a wholly-owned subsidiary of Gentex Corporation.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Gentex Technologies Korea Co., Ltd., a Korean limited stock company, is a wholly-owned subsidiary of Gentex Corporation.</w:t>
      </w:r>
    </w:p>
    <w:p>
      <w:pPr>
        <w:spacing w:after="0" w:line="225" w:lineRule="exact"/>
        <w:rPr>
          <w:rFonts w:ascii="Arial" w:cs="Arial" w:eastAsia="Arial" w:hAnsi="Arial"/>
          <w:sz w:val="18"/>
          <w:szCs w:val="18"/>
          <w:color w:val="auto"/>
        </w:rPr>
      </w:pPr>
    </w:p>
    <w:p>
      <w:pPr>
        <w:ind w:left="328" w:right="20" w:hanging="328"/>
        <w:spacing w:after="0" w:line="262" w:lineRule="auto"/>
        <w:tabs>
          <w:tab w:leader="none" w:pos="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Gentex (Shanghai) Electronics Technology Co., Inc., a Chinese limited liability company, is a wholly-owned subsidiary of Gentex Corporation.</w:t>
      </w:r>
    </w:p>
    <w:p>
      <w:pPr>
        <w:sectPr>
          <w:pgSz w:w="11900" w:h="16838" w:orient="portrait"/>
          <w:cols w:equalWidth="0" w:num="1">
            <w:col w:w="11088"/>
          </w:cols>
          <w:pgMar w:left="572" w:top="576" w:right="239" w:bottom="1440" w:gutter="0" w:footer="0" w:header="0"/>
        </w:sectPr>
      </w:pPr>
    </w:p>
    <w:bookmarkStart w:id="103" w:name="page104"/>
    <w:bookmarkEnd w:id="103"/>
    <w:p>
      <w:pPr>
        <w:ind w:left="714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w:t>
      </w:r>
    </w:p>
    <w:p>
      <w:pPr>
        <w:spacing w:after="0" w:line="225"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333-216273) pertaining to the Gentex Corporation Employee Stock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333-198468) pertaining to the Gentex Corporation Employee Stock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333-188893) pertaining to the 2013 Gentex Corporation Employee Stock Purchase Plan,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333-183412) pertaining to the Gentex Corporation 2012 Amended and Restated Nonemployee Director Stock Option Plan,</w:t>
      </w: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333-118213) pertaining to the Gentex Corporation Qualified Stock Option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333-105858) pertaining to the Gentex Corporation 2003 Employee Stock Purchase Plan,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333-101642) pertaining to the Gentex Corporation 2002 Nonemployee Director Stock Option Plan,</w:t>
      </w: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333-04661) pertaining to the Gentex Corporation Qualified Stock Option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Registration Statement (Form S-8 No. 333-65321) pertaining to the Gentex Corporation Qualified Stock Option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February 22, 2019, with respect to the consolidated financial statements of Gentex Corporation and subsidiaries and the effectiveness of internal control over financial reporting of Gentex Corporation and subsidiaries included in this Annual Report (Form 10-K) for the year ended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576"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25"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225"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89" w:val="left"/>
        </w:tabs>
        <w:numPr>
          <w:ilvl w:val="2"/>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83" w:val="left"/>
        </w:tabs>
        <w:numPr>
          <w:ilvl w:val="2"/>
          <w:numId w:val="9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99" w:val="left"/>
        </w:tabs>
        <w:numPr>
          <w:ilvl w:val="2"/>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1" w:lineRule="exact"/>
        <w:rPr>
          <w:rFonts w:ascii="Arial" w:cs="Arial" w:eastAsia="Arial" w:hAnsi="Arial"/>
          <w:sz w:val="18"/>
          <w:szCs w:val="18"/>
          <w:color w:val="auto"/>
        </w:rPr>
      </w:pPr>
    </w:p>
    <w:p>
      <w:pPr>
        <w:jc w:val="both"/>
        <w:ind w:left="660" w:firstLine="401"/>
        <w:spacing w:after="0" w:line="256" w:lineRule="auto"/>
        <w:tabs>
          <w:tab w:leader="none" w:pos="1292" w:val="left"/>
        </w:tabs>
        <w:numPr>
          <w:ilvl w:val="2"/>
          <w:numId w:val="95"/>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260" w:hanging="252"/>
        <w:spacing w:after="0" w:line="262" w:lineRule="auto"/>
        <w:tabs>
          <w:tab w:leader="none" w:pos="2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660" w:hanging="247"/>
        <w:spacing w:after="0" w:line="262" w:lineRule="auto"/>
        <w:tabs>
          <w:tab w:leader="none" w:pos="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247"/>
        <w:spacing w:after="0" w:line="262" w:lineRule="auto"/>
        <w:tabs>
          <w:tab w:leader="none" w:pos="62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2"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25" w:lineRule="exact"/>
        <w:rPr>
          <w:sz w:val="20"/>
          <w:szCs w:val="20"/>
          <w:color w:val="auto"/>
        </w:rPr>
      </w:pPr>
    </w:p>
    <w:p>
      <w:pPr>
        <w:ind w:left="200" w:hanging="192"/>
        <w:spacing w:after="0"/>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225" w:lineRule="exact"/>
        <w:rPr>
          <w:rFonts w:ascii="Arial" w:cs="Arial" w:eastAsia="Arial" w:hAnsi="Arial"/>
          <w:sz w:val="18"/>
          <w:szCs w:val="18"/>
          <w:color w:val="auto"/>
        </w:rPr>
      </w:pPr>
    </w:p>
    <w:p>
      <w:pPr>
        <w:jc w:val="both"/>
        <w:ind w:left="260" w:hanging="252"/>
        <w:spacing w:after="0" w:line="256" w:lineRule="auto"/>
        <w:tabs>
          <w:tab w:leader="none" w:pos="244"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1" w:lineRule="exact"/>
        <w:rPr>
          <w:rFonts w:ascii="Arial" w:cs="Arial" w:eastAsia="Arial" w:hAnsi="Arial"/>
          <w:sz w:val="18"/>
          <w:szCs w:val="18"/>
          <w:color w:val="auto"/>
        </w:rPr>
      </w:pPr>
    </w:p>
    <w:p>
      <w:pPr>
        <w:jc w:val="both"/>
        <w:ind w:left="260" w:hanging="252"/>
        <w:spacing w:after="0" w:line="256" w:lineRule="auto"/>
        <w:tabs>
          <w:tab w:leader="none" w:pos="21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3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0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697"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1" w:lineRule="exact"/>
        <w:rPr>
          <w:rFonts w:ascii="Arial" w:cs="Arial" w:eastAsia="Arial" w:hAnsi="Arial"/>
          <w:sz w:val="18"/>
          <w:szCs w:val="18"/>
          <w:color w:val="auto"/>
        </w:rPr>
      </w:pPr>
    </w:p>
    <w:p>
      <w:pPr>
        <w:jc w:val="both"/>
        <w:ind w:left="740" w:hanging="246"/>
        <w:spacing w:after="0" w:line="256" w:lineRule="auto"/>
        <w:tabs>
          <w:tab w:leader="none" w:pos="7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firstLine="8"/>
        <w:spacing w:after="0" w:line="262" w:lineRule="auto"/>
        <w:tabs>
          <w:tab w:leader="none" w:pos="20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740" w:firstLine="240"/>
        <w:spacing w:after="0" w:line="262" w:lineRule="auto"/>
        <w:tabs>
          <w:tab w:leader="none" w:pos="1193" w:val="left"/>
        </w:tabs>
        <w:numPr>
          <w:ilvl w:val="2"/>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740" w:firstLine="240"/>
        <w:spacing w:after="0" w:line="262" w:lineRule="auto"/>
        <w:tabs>
          <w:tab w:leader="none" w:pos="1193"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96" w:lineRule="exact"/>
        <w:rPr>
          <w:sz w:val="20"/>
          <w:szCs w:val="20"/>
          <w:color w:val="auto"/>
        </w:rPr>
      </w:pPr>
    </w:p>
    <w:p>
      <w:pPr>
        <w:ind w:left="260" w:hanging="252"/>
        <w:spacing w:after="0" w:line="262" w:lineRule="auto"/>
        <w:tabs>
          <w:tab w:leader="none" w:pos="32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2018, which this statement accompanies, fully complies with the requirements of Section 13(a) or 15(d) of the Securities Exchange Act of 1934; and</w:t>
      </w:r>
    </w:p>
    <w:p>
      <w:pPr>
        <w:spacing w:after="0" w:line="196" w:lineRule="exact"/>
        <w:rPr>
          <w:rFonts w:ascii="Arial" w:cs="Arial" w:eastAsia="Arial" w:hAnsi="Arial"/>
          <w:sz w:val="18"/>
          <w:szCs w:val="18"/>
          <w:color w:val="auto"/>
        </w:rPr>
      </w:pPr>
    </w:p>
    <w:p>
      <w:pPr>
        <w:ind w:left="260" w:hanging="252"/>
        <w:spacing w:after="0" w:line="262" w:lineRule="auto"/>
        <w:tabs>
          <w:tab w:leader="none" w:pos="28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of the year ended December 31, 2018,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lowerLetter"/>
      <w:start w:val="1"/>
    </w:lvl>
  </w:abstractNum>
  <w:abstractNum w:abstractNumId="1">
    <w:nsid w:val="579478FE"/>
    <w:multiLevelType w:val="hybridMultilevel"/>
    <w:lvl w:ilvl="0">
      <w:lvlJc w:val="left"/>
      <w:lvlText w:val="(%1)"/>
      <w:numFmt w:val="lowerLetter"/>
      <w:start w:val="2"/>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1)"/>
      <w:numFmt w:val="lowerLetter"/>
      <w:start w:val="4"/>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1)"/>
      <w:numFmt w:val="lowerLetter"/>
      <w:start w:val="1"/>
    </w:lvl>
  </w:abstractNum>
  <w:abstractNum w:abstractNumId="9">
    <w:nsid w:val="520EEDD1"/>
    <w:multiLevelType w:val="hybridMultilevel"/>
    <w:lvl w:ilvl="0">
      <w:lvlJc w:val="left"/>
      <w:lvlText w:val="%1"/>
      <w:numFmt w:val="lowerLetter"/>
      <w:start w:val="1"/>
    </w:lvl>
    <w:lvl w:ilvl="1">
      <w:lvlJc w:val="left"/>
      <w:lvlText w:val="(%2)"/>
      <w:numFmt w:val="lowerLetter"/>
      <w:start w:val="2"/>
    </w:lvl>
  </w:abstractNum>
  <w:abstractNum w:abstractNumId="10">
    <w:nsid w:val="374A3FE6"/>
    <w:multiLevelType w:val="hybridMultilevel"/>
    <w:lvl w:ilvl="0">
      <w:lvlJc w:val="left"/>
      <w:lvlText w:val="(%1)"/>
      <w:numFmt w:val="lowerLetter"/>
      <w:start w:val="3"/>
    </w:lvl>
    <w:lvl w:ilvl="1">
      <w:lvlJc w:val="left"/>
      <w:lvlText w:val="%2"/>
      <w:numFmt w:val="lowerLetter"/>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1)"/>
      <w:numFmt w:val="lowerLetter"/>
      <w:start w:val="1"/>
    </w:lvl>
    <w:lvl w:ilvl="1">
      <w:lvlJc w:val="left"/>
      <w:lvlText w:val="%2."/>
      <w:numFmt w:val="decimal"/>
      <w:start w:val="2"/>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2"/>
    </w:lvl>
  </w:abstractNum>
  <w:abstractNum w:abstractNumId="24">
    <w:nsid w:val="10233C99"/>
    <w:multiLevelType w:val="hybridMultilevel"/>
    <w:lvl w:ilvl="0">
      <w:lvlJc w:val="left"/>
      <w:lvlText w:val="(%1)"/>
      <w:numFmt w:val="decimal"/>
      <w:start w:val="3"/>
    </w:lvl>
  </w:abstractNum>
  <w:abstractNum w:abstractNumId="25">
    <w:nsid w:val="3F6AB60F"/>
    <w:multiLevelType w:val="hybridMultilevel"/>
    <w:lvl w:ilvl="0">
      <w:lvlJc w:val="left"/>
      <w:lvlText w:val="(%1)"/>
      <w:numFmt w:val="decimal"/>
      <w:start w:val="4"/>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5"/>
    </w:lvl>
    <w:lvl w:ilvl="1">
      <w:lvlJc w:val="left"/>
      <w:lvlText w:val="(%2)"/>
      <w:numFmt w:val="decimal"/>
      <w:start w:val="2"/>
    </w:lvl>
  </w:abstractNum>
  <w:abstractNum w:abstractNumId="28">
    <w:nsid w:val="77AE35EB"/>
    <w:multiLevelType w:val="hybridMultilevel"/>
    <w:lvl w:ilvl="0">
      <w:lvlJc w:val="left"/>
      <w:lvlText w:val="(%1)"/>
      <w:numFmt w:val="decimal"/>
      <w:start w:val="234"/>
    </w:lvl>
  </w:abstractNum>
  <w:abstractNum w:abstractNumId="29">
    <w:nsid w:val="579BE4F1"/>
    <w:multiLevelType w:val="hybridMultilevel"/>
    <w:lvl w:ilvl="0">
      <w:lvlJc w:val="left"/>
      <w:lvlText w:val="(%1)"/>
      <w:numFmt w:val="decimal"/>
      <w:start w:val="376"/>
    </w:lvl>
  </w:abstractNum>
  <w:abstractNum w:abstractNumId="30">
    <w:nsid w:val="310C50B3"/>
    <w:multiLevelType w:val="hybridMultilevel"/>
    <w:lvl w:ilvl="0">
      <w:lvlJc w:val="left"/>
      <w:lvlText w:val="(%1)"/>
      <w:numFmt w:val="decimal"/>
      <w:start w:val="5"/>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1)"/>
      <w:numFmt w:val="decimal"/>
      <w:start w:val="5"/>
    </w:lvl>
  </w:abstractNum>
  <w:abstractNum w:abstractNumId="33">
    <w:nsid w:val="25A70BF7"/>
    <w:multiLevelType w:val="hybridMultilevel"/>
    <w:lvl w:ilvl="0">
      <w:lvlJc w:val="left"/>
      <w:lvlText w:val="(%1)"/>
      <w:numFmt w:val="decimal"/>
      <w:start w:val="101"/>
    </w:lvl>
  </w:abstractNum>
  <w:abstractNum w:abstractNumId="34">
    <w:nsid w:val="1DBABF00"/>
    <w:multiLevelType w:val="hybridMultilevel"/>
    <w:lvl w:ilvl="0">
      <w:lvlJc w:val="left"/>
      <w:lvlText w:val="(%1)"/>
      <w:numFmt w:val="decimal"/>
      <w:start w:val="31"/>
    </w:lvl>
  </w:abstractNum>
  <w:abstractNum w:abstractNumId="35">
    <w:nsid w:val="4AD084E9"/>
    <w:multiLevelType w:val="hybridMultilevel"/>
    <w:lvl w:ilvl="0">
      <w:lvlJc w:val="left"/>
      <w:lvlText w:val="(%1)"/>
      <w:numFmt w:val="decimal"/>
      <w:start w:val="36"/>
    </w:lvl>
  </w:abstractNum>
  <w:abstractNum w:abstractNumId="36">
    <w:nsid w:val="1F48EAA1"/>
    <w:multiLevelType w:val="hybridMultilevel"/>
    <w:lvl w:ilvl="0">
      <w:lvlJc w:val="left"/>
      <w:lvlText w:val="(%1)"/>
      <w:numFmt w:val="decimal"/>
      <w:start w:val="12"/>
    </w:lvl>
  </w:abstractNum>
  <w:abstractNum w:abstractNumId="37">
    <w:nsid w:val="1381823A"/>
    <w:multiLevelType w:val="hybridMultilevel"/>
    <w:lvl w:ilvl="0">
      <w:lvlJc w:val="left"/>
      <w:lvlText w:val="(%1)"/>
      <w:numFmt w:val="decimal"/>
      <w:start w:val="5"/>
    </w:lvl>
  </w:abstractNum>
  <w:abstractNum w:abstractNumId="38">
    <w:nsid w:val="5DB70AE5"/>
    <w:multiLevelType w:val="hybridMultilevel"/>
    <w:lvl w:ilvl="0">
      <w:lvlJc w:val="left"/>
      <w:lvlText w:val="(%1)"/>
      <w:numFmt w:val="decimal"/>
      <w:start w:val="6"/>
    </w:lvl>
  </w:abstractNum>
  <w:abstractNum w:abstractNumId="39">
    <w:nsid w:val="100F8FCA"/>
    <w:multiLevelType w:val="hybridMultilevel"/>
    <w:lvl w:ilvl="0">
      <w:lvlJc w:val="left"/>
      <w:lvlText w:val="(%1)"/>
      <w:numFmt w:val="decimal"/>
      <w:start w:val="7"/>
    </w:lvl>
  </w:abstractNum>
  <w:abstractNum w:abstractNumId="40">
    <w:nsid w:val="6590700B"/>
    <w:multiLevelType w:val="hybridMultilevel"/>
    <w:lvl w:ilvl="0">
      <w:lvlJc w:val="left"/>
      <w:lvlText w:val="(%1)"/>
      <w:numFmt w:val="decimal"/>
      <w:start w:val="9"/>
    </w:lvl>
  </w:abstractNum>
  <w:abstractNum w:abstractNumId="41">
    <w:nsid w:val="15014ACB"/>
    <w:multiLevelType w:val="hybridMultilevel"/>
    <w:lvl w:ilvl="0">
      <w:lvlJc w:val="left"/>
      <w:lvlText w:val="(%1)"/>
      <w:numFmt w:val="decimal"/>
      <w:start w:val="10"/>
    </w:lvl>
  </w:abstractNum>
  <w:abstractNum w:abstractNumId="42">
    <w:nsid w:val="5F5E7FD0"/>
    <w:multiLevelType w:val="hybridMultilevel"/>
    <w:lvl w:ilvl="0">
      <w:lvlJc w:val="left"/>
      <w:lvlText w:val="(%1)"/>
      <w:numFmt w:val="decimal"/>
      <w:start w:val="11"/>
    </w:lvl>
  </w:abstractNum>
  <w:abstractNum w:abstractNumId="43">
    <w:nsid w:val="98A3148"/>
    <w:multiLevelType w:val="hybridMultilevel"/>
    <w:lvl w:ilvl="0">
      <w:lvlJc w:val="left"/>
      <w:lvlText w:val="%1"/>
      <w:numFmt w:val="decimal"/>
      <w:start w:val="21"/>
    </w:lvl>
  </w:abstractNum>
  <w:abstractNum w:abstractNumId="44">
    <w:nsid w:val="799D0247"/>
    <w:multiLevelType w:val="hybridMultilevel"/>
    <w:lvl w:ilvl="0">
      <w:lvlJc w:val="left"/>
      <w:lvlText w:val="%1"/>
      <w:numFmt w:val="decimal"/>
      <w:start w:val="32"/>
    </w:lvl>
  </w:abstractNum>
  <w:abstractNum w:abstractNumId="45">
    <w:nsid w:val="6B94764"/>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46">
    <w:nsid w:val="42C296BD"/>
    <w:multiLevelType w:val="hybridMultilevel"/>
    <w:lvl w:ilvl="0">
      <w:lvlJc w:val="left"/>
      <w:lvlText w:val="%1."/>
      <w:numFmt w:val="lowerRoman"/>
      <w:start w:val="3"/>
    </w:lvl>
  </w:abstractNum>
  <w:abstractNum w:abstractNumId="47">
    <w:nsid w:val="168E121F"/>
    <w:multiLevelType w:val="hybridMultilevel"/>
    <w:lvl w:ilvl="0">
      <w:lvlJc w:val="left"/>
      <w:lvlText w:val="%1."/>
      <w:numFmt w:val="upperLetter"/>
      <w:start w:val="9"/>
    </w:lvl>
  </w:abstractNum>
  <w:abstractNum w:abstractNumId="48">
    <w:nsid w:val="1EBA5D23"/>
    <w:multiLevelType w:val="hybridMultilevel"/>
    <w:lvl w:ilvl="0">
      <w:lvlJc w:val="left"/>
      <w:lvlText w:val="%1."/>
      <w:numFmt w:val="upperLetter"/>
      <w:start w:val="13"/>
    </w:lvl>
  </w:abstractNum>
  <w:abstractNum w:abstractNumId="49">
    <w:nsid w:val="661E3F1E"/>
    <w:multiLevelType w:val="hybridMultilevel"/>
    <w:lvl w:ilvl="0">
      <w:lvlJc w:val="left"/>
      <w:lvlText w:val="%1."/>
      <w:numFmt w:val="upperLetter"/>
      <w:start w:val="25"/>
    </w:lvl>
  </w:abstractNum>
  <w:abstractNum w:abstractNumId="50">
    <w:nsid w:val="5DC79EA8"/>
    <w:multiLevelType w:val="hybridMultilevel"/>
    <w:lvl w:ilvl="0">
      <w:lvlJc w:val="left"/>
      <w:lvlText w:val="%1."/>
      <w:numFmt w:val="upperLetter"/>
      <w:start w:val="27"/>
    </w:lvl>
  </w:abstractNum>
  <w:abstractNum w:abstractNumId="51">
    <w:nsid w:val="540A471C"/>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52">
    <w:nsid w:val="7BD3EE7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53">
    <w:nsid w:val="51D9C564"/>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54">
    <w:nsid w:val="613EFDC5"/>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55">
    <w:nsid w:val="BF72B14"/>
    <w:multiLevelType w:val="hybridMultilevel"/>
    <w:lvl w:ilvl="0">
      <w:lvlJc w:val="left"/>
      <w:lvlText w:val="%1"/>
      <w:numFmt w:val="decimal"/>
      <w:start w:val="1"/>
    </w:lvl>
    <w:lvl w:ilvl="1">
      <w:lvlJc w:val="left"/>
      <w:lvlText w:val="%2."/>
      <w:numFmt w:val="upperLetter"/>
      <w:start w:val="4"/>
    </w:lvl>
  </w:abstractNum>
  <w:abstractNum w:abstractNumId="56">
    <w:nsid w:val="11447B73"/>
    <w:multiLevelType w:val="hybridMultilevel"/>
    <w:lvl w:ilvl="0">
      <w:lvlJc w:val="left"/>
      <w:lvlText w:val="%1."/>
      <w:numFmt w:val="decimal"/>
      <w:start w:val="5"/>
    </w:lvl>
    <w:lvl w:ilvl="1">
      <w:lvlJc w:val="left"/>
      <w:lvlText w:val="%2."/>
      <w:numFmt w:val="upperLetter"/>
      <w:start w:val="1"/>
    </w:lvl>
  </w:abstractNum>
  <w:abstractNum w:abstractNumId="57">
    <w:nsid w:val="42963E5A"/>
    <w:multiLevelType w:val="hybridMultilevel"/>
    <w:lvl w:ilvl="0">
      <w:lvlJc w:val="left"/>
      <w:lvlText w:val="%1"/>
      <w:numFmt w:val="upperLetter"/>
      <w:start w:val="1"/>
    </w:lvl>
    <w:lvl w:ilvl="1">
      <w:lvlJc w:val="left"/>
      <w:lvlText w:val="%2."/>
      <w:numFmt w:val="lowerRoman"/>
      <w:start w:val="1"/>
    </w:lvl>
  </w:abstractNum>
  <w:abstractNum w:abstractNumId="58">
    <w:nsid w:val="A0382C5"/>
    <w:multiLevelType w:val="hybridMultilevel"/>
    <w:lvl w:ilvl="0">
      <w:lvlJc w:val="left"/>
      <w:lvlText w:val="%1."/>
      <w:numFmt w:val="upperLetter"/>
      <w:start w:val="5"/>
    </w:lvl>
    <w:lvl w:ilvl="1">
      <w:lvlJc w:val="left"/>
      <w:lvlText w:val="%2."/>
      <w:numFmt w:val="lowerRoman"/>
      <w:start w:val="1"/>
    </w:lvl>
  </w:abstractNum>
  <w:abstractNum w:abstractNumId="59">
    <w:nsid w:val="8F2B15E"/>
    <w:multiLevelType w:val="hybridMultilevel"/>
    <w:lvl w:ilvl="0">
      <w:lvlJc w:val="left"/>
      <w:lvlText w:val="%1"/>
      <w:numFmt w:val="upperLetter"/>
      <w:start w:val="1"/>
    </w:lvl>
    <w:lvl w:ilvl="1">
      <w:lvlJc w:val="left"/>
      <w:lvlText w:val="%2."/>
      <w:numFmt w:val="lowerRoman"/>
      <w:start w:val="3"/>
    </w:lvl>
  </w:abstractNum>
  <w:abstractNum w:abstractNumId="60">
    <w:nsid w:val="1A32234B"/>
    <w:multiLevelType w:val="hybridMultilevel"/>
    <w:lvl w:ilvl="0">
      <w:lvlJc w:val="left"/>
      <w:lvlText w:val="%1."/>
      <w:numFmt w:val="upperLetter"/>
      <w:start w:val="10"/>
    </w:lvl>
    <w:lvl w:ilvl="1">
      <w:lvlJc w:val="left"/>
      <w:lvlText w:val="%2"/>
      <w:numFmt w:val="lowerRoman"/>
      <w:start w:val="1"/>
    </w:lvl>
  </w:abstractNum>
  <w:abstractNum w:abstractNumId="61">
    <w:nsid w:val="3B0FD379"/>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62">
    <w:nsid w:val="68EB2F6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63">
    <w:nsid w:val="4962813B"/>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64">
    <w:nsid w:val="60B6DF70"/>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65">
    <w:nsid w:val="6A5EE64"/>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66">
    <w:nsid w:val="14330624"/>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1"/>
    </w:lvl>
  </w:abstractNum>
  <w:abstractNum w:abstractNumId="67">
    <w:nsid w:val="7FFFCA11"/>
    <w:multiLevelType w:val="hybridMultilevel"/>
    <w:lvl w:ilvl="0">
      <w:lvlJc w:val="left"/>
      <w:lvlText w:val="%1."/>
      <w:numFmt w:val="upperLetter"/>
      <w:start w:val="2"/>
    </w:lvl>
  </w:abstractNum>
  <w:abstractNum w:abstractNumId="68">
    <w:nsid w:val="1A27709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9">
    <w:nsid w:val="71EA1109"/>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70">
    <w:nsid w:val="100F59DC"/>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71">
    <w:nsid w:val="7FB7E0AA"/>
    <w:multiLevelType w:val="hybridMultilevel"/>
    <w:lvl w:ilvl="0">
      <w:lvlJc w:val="left"/>
      <w:lvlText w:val="%1."/>
      <w:numFmt w:val="decimal"/>
      <w:start w:val="11"/>
    </w:lvl>
    <w:lvl w:ilvl="1">
      <w:lvlJc w:val="left"/>
      <w:lvlText w:val="%2."/>
      <w:numFmt w:val="upperLetter"/>
      <w:start w:val="1"/>
    </w:lvl>
  </w:abstractNum>
  <w:abstractNum w:abstractNumId="72">
    <w:nsid w:val="6EB5BD4"/>
    <w:multiLevelType w:val="hybridMultilevel"/>
    <w:lvl w:ilvl="0">
      <w:lvlJc w:val="left"/>
      <w:lvlText w:val="%1."/>
      <w:numFmt w:val="decimal"/>
      <w:start w:val="14"/>
    </w:lvl>
    <w:lvl w:ilvl="1">
      <w:lvlJc w:val="left"/>
      <w:lvlText w:val="%2."/>
      <w:numFmt w:val="upperLetter"/>
      <w:start w:val="1"/>
    </w:lvl>
  </w:abstractNum>
  <w:abstractNum w:abstractNumId="73">
    <w:nsid w:val="6F6DD9AC"/>
    <w:multiLevelType w:val="hybridMultilevel"/>
    <w:lvl w:ilvl="0">
      <w:lvlJc w:val="left"/>
      <w:lvlText w:val="%1."/>
      <w:numFmt w:val="decimal"/>
      <w:start w:val="15"/>
    </w:lvl>
    <w:lvl w:ilvl="1">
      <w:lvlJc w:val="left"/>
      <w:lvlText w:val="%2."/>
      <w:numFmt w:val="upperLetter"/>
      <w:start w:val="1"/>
    </w:lvl>
  </w:abstractNum>
  <w:abstractNum w:abstractNumId="74">
    <w:nsid w:val="94211F2"/>
    <w:multiLevelType w:val="hybridMultilevel"/>
    <w:lvl w:ilvl="0">
      <w:lvlJc w:val="left"/>
      <w:lvlText w:val="%1."/>
      <w:numFmt w:val="decimal"/>
      <w:start w:val="17"/>
    </w:lvl>
    <w:lvl w:ilvl="1">
      <w:lvlJc w:val="left"/>
      <w:lvlText w:val="%2."/>
      <w:numFmt w:val="upperLetter"/>
      <w:start w:val="1"/>
    </w:lvl>
  </w:abstractNum>
  <w:abstractNum w:abstractNumId="75">
    <w:nsid w:val="885E1B"/>
    <w:multiLevelType w:val="hybridMultilevel"/>
    <w:lvl w:ilvl="0">
      <w:lvlJc w:val="left"/>
      <w:lvlText w:val="%1."/>
      <w:numFmt w:val="decimal"/>
      <w:start w:val="22"/>
    </w:lvl>
    <w:lvl w:ilvl="1">
      <w:lvlJc w:val="left"/>
      <w:lvlText w:val="%2."/>
      <w:numFmt w:val="upperLetter"/>
      <w:start w:val="1"/>
    </w:lvl>
  </w:abstractNum>
  <w:abstractNum w:abstractNumId="76">
    <w:nsid w:val="76272110"/>
    <w:multiLevelType w:val="hybridMultilevel"/>
    <w:lvl w:ilvl="0">
      <w:lvlJc w:val="left"/>
      <w:lvlText w:val="%1."/>
      <w:numFmt w:val="upperLetter"/>
      <w:start w:val="8"/>
    </w:lvl>
  </w:abstractNum>
  <w:abstractNum w:abstractNumId="77">
    <w:nsid w:val="4C04A8AF"/>
    <w:multiLevelType w:val="hybridMultilevel"/>
    <w:lvl w:ilvl="0">
      <w:lvlJc w:val="left"/>
      <w:lvlText w:val="%1."/>
      <w:numFmt w:val="decimal"/>
      <w:start w:val="1"/>
    </w:lvl>
    <w:lvl w:ilvl="1">
      <w:lvlJc w:val="left"/>
      <w:lvlText w:val="%2."/>
      <w:numFmt w:val="lowerLetter"/>
      <w:start w:val="1"/>
    </w:lvl>
  </w:abstractNum>
  <w:abstractNum w:abstractNumId="78">
    <w:nsid w:val="1716703B"/>
    <w:multiLevelType w:val="hybridMultilevel"/>
    <w:lvl w:ilvl="0">
      <w:lvlJc w:val="left"/>
      <w:lvlText w:val="(%1)"/>
      <w:numFmt w:val="lowerRoman"/>
      <w:start w:val="1"/>
    </w:lvl>
  </w:abstractNum>
  <w:abstractNum w:abstractNumId="79">
    <w:nsid w:val="14E17E33"/>
    <w:multiLevelType w:val="hybridMultilevel"/>
    <w:lvl w:ilvl="0">
      <w:lvlJc w:val="left"/>
      <w:lvlText w:val="%1"/>
      <w:numFmt w:val="decimal"/>
      <w:start w:val="1"/>
    </w:lvl>
    <w:lvl w:ilvl="1">
      <w:lvlJc w:val="left"/>
      <w:lvlText w:val="(%2)"/>
      <w:numFmt w:val="lowerRoman"/>
      <w:start w:val="4"/>
    </w:lvl>
  </w:abstractNum>
  <w:abstractNum w:abstractNumId="80">
    <w:nsid w:val="3222E7CD"/>
    <w:multiLevelType w:val="hybridMultilevel"/>
    <w:lvl w:ilvl="0">
      <w:lvlJc w:val="left"/>
      <w:lvlText w:val="%1."/>
      <w:numFmt w:val="decimal"/>
      <w:start w:val="6"/>
    </w:lvl>
    <w:lvl w:ilvl="1">
      <w:lvlJc w:val="left"/>
      <w:lvlText w:val="%2"/>
      <w:numFmt w:val="lowerRoman"/>
      <w:start w:val="1"/>
    </w:lvl>
  </w:abstractNum>
  <w:abstractNum w:abstractNumId="81">
    <w:nsid w:val="74DE0EE3"/>
    <w:multiLevelType w:val="hybridMultilevel"/>
    <w:lvl w:ilvl="0">
      <w:lvlJc w:val="left"/>
      <w:lvlText w:val="%1."/>
      <w:numFmt w:val="decimal"/>
      <w:start w:val="1"/>
    </w:lvl>
    <w:lvl w:ilvl="1">
      <w:lvlJc w:val="left"/>
      <w:lvlText w:val="(%2)"/>
      <w:numFmt w:val="lowerLetter"/>
      <w:start w:val="1"/>
    </w:lvl>
  </w:abstractNum>
  <w:abstractNum w:abstractNumId="82">
    <w:nsid w:val="68EBC550"/>
    <w:multiLevelType w:val="hybridMultilevel"/>
    <w:lvl w:ilvl="0">
      <w:lvlJc w:val="left"/>
      <w:lvlText w:val="%1."/>
      <w:numFmt w:val="decimal"/>
      <w:start w:val="3"/>
    </w:lvl>
    <w:lvl w:ilvl="1">
      <w:lvlJc w:val="left"/>
      <w:lvlText w:val="(%2)"/>
      <w:numFmt w:val="lowerLetter"/>
      <w:start w:val="1"/>
    </w:lvl>
  </w:abstractNum>
  <w:abstractNum w:abstractNumId="83">
    <w:nsid w:val="2DF6D648"/>
    <w:multiLevelType w:val="hybridMultilevel"/>
    <w:lvl w:ilvl="0">
      <w:lvlJc w:val="left"/>
      <w:lvlText w:val="%1"/>
      <w:numFmt w:val="decimal"/>
      <w:start w:val="1"/>
    </w:lvl>
    <w:lvl w:ilvl="1">
      <w:lvlJc w:val="left"/>
      <w:lvlText w:val="%2."/>
      <w:numFmt w:val="decimal"/>
      <w:start w:val="9"/>
    </w:lvl>
  </w:abstractNum>
  <w:abstractNum w:abstractNumId="84">
    <w:nsid w:val="46B7D447"/>
    <w:multiLevelType w:val="hybridMultilevel"/>
    <w:lvl w:ilvl="0">
      <w:lvlJc w:val="left"/>
      <w:lvlText w:val="(%1)"/>
      <w:numFmt w:val="decimal"/>
      <w:start w:val="1"/>
    </w:lvl>
    <w:lvl w:ilvl="1">
      <w:lvlJc w:val="left"/>
      <w:lvlText w:val="%2."/>
      <w:numFmt w:val="decimal"/>
      <w:start w:val="12"/>
    </w:lvl>
  </w:abstractNum>
  <w:abstractNum w:abstractNumId="85">
    <w:nsid w:val="4A2AC315"/>
    <w:multiLevelType w:val="hybridMultilevel"/>
    <w:lvl w:ilvl="0">
      <w:lvlJc w:val="left"/>
      <w:lvlText w:val="%1."/>
      <w:numFmt w:val="decimal"/>
      <w:start w:val="17"/>
    </w:lvl>
    <w:lvl w:ilvl="1">
      <w:lvlJc w:val="left"/>
      <w:lvlText w:val="(%2)"/>
      <w:numFmt w:val="lowerLetter"/>
      <w:start w:val="1"/>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3"/>
    </w:lvl>
  </w:abstractNum>
  <w:abstractNum w:abstractNumId="88">
    <w:nsid w:val="CC1016F"/>
    <w:multiLevelType w:val="hybridMultilevel"/>
    <w:lvl w:ilvl="0">
      <w:lvlJc w:val="left"/>
      <w:lvlText w:val="%1"/>
      <w:numFmt w:val="upperLetter"/>
      <w:start w:val="1"/>
    </w:lvl>
    <w:lvl w:ilvl="1">
      <w:lvlJc w:val="left"/>
      <w:lvlText w:val="%2."/>
      <w:numFmt w:val="decimal"/>
      <w:start w:val="9"/>
    </w:lvl>
  </w:abstractNum>
  <w:abstractNum w:abstractNumId="89">
    <w:nsid w:val="43F18422"/>
    <w:multiLevelType w:val="hybridMultilevel"/>
    <w:lvl w:ilvl="0">
      <w:lvlJc w:val="left"/>
      <w:lvlText w:val="(%1)"/>
      <w:numFmt w:val="upperLetter"/>
      <w:start w:val="2"/>
    </w:lvl>
    <w:lvl w:ilvl="1">
      <w:lvlJc w:val="left"/>
      <w:lvlText w:val="%2."/>
      <w:numFmt w:val="decimal"/>
      <w:start w:val="11"/>
    </w:lvl>
  </w:abstractNum>
  <w:abstractNum w:abstractNumId="90">
    <w:nsid w:val="60EF0119"/>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91">
    <w:nsid w:val="26F324BA"/>
    <w:multiLevelType w:val="hybridMultilevel"/>
    <w:lvl w:ilvl="0">
      <w:lvlJc w:val="left"/>
      <w:lvlText w:val="%1."/>
      <w:numFmt w:val="decimal"/>
      <w:start w:val="24"/>
    </w:lvl>
    <w:lvl w:ilvl="1">
      <w:lvlJc w:val="left"/>
      <w:lvlText w:val="%2"/>
      <w:numFmt w:val="decimal"/>
      <w:start w:val="1"/>
    </w:lvl>
    <w:lvl w:ilvl="2">
      <w:lvlJc w:val="left"/>
      <w:lvlText w:val="%3"/>
      <w:numFmt w:val="lowerLetter"/>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jpeg"/><Relationship Id="rId53" Type="http://schemas.openxmlformats.org/officeDocument/2006/relationships/hyperlink" Target="http://www.sec.gov/Archives/edgar/data/355811/000095012404005224/k88664exv3wxay.txt" TargetMode="External"/><Relationship Id="rId54" Type="http://schemas.openxmlformats.org/officeDocument/2006/relationships/hyperlink" Target="http://www.sec.gov/Archives/edgar/data/355811/000119312512242911/d356452dex31i.htm" TargetMode="External"/><Relationship Id="rId55" Type="http://schemas.openxmlformats.org/officeDocument/2006/relationships/hyperlink" Target="http://www.sec.gov/Archives/edgar/data/355811/000119312514123458/d698646ddef14a.htm" TargetMode="External"/><Relationship Id="rId56" Type="http://schemas.openxmlformats.org/officeDocument/2006/relationships/hyperlink" Target="http://www.sec.gov/Archives/edgar/data/355811/000095012403001517/k76699exv3wxbyx1y.txt" TargetMode="External"/><Relationship Id="rId57" Type="http://schemas.openxmlformats.org/officeDocument/2006/relationships/hyperlink" Target="http://www.sec.gov/Archives/edgar/data/355811/000092604412000006/gentex8k_021612bylaws.htm" TargetMode="External"/><Relationship Id="rId58" Type="http://schemas.openxmlformats.org/officeDocument/2006/relationships/hyperlink" Target="http://www.sec.gov/Archives/edgar/data/355811/000120677404000283/d14250.htm" TargetMode="External"/><Relationship Id="rId59" Type="http://schemas.openxmlformats.org/officeDocument/2006/relationships/hyperlink" Target="http://www.sec.gov/Archives/edgar/data/355811/000120677405000508/gb910053.htm" TargetMode="External"/><Relationship Id="rId60" Type="http://schemas.openxmlformats.org/officeDocument/2006/relationships/hyperlink" Target="http://www.sec.gov/Archives/edgar/data/355811/000095012405006042/k99343exv10wxbyx3y.txt" TargetMode="External"/><Relationship Id="rId61" Type="http://schemas.openxmlformats.org/officeDocument/2006/relationships/hyperlink" Target="http://www.sec.gov/Archives/edgar/data/355811/000095012401500533/k61926ex10-b2.txt" TargetMode="External"/><Relationship Id="rId62" Type="http://schemas.openxmlformats.org/officeDocument/2006/relationships/hyperlink" Target="http://www.sec.gov/Archives/edgar/data/355811/000095013408013934/k34057exv10wxbyx5y.txt" TargetMode="External"/><Relationship Id="rId63" Type="http://schemas.openxmlformats.org/officeDocument/2006/relationships/hyperlink" Target="http://www.sec.gov/Archives/edgar/data/355811/000095012404005224/k88664exv10wxbyx4y.txt" TargetMode="External"/><Relationship Id="rId64" Type="http://schemas.openxmlformats.org/officeDocument/2006/relationships/hyperlink" Target="http://www.sec.gov/Archives/edgar/data/355811/000095012402001494/k69165ex10-b4.txt" TargetMode="External"/><Relationship Id="rId65" Type="http://schemas.openxmlformats.org/officeDocument/2006/relationships/hyperlink" Target="http://www.sec.gov/Archives/edgar/data/355811/000095012404005224/k88664exv10wxbyx6y.txt" TargetMode="External"/><Relationship Id="rId66" Type="http://schemas.openxmlformats.org/officeDocument/2006/relationships/hyperlink" Target="http://www.sec.gov/Archives/edgar/data/355811/000119312512330090/d387140dex10b10.htm" TargetMode="External"/><Relationship Id="rId67" Type="http://schemas.openxmlformats.org/officeDocument/2006/relationships/hyperlink" Target="http://www.sec.gov/Archives/edgar/data/355811/000119312512330090/d387140dex10b11.htm" TargetMode="External"/><Relationship Id="rId68" Type="http://schemas.openxmlformats.org/officeDocument/2006/relationships/hyperlink" Target="http://www.sec.gov/Archives/edgar/data/355811/000095012402003308/k72384exv10wxey.txt" TargetMode="External"/><Relationship Id="rId69" Type="http://schemas.openxmlformats.org/officeDocument/2006/relationships/hyperlink" Target="http://www.sec.gov/Archives/edgar/data/355811/000119312513389308/d605768dex101.htm" TargetMode="External"/><Relationship Id="rId70" Type="http://schemas.openxmlformats.org/officeDocument/2006/relationships/hyperlink" Target="http://www.sec.gov/Archives/edgar/data/355811/000035581114000030/gntx06302014-exx103.htm" TargetMode="External"/><Relationship Id="rId71" Type="http://schemas.openxmlformats.org/officeDocument/2006/relationships/hyperlink" Target="http://www.sec.gov/Archives/edgar/data/355811/000035581114000030/gntx06302014-exx105.htm" TargetMode="External"/><Relationship Id="rId72" Type="http://schemas.openxmlformats.org/officeDocument/2006/relationships/hyperlink" Target="http://www.sec.gov/Archives/edgar/data/355811/000035581114000049/gntx09302014ex101.htm" TargetMode="External"/><Relationship Id="rId73" Type="http://schemas.openxmlformats.org/officeDocument/2006/relationships/hyperlink" Target="http://www.sec.gov/Archives/edgar/data/355811/000035581115000018/gentexproxystatement2015.htm" TargetMode="External"/><Relationship Id="rId74" Type="http://schemas.openxmlformats.org/officeDocument/2006/relationships/hyperlink" Target="http://www.sec.gov/Archives/edgar/data/355811/000035581118000009/gntx12312017-ex1019.htm" TargetMode="External"/><Relationship Id="rId75" Type="http://schemas.openxmlformats.org/officeDocument/2006/relationships/hyperlink" Target="http://www.sec.gov/Archives/edgar/data/355811/000035581118000009/gntx12312017-ex1020.htm" TargetMode="External"/><Relationship Id="rId76" Type="http://schemas.openxmlformats.org/officeDocument/2006/relationships/hyperlink" Target="http://www.sec.gov/Archives/edgar/data/355811/000035581118000009/gntx12312017-ex1021.htm" TargetMode="External"/><Relationship Id="rId77" Type="http://schemas.openxmlformats.org/officeDocument/2006/relationships/hyperlink" Target="http://www.sec.gov/Archives/edgar/data/355811/000035581118000009/gntx12312017-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2019-12-28T16:21:36Z</dcterms:created>
  <dcterms:modified xsi:type="dcterms:W3CDTF">2019-12-28T16:21:36Z</dcterms:modified>
</cp:coreProperties>
</file>