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4" w:lineRule="exact"/>
        <w:rPr>
          <w:sz w:val="24"/>
          <w:szCs w:val="24"/>
          <w:color w:val="auto"/>
        </w:rPr>
      </w:pPr>
    </w:p>
    <w:p>
      <w:pPr>
        <w:ind w:left="720" w:hanging="694"/>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June 30, 2019 or</w:t>
      </w:r>
    </w:p>
    <w:p>
      <w:pPr>
        <w:spacing w:after="0" w:line="300"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6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440" w:type="dxa"/>
            <w:vAlign w:val="bottom"/>
            <w:gridSpan w:val="5"/>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34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4"/>
        </w:trPr>
        <w:tc>
          <w:tcPr>
            <w:tcW w:w="2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00" w:type="dxa"/>
            <w:vAlign w:val="bottom"/>
            <w:gridSpan w:val="3"/>
          </w:tcPr>
          <w:p>
            <w:pPr>
              <w:jc w:val="center"/>
              <w:ind w:right="362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41"/>
        </w:trPr>
        <w:tc>
          <w:tcPr>
            <w:tcW w:w="2460" w:type="dxa"/>
            <w:vAlign w:val="bottom"/>
          </w:tcPr>
          <w:p>
            <w:pPr>
              <w:spacing w:after="0"/>
              <w:rPr>
                <w:sz w:val="20"/>
                <w:szCs w:val="20"/>
                <w:color w:val="auto"/>
              </w:rPr>
            </w:pPr>
          </w:p>
        </w:tc>
        <w:tc>
          <w:tcPr>
            <w:tcW w:w="1980" w:type="dxa"/>
            <w:vAlign w:val="bottom"/>
            <w:gridSpan w:val="4"/>
          </w:tcPr>
          <w:p>
            <w:pPr>
              <w:jc w:val="center"/>
              <w:ind w:right="1128"/>
              <w:spacing w:after="0"/>
              <w:rPr>
                <w:sz w:val="20"/>
                <w:szCs w:val="20"/>
                <w:color w:val="auto"/>
              </w:rPr>
            </w:pPr>
            <w:r>
              <w:rPr>
                <w:rFonts w:ascii="Arial" w:cs="Arial" w:eastAsia="Arial" w:hAnsi="Arial"/>
                <w:sz w:val="18"/>
                <w:szCs w:val="18"/>
                <w:b w:val="1"/>
                <w:bCs w:val="1"/>
                <w:color w:val="auto"/>
                <w:w w:val="99"/>
              </w:rPr>
              <w:t>Michigan</w:t>
            </w:r>
          </w:p>
        </w:tc>
        <w:tc>
          <w:tcPr>
            <w:tcW w:w="2240" w:type="dxa"/>
            <w:vAlign w:val="bottom"/>
          </w:tcPr>
          <w:p>
            <w:pPr>
              <w:spacing w:after="0"/>
              <w:rPr>
                <w:sz w:val="20"/>
                <w:szCs w:val="20"/>
                <w:color w:val="auto"/>
              </w:rPr>
            </w:pPr>
          </w:p>
        </w:tc>
        <w:tc>
          <w:tcPr>
            <w:tcW w:w="4740" w:type="dxa"/>
            <w:vAlign w:val="bottom"/>
          </w:tcPr>
          <w:p>
            <w:pPr>
              <w:jc w:val="center"/>
              <w:ind w:right="863"/>
              <w:spacing w:after="0"/>
              <w:rPr>
                <w:sz w:val="20"/>
                <w:szCs w:val="20"/>
                <w:color w:val="auto"/>
              </w:rPr>
            </w:pPr>
            <w:r>
              <w:rPr>
                <w:rFonts w:ascii="Arial" w:cs="Arial" w:eastAsia="Arial" w:hAnsi="Arial"/>
                <w:sz w:val="18"/>
                <w:szCs w:val="18"/>
                <w:b w:val="1"/>
                <w:bCs w:val="1"/>
                <w:color w:val="auto"/>
                <w:w w:val="99"/>
              </w:rPr>
              <w:t>38-2030505</w:t>
            </w:r>
          </w:p>
        </w:tc>
        <w:tc>
          <w:tcPr>
            <w:tcW w:w="0" w:type="dxa"/>
            <w:vAlign w:val="bottom"/>
          </w:tcPr>
          <w:p>
            <w:pPr>
              <w:spacing w:after="0"/>
              <w:rPr>
                <w:sz w:val="1"/>
                <w:szCs w:val="1"/>
                <w:color w:val="auto"/>
              </w:rPr>
            </w:pPr>
          </w:p>
        </w:tc>
      </w:tr>
      <w:tr>
        <w:trPr>
          <w:trHeight w:val="148"/>
        </w:trPr>
        <w:tc>
          <w:tcPr>
            <w:tcW w:w="4440" w:type="dxa"/>
            <w:vAlign w:val="bottom"/>
            <w:gridSpan w:val="5"/>
          </w:tcPr>
          <w:p>
            <w:pPr>
              <w:jc w:val="center"/>
              <w:ind w:left="1205"/>
              <w:spacing w:after="0" w:line="149" w:lineRule="exact"/>
              <w:rPr>
                <w:sz w:val="20"/>
                <w:szCs w:val="20"/>
                <w:color w:val="auto"/>
              </w:rPr>
            </w:pPr>
            <w:r>
              <w:rPr>
                <w:rFonts w:ascii="Arial" w:cs="Arial" w:eastAsia="Arial" w:hAnsi="Arial"/>
                <w:sz w:val="14"/>
                <w:szCs w:val="14"/>
                <w:color w:val="auto"/>
              </w:rPr>
              <w:t>(State or other jurisdiction of</w:t>
            </w:r>
          </w:p>
        </w:tc>
        <w:tc>
          <w:tcPr>
            <w:tcW w:w="2240" w:type="dxa"/>
            <w:vAlign w:val="bottom"/>
          </w:tcPr>
          <w:p>
            <w:pPr>
              <w:spacing w:after="0"/>
              <w:rPr>
                <w:sz w:val="12"/>
                <w:szCs w:val="12"/>
                <w:color w:val="auto"/>
              </w:rPr>
            </w:pPr>
          </w:p>
        </w:tc>
        <w:tc>
          <w:tcPr>
            <w:tcW w:w="4740" w:type="dxa"/>
            <w:vAlign w:val="bottom"/>
          </w:tcPr>
          <w:p>
            <w:pPr>
              <w:jc w:val="center"/>
              <w:ind w:right="84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4"/>
        </w:trPr>
        <w:tc>
          <w:tcPr>
            <w:tcW w:w="4440" w:type="dxa"/>
            <w:vAlign w:val="bottom"/>
            <w:gridSpan w:val="5"/>
          </w:tcPr>
          <w:p>
            <w:pPr>
              <w:jc w:val="center"/>
              <w:ind w:left="1185"/>
              <w:spacing w:after="0"/>
              <w:rPr>
                <w:sz w:val="20"/>
                <w:szCs w:val="20"/>
                <w:color w:val="auto"/>
              </w:rPr>
            </w:pPr>
            <w:r>
              <w:rPr>
                <w:rFonts w:ascii="Arial" w:cs="Arial" w:eastAsia="Arial" w:hAnsi="Arial"/>
                <w:sz w:val="14"/>
                <w:szCs w:val="14"/>
                <w:color w:val="auto"/>
              </w:rPr>
              <w:t>incorporation or organization)</w:t>
            </w:r>
          </w:p>
        </w:tc>
        <w:tc>
          <w:tcPr>
            <w:tcW w:w="2240" w:type="dxa"/>
            <w:vAlign w:val="bottom"/>
          </w:tcPr>
          <w:p>
            <w:pPr>
              <w:spacing w:after="0"/>
              <w:rPr>
                <w:sz w:val="16"/>
                <w:szCs w:val="16"/>
                <w:color w:val="auto"/>
              </w:rPr>
            </w:pPr>
          </w:p>
        </w:tc>
        <w:tc>
          <w:tcPr>
            <w:tcW w:w="4740" w:type="dxa"/>
            <w:vAlign w:val="bottom"/>
          </w:tcPr>
          <w:p>
            <w:pPr>
              <w:jc w:val="center"/>
              <w:ind w:right="86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71"/>
        </w:trPr>
        <w:tc>
          <w:tcPr>
            <w:tcW w:w="4440" w:type="dxa"/>
            <w:vAlign w:val="bottom"/>
            <w:gridSpan w:val="5"/>
          </w:tcPr>
          <w:p>
            <w:pPr>
              <w:jc w:val="center"/>
              <w:ind w:left="1185"/>
              <w:spacing w:after="0"/>
              <w:rPr>
                <w:sz w:val="20"/>
                <w:szCs w:val="20"/>
                <w:color w:val="auto"/>
              </w:rPr>
            </w:pPr>
            <w:r>
              <w:rPr>
                <w:rFonts w:ascii="Arial" w:cs="Arial" w:eastAsia="Arial" w:hAnsi="Arial"/>
                <w:sz w:val="16"/>
                <w:szCs w:val="16"/>
                <w:b w:val="1"/>
                <w:bCs w:val="1"/>
                <w:color w:val="auto"/>
              </w:rPr>
              <w:t>600 N. Centennial</w:t>
            </w:r>
          </w:p>
        </w:tc>
        <w:tc>
          <w:tcPr>
            <w:tcW w:w="22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1980" w:type="dxa"/>
            <w:vAlign w:val="bottom"/>
            <w:gridSpan w:val="4"/>
          </w:tcPr>
          <w:p>
            <w:pPr>
              <w:jc w:val="center"/>
              <w:ind w:right="1128"/>
              <w:spacing w:after="0"/>
              <w:rPr>
                <w:sz w:val="20"/>
                <w:szCs w:val="20"/>
                <w:color w:val="auto"/>
              </w:rPr>
            </w:pPr>
            <w:r>
              <w:rPr>
                <w:rFonts w:ascii="Arial" w:cs="Arial" w:eastAsia="Arial" w:hAnsi="Arial"/>
                <w:sz w:val="16"/>
                <w:szCs w:val="16"/>
                <w:b w:val="1"/>
                <w:bCs w:val="1"/>
                <w:color w:val="auto"/>
              </w:rPr>
              <w:t>Zeeland</w:t>
            </w:r>
          </w:p>
        </w:tc>
        <w:tc>
          <w:tcPr>
            <w:tcW w:w="22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1980" w:type="dxa"/>
            <w:vAlign w:val="bottom"/>
            <w:gridSpan w:val="4"/>
          </w:tcPr>
          <w:p>
            <w:pPr>
              <w:jc w:val="center"/>
              <w:ind w:right="1128"/>
              <w:spacing w:after="0"/>
              <w:rPr>
                <w:sz w:val="20"/>
                <w:szCs w:val="20"/>
                <w:color w:val="auto"/>
              </w:rPr>
            </w:pPr>
            <w:r>
              <w:rPr>
                <w:rFonts w:ascii="Arial" w:cs="Arial" w:eastAsia="Arial" w:hAnsi="Arial"/>
                <w:sz w:val="16"/>
                <w:szCs w:val="16"/>
                <w:b w:val="1"/>
                <w:bCs w:val="1"/>
                <w:color w:val="auto"/>
              </w:rPr>
              <w:t>Michigan</w:t>
            </w:r>
          </w:p>
        </w:tc>
        <w:tc>
          <w:tcPr>
            <w:tcW w:w="2240" w:type="dxa"/>
            <w:vAlign w:val="bottom"/>
          </w:tcPr>
          <w:p>
            <w:pPr>
              <w:spacing w:after="0"/>
              <w:rPr>
                <w:sz w:val="22"/>
                <w:szCs w:val="22"/>
                <w:color w:val="auto"/>
              </w:rPr>
            </w:pPr>
          </w:p>
        </w:tc>
        <w:tc>
          <w:tcPr>
            <w:tcW w:w="4740" w:type="dxa"/>
            <w:vAlign w:val="bottom"/>
          </w:tcPr>
          <w:p>
            <w:pPr>
              <w:jc w:val="right"/>
              <w:ind w:right="254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196"/>
        </w:trPr>
        <w:tc>
          <w:tcPr>
            <w:tcW w:w="4440" w:type="dxa"/>
            <w:vAlign w:val="bottom"/>
            <w:gridSpan w:val="5"/>
          </w:tcPr>
          <w:p>
            <w:pPr>
              <w:jc w:val="center"/>
              <w:ind w:left="1185"/>
              <w:spacing w:after="0"/>
              <w:rPr>
                <w:sz w:val="20"/>
                <w:szCs w:val="20"/>
                <w:color w:val="auto"/>
              </w:rPr>
            </w:pPr>
            <w:r>
              <w:rPr>
                <w:rFonts w:ascii="Arial" w:cs="Arial" w:eastAsia="Arial" w:hAnsi="Arial"/>
                <w:sz w:val="14"/>
                <w:szCs w:val="14"/>
                <w:color w:val="auto"/>
              </w:rPr>
              <w:t>(Address of principal executive offices)</w:t>
            </w:r>
          </w:p>
        </w:tc>
        <w:tc>
          <w:tcPr>
            <w:tcW w:w="2240" w:type="dxa"/>
            <w:vAlign w:val="bottom"/>
          </w:tcPr>
          <w:p>
            <w:pPr>
              <w:spacing w:after="0"/>
              <w:rPr>
                <w:sz w:val="17"/>
                <w:szCs w:val="17"/>
                <w:color w:val="auto"/>
              </w:rPr>
            </w:pPr>
          </w:p>
        </w:tc>
        <w:tc>
          <w:tcPr>
            <w:tcW w:w="4740" w:type="dxa"/>
            <w:vAlign w:val="bottom"/>
          </w:tcPr>
          <w:p>
            <w:pPr>
              <w:jc w:val="center"/>
              <w:ind w:right="86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5"/>
        </w:trPr>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jc w:val="right"/>
              <w:ind w:right="274"/>
              <w:spacing w:after="0"/>
              <w:rPr>
                <w:sz w:val="20"/>
                <w:szCs w:val="20"/>
                <w:color w:val="auto"/>
              </w:rPr>
            </w:pPr>
            <w:r>
              <w:rPr>
                <w:rFonts w:ascii="Arial" w:cs="Arial" w:eastAsia="Arial" w:hAnsi="Arial"/>
                <w:sz w:val="18"/>
                <w:szCs w:val="18"/>
                <w:b w:val="1"/>
                <w:bCs w:val="1"/>
                <w:color w:val="auto"/>
              </w:rPr>
              <w:t>(616) 772-1800</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700" w:type="dxa"/>
            <w:vAlign w:val="bottom"/>
            <w:gridSpan w:val="3"/>
          </w:tcPr>
          <w:p>
            <w:pPr>
              <w:jc w:val="center"/>
              <w:ind w:right="3643"/>
              <w:spacing w:after="0" w:line="158" w:lineRule="exact"/>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8960" w:type="dxa"/>
            <w:vAlign w:val="bottom"/>
            <w:gridSpan w:val="6"/>
          </w:tcPr>
          <w:p>
            <w:pPr>
              <w:jc w:val="right"/>
              <w:ind w:right="394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2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67"/>
        </w:trPr>
        <w:tc>
          <w:tcPr>
            <w:tcW w:w="4440" w:type="dxa"/>
            <w:vAlign w:val="bottom"/>
            <w:gridSpan w:val="5"/>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4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Arial" w:cs="Arial" w:eastAsia="Arial" w:hAnsi="Arial"/>
                <w:sz w:val="14"/>
                <w:szCs w:val="14"/>
                <w:color w:val="auto"/>
              </w:rPr>
              <w:t>Common Stock, par value $0.06 per share</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GNTX</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149" w:lineRule="exact"/>
        <w:rPr>
          <w:sz w:val="24"/>
          <w:szCs w:val="24"/>
          <w:color w:val="auto"/>
        </w:rPr>
      </w:pPr>
    </w:p>
    <w:p>
      <w:pPr>
        <w:ind w:right="160"/>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o</w:t>
      </w:r>
    </w:p>
    <w:p>
      <w:pPr>
        <w:spacing w:after="0" w:line="131" w:lineRule="exact"/>
        <w:rPr>
          <w:sz w:val="24"/>
          <w:szCs w:val="24"/>
          <w:color w:val="auto"/>
        </w:rPr>
      </w:pPr>
    </w:p>
    <w:p>
      <w:pPr>
        <w:ind w:right="140"/>
        <w:spacing w:after="0" w:line="18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o</w:t>
      </w:r>
    </w:p>
    <w:p>
      <w:pPr>
        <w:sectPr>
          <w:pgSz w:w="11900" w:h="16838" w:orient="portrait"/>
          <w:cols w:equalWidth="0" w:num="1">
            <w:col w:w="11420"/>
          </w:cols>
          <w:pgMar w:left="240" w:top="898" w:right="239" w:bottom="1440" w:gutter="0" w:footer="0" w:header="0"/>
        </w:sectPr>
      </w:pPr>
    </w:p>
    <w:p>
      <w:pPr>
        <w:spacing w:after="0" w:line="131" w:lineRule="exact"/>
        <w:rPr>
          <w:sz w:val="24"/>
          <w:szCs w:val="24"/>
          <w:color w:val="auto"/>
        </w:rPr>
      </w:pPr>
    </w:p>
    <w:p>
      <w:pPr>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81" w:lineRule="exact"/>
        <w:tabs>
          <w:tab w:leader="none" w:pos="2200" w:val="left"/>
          <w:tab w:leader="none" w:pos="83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p>
    <w:p>
      <w:pPr>
        <w:spacing w:after="0" w:line="119" w:lineRule="exact"/>
        <w:rPr>
          <w:sz w:val="24"/>
          <w:szCs w:val="24"/>
          <w:color w:val="auto"/>
        </w:rPr>
      </w:pPr>
    </w:p>
    <w:p>
      <w:pPr>
        <w:ind w:left="20"/>
        <w:spacing w:after="0" w:line="181" w:lineRule="exact"/>
        <w:tabs>
          <w:tab w:leader="none" w:pos="2200" w:val="left"/>
          <w:tab w:leader="none" w:pos="83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Smaller reporting company</w:t>
      </w:r>
    </w:p>
    <w:p>
      <w:pPr>
        <w:spacing w:after="0" w:line="218" w:lineRule="exact"/>
        <w:rPr>
          <w:sz w:val="24"/>
          <w:szCs w:val="24"/>
          <w:color w:val="auto"/>
        </w:rPr>
      </w:pPr>
    </w:p>
    <w:p>
      <w:pPr>
        <w:ind w:left="83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1" w:lineRule="exact"/>
        <w:rPr>
          <w:sz w:val="24"/>
          <w:szCs w:val="24"/>
          <w:color w:val="auto"/>
        </w:rPr>
      </w:pPr>
    </w:p>
    <w:p>
      <w:pPr>
        <w:sectPr>
          <w:pgSz w:w="11900" w:h="16838" w:orient="portrait"/>
          <w:cols w:equalWidth="0" w:num="2">
            <w:col w:w="11000" w:space="80"/>
            <w:col w:w="340"/>
          </w:cols>
          <w:pgMar w:left="240" w:top="898" w:right="239" w:bottom="1440" w:gutter="0" w:footer="0" w:header="0"/>
          <w:type w:val="continuous"/>
        </w:sectPr>
      </w:pPr>
    </w:p>
    <w:p>
      <w:pPr>
        <w:spacing w:after="0" w:line="290"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4"/>
          <w:szCs w:val="14"/>
          <w:color w:val="auto"/>
        </w:rPr>
        <w:t>o</w:t>
      </w:r>
    </w:p>
    <w:p>
      <w:pPr>
        <w:spacing w:after="0" w:line="172" w:lineRule="exact"/>
        <w:rPr>
          <w:sz w:val="24"/>
          <w:szCs w:val="24"/>
          <w:color w:val="auto"/>
        </w:rPr>
      </w:pPr>
    </w:p>
    <w:p>
      <w:pPr>
        <w:spacing w:after="0" w:line="161" w:lineRule="exact"/>
        <w:tabs>
          <w:tab w:leader="none" w:pos="828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PRECEEDING FIVE YEARS:</w:t>
      </w:r>
    </w:p>
    <w:p>
      <w:pPr>
        <w:spacing w:after="0" w:line="163" w:lineRule="exact"/>
        <w:rPr>
          <w:sz w:val="24"/>
          <w:szCs w:val="24"/>
          <w:color w:val="auto"/>
        </w:rPr>
      </w:pPr>
    </w:p>
    <w:p>
      <w:pPr>
        <w:ind w:right="720"/>
        <w:spacing w:after="0" w:line="290" w:lineRule="auto"/>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cs="Times New Roman" w:eastAsia="Times New Roman" w:hAnsi="Times New Roman"/>
          <w:sz w:val="14"/>
          <w:szCs w:val="14"/>
          <w:color w:val="auto"/>
        </w:rPr>
        <w:t>o</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o</w:t>
      </w:r>
    </w:p>
    <w:p>
      <w:pPr>
        <w:spacing w:after="0" w:line="9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APPLICABLE ONLY TO CORPORATE ISSUERS:</w:t>
      </w:r>
      <w:r>
        <w:rPr>
          <w:rFonts w:ascii="MS PGothic" w:cs="MS PGothic" w:eastAsia="MS PGothic" w:hAnsi="MS PGothic"/>
          <w:sz w:val="14"/>
          <w:szCs w:val="14"/>
          <w:color w:val="auto"/>
        </w:rPr>
        <w:t> </w:t>
      </w:r>
      <w:r>
        <w:rPr>
          <w:rFonts w:ascii="Arial" w:cs="Arial" w:eastAsia="Arial" w:hAnsi="Arial"/>
          <w:sz w:val="14"/>
          <w:szCs w:val="14"/>
          <w:color w:val="auto"/>
        </w:rPr>
        <w:t>Indicate the number of shares outstanding of each of the issuer’s classes of common stock, as of the latest practicable date.</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July 19, 2019</w:t>
            </w:r>
          </w:p>
        </w:tc>
      </w:tr>
      <w:tr>
        <w:trPr>
          <w:trHeight w:val="202"/>
        </w:trPr>
        <w:tc>
          <w:tcPr>
            <w:tcW w:w="536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620" w:type="dxa"/>
            <w:vAlign w:val="bottom"/>
          </w:tcPr>
          <w:p>
            <w:pPr>
              <w:jc w:val="right"/>
              <w:ind w:right="2348"/>
              <w:spacing w:after="0"/>
              <w:rPr>
                <w:sz w:val="20"/>
                <w:szCs w:val="20"/>
                <w:color w:val="auto"/>
              </w:rPr>
            </w:pPr>
            <w:r>
              <w:rPr>
                <w:rFonts w:ascii="Arial" w:cs="Arial" w:eastAsia="Arial" w:hAnsi="Arial"/>
                <w:sz w:val="14"/>
                <w:szCs w:val="14"/>
                <w:color w:val="auto"/>
              </w:rPr>
              <w:t>254,775,618</w:t>
            </w:r>
          </w:p>
        </w:tc>
      </w:tr>
    </w:tbl>
    <w:p>
      <w:pPr>
        <w:spacing w:after="0" w:line="200" w:lineRule="exact"/>
        <w:rPr>
          <w:sz w:val="24"/>
          <w:szCs w:val="24"/>
          <w:color w:val="auto"/>
        </w:rPr>
      </w:pPr>
    </w:p>
    <w:p>
      <w:pPr>
        <w:sectPr>
          <w:pgSz w:w="11900" w:h="16838" w:orient="portrait"/>
          <w:cols w:equalWidth="0" w:num="1">
            <w:col w:w="11420"/>
          </w:cols>
          <w:pgMar w:left="240" w:top="898"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13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898" w:right="23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3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Six Months Ended June 30, 2019</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9140" w:type="dxa"/>
            <w:vAlign w:val="bottom"/>
            <w:gridSpan w:val="15"/>
          </w:tcPr>
          <w:p>
            <w:pPr>
              <w:spacing w:after="0"/>
              <w:rPr>
                <w:sz w:val="20"/>
                <w:szCs w:val="20"/>
                <w:color w:val="auto"/>
              </w:rPr>
            </w:pPr>
            <w:r>
              <w:rPr>
                <w:rFonts w:ascii="Arial" w:cs="Arial" w:eastAsia="Arial" w:hAnsi="Arial"/>
                <w:sz w:val="22"/>
                <w:szCs w:val="22"/>
                <w:b w:val="1"/>
                <w:bCs w:val="1"/>
                <w:color w:val="auto"/>
              </w:rPr>
              <w:t>Part I - Financial Information</w:t>
            </w:r>
          </w:p>
        </w:tc>
        <w:tc>
          <w:tcPr>
            <w:tcW w:w="1560" w:type="dxa"/>
            <w:vAlign w:val="bottom"/>
            <w:gridSpan w:val="3"/>
          </w:tcPr>
          <w:p>
            <w:pPr>
              <w:ind w:left="1040"/>
              <w:spacing w:after="0"/>
              <w:rPr>
                <w:sz w:val="20"/>
                <w:szCs w:val="20"/>
                <w:color w:val="auto"/>
              </w:rPr>
            </w:pPr>
            <w:r>
              <w:rPr>
                <w:rFonts w:ascii="Arial" w:cs="Arial" w:eastAsia="Arial" w:hAnsi="Arial"/>
                <w:sz w:val="22"/>
                <w:szCs w:val="22"/>
                <w:b w:val="1"/>
                <w:bCs w:val="1"/>
                <w:color w:val="auto"/>
                <w:w w:val="94"/>
              </w:rPr>
              <w:t>Page</w:t>
            </w:r>
          </w:p>
        </w:tc>
      </w:tr>
      <w:tr>
        <w:trPr>
          <w:trHeight w:val="198"/>
        </w:trPr>
        <w:tc>
          <w:tcPr>
            <w:tcW w:w="1040" w:type="dxa"/>
            <w:vAlign w:val="bottom"/>
          </w:tcPr>
          <w:p>
            <w:pPr>
              <w:spacing w:after="0" w:line="199" w:lineRule="exact"/>
              <w:rPr>
                <w:sz w:val="20"/>
                <w:szCs w:val="20"/>
                <w:color w:val="auto"/>
              </w:rPr>
            </w:pPr>
            <w:r>
              <w:rPr>
                <w:rFonts w:ascii="Arial" w:cs="Arial" w:eastAsia="Arial" w:hAnsi="Arial"/>
                <w:sz w:val="18"/>
                <w:szCs w:val="18"/>
                <w:color w:val="auto"/>
              </w:rPr>
              <w:t>Item 1.</w:t>
            </w:r>
          </w:p>
        </w:tc>
        <w:tc>
          <w:tcPr>
            <w:tcW w:w="8100" w:type="dxa"/>
            <w:vAlign w:val="bottom"/>
            <w:gridSpan w:val="14"/>
          </w:tcPr>
          <w:p>
            <w:pPr>
              <w:spacing w:after="0" w:line="199" w:lineRule="exact"/>
              <w:rPr>
                <w:rFonts w:ascii="Arial" w:cs="Arial" w:eastAsia="Arial" w:hAnsi="Arial"/>
                <w:sz w:val="18"/>
                <w:szCs w:val="18"/>
                <w:color w:val="0000FF"/>
              </w:rPr>
            </w:pPr>
            <w:hyperlink w:anchor="page3">
              <w:r>
                <w:rPr>
                  <w:rFonts w:ascii="Arial" w:cs="Arial" w:eastAsia="Arial" w:hAnsi="Arial"/>
                  <w:sz w:val="18"/>
                  <w:szCs w:val="18"/>
                  <w:color w:val="0000FF"/>
                </w:rPr>
                <w:t>Unaudited Consolidated Financial Statements</w:t>
              </w:r>
            </w:hyperlink>
          </w:p>
        </w:tc>
        <w:tc>
          <w:tcPr>
            <w:tcW w:w="1340" w:type="dxa"/>
            <w:vAlign w:val="bottom"/>
            <w:gridSpan w:val="2"/>
          </w:tcPr>
          <w:p>
            <w:pPr>
              <w:jc w:val="center"/>
              <w:ind w:left="1148"/>
              <w:spacing w:after="0" w:line="19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4200" w:type="dxa"/>
            <w:vAlign w:val="bottom"/>
            <w:gridSpan w:val="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Unaudited Condensed Consolidated Balance Sheets</w:t>
              </w:r>
            </w:hyperlink>
          </w:p>
        </w:tc>
        <w:tc>
          <w:tcPr>
            <w:tcW w:w="3900" w:type="dxa"/>
            <w:vAlign w:val="bottom"/>
            <w:gridSpan w:val="8"/>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810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Statements of Income</w:t>
              </w:r>
            </w:hyperlink>
          </w:p>
        </w:tc>
        <w:tc>
          <w:tcPr>
            <w:tcW w:w="1340" w:type="dxa"/>
            <w:vAlign w:val="bottom"/>
            <w:gridSpan w:val="2"/>
          </w:tcPr>
          <w:p>
            <w:pPr>
              <w:jc w:val="center"/>
              <w:ind w:left="1148"/>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Unaudited Condensed Consolidated Statements of Comprehensive Income</w:t>
              </w:r>
            </w:hyperlink>
          </w:p>
        </w:tc>
        <w:tc>
          <w:tcPr>
            <w:tcW w:w="21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5040" w:type="dxa"/>
            <w:vAlign w:val="bottom"/>
            <w:gridSpan w:val="10"/>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Unaudited Condensed Consolidated Statements of Cash Flows</w:t>
              </w:r>
            </w:hyperlink>
          </w:p>
        </w:tc>
        <w:tc>
          <w:tcPr>
            <w:tcW w:w="96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5340" w:type="dxa"/>
            <w:vAlign w:val="bottom"/>
            <w:gridSpan w:val="11"/>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Unaudited Condensed Consolidated Financial Statements</w:t>
              </w:r>
            </w:hyperlink>
          </w:p>
        </w:tc>
        <w:tc>
          <w:tcPr>
            <w:tcW w:w="2760" w:type="dxa"/>
            <w:vAlign w:val="bottom"/>
            <w:gridSpan w:val="3"/>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Management's Discussion and Analysis of Financial Condition and Results of Operations</w:t>
              </w:r>
            </w:hyperlink>
          </w:p>
        </w:tc>
        <w:tc>
          <w:tcPr>
            <w:tcW w:w="1020" w:type="dxa"/>
            <w:vAlign w:val="bottom"/>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22</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1020" w:type="dxa"/>
            <w:vAlign w:val="bottom"/>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32</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3400" w:type="dxa"/>
            <w:vAlign w:val="bottom"/>
            <w:gridSpan w:val="6"/>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32</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1"/>
        </w:trPr>
        <w:tc>
          <w:tcPr>
            <w:tcW w:w="9140" w:type="dxa"/>
            <w:vAlign w:val="bottom"/>
            <w:gridSpan w:val="15"/>
          </w:tcPr>
          <w:p>
            <w:pPr>
              <w:spacing w:after="0"/>
              <w:rPr>
                <w:sz w:val="20"/>
                <w:szCs w:val="20"/>
                <w:color w:val="auto"/>
              </w:rPr>
            </w:pPr>
            <w:r>
              <w:rPr>
                <w:rFonts w:ascii="Arial" w:cs="Arial" w:eastAsia="Arial" w:hAnsi="Arial"/>
                <w:sz w:val="22"/>
                <w:szCs w:val="22"/>
                <w:b w:val="1"/>
                <w:bCs w:val="1"/>
                <w:color w:val="auto"/>
              </w:rPr>
              <w:t>Part II - Other Information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1040" w:type="dxa"/>
            <w:vAlign w:val="bottom"/>
          </w:tcPr>
          <w:p>
            <w:pPr>
              <w:spacing w:after="0" w:line="199"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9" w:lineRule="exact"/>
              <w:rPr>
                <w:rFonts w:ascii="Arial" w:cs="Arial" w:eastAsia="Arial" w:hAnsi="Arial"/>
                <w:sz w:val="18"/>
                <w:szCs w:val="18"/>
                <w:color w:val="0000FF"/>
                <w:w w:val="95"/>
              </w:rPr>
            </w:pPr>
            <w:hyperlink w:anchor="page34">
              <w:r>
                <w:rPr>
                  <w:rFonts w:ascii="Arial" w:cs="Arial" w:eastAsia="Arial" w:hAnsi="Arial"/>
                  <w:sz w:val="18"/>
                  <w:szCs w:val="18"/>
                  <w:color w:val="0000FF"/>
                  <w:w w:val="95"/>
                </w:rPr>
                <w:t>Risk Factors</w:t>
              </w:r>
            </w:hyperlink>
          </w:p>
        </w:tc>
        <w:tc>
          <w:tcPr>
            <w:tcW w:w="7100" w:type="dxa"/>
            <w:vAlign w:val="bottom"/>
            <w:gridSpan w:val="11"/>
          </w:tcPr>
          <w:p>
            <w:pPr>
              <w:spacing w:after="0"/>
              <w:rPr>
                <w:sz w:val="17"/>
                <w:szCs w:val="17"/>
                <w:color w:val="auto"/>
              </w:rPr>
            </w:pPr>
          </w:p>
        </w:tc>
        <w:tc>
          <w:tcPr>
            <w:tcW w:w="1560" w:type="dxa"/>
            <w:vAlign w:val="bottom"/>
            <w:gridSpan w:val="3"/>
          </w:tcPr>
          <w:p>
            <w:pPr>
              <w:jc w:val="center"/>
              <w:ind w:left="948"/>
              <w:spacing w:after="0" w:line="199" w:lineRule="exact"/>
              <w:rPr>
                <w:rFonts w:ascii="Arial" w:cs="Arial" w:eastAsia="Arial" w:hAnsi="Arial"/>
                <w:sz w:val="18"/>
                <w:szCs w:val="18"/>
                <w:color w:val="0000FF"/>
                <w:w w:val="99"/>
              </w:rPr>
            </w:pPr>
            <w:hyperlink w:anchor="page34">
              <w:r>
                <w:rPr>
                  <w:rFonts w:ascii="Arial" w:cs="Arial" w:eastAsia="Arial" w:hAnsi="Arial"/>
                  <w:sz w:val="18"/>
                  <w:szCs w:val="18"/>
                  <w:color w:val="0000FF"/>
                  <w:w w:val="99"/>
                </w:rPr>
                <w:t>34</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gridSpan w:val="1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Unregistered Sales of Equity Securities and Use of Proceeds</w:t>
              </w:r>
            </w:hyperlink>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34</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3260" w:type="dxa"/>
            <w:vAlign w:val="bottom"/>
            <w:gridSpan w:val="5"/>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34</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860" w:type="dxa"/>
            <w:vAlign w:val="bottom"/>
            <w:gridSpan w:val="2"/>
          </w:tcPr>
          <w:p>
            <w:pPr>
              <w:spacing w:after="0"/>
              <w:rPr>
                <w:rFonts w:ascii="Arial" w:cs="Arial" w:eastAsia="Arial" w:hAnsi="Arial"/>
                <w:sz w:val="18"/>
                <w:szCs w:val="18"/>
                <w:color w:val="0302FF"/>
                <w:w w:val="97"/>
              </w:rPr>
            </w:pPr>
            <w:hyperlink w:anchor="page34">
              <w:r>
                <w:rPr>
                  <w:rFonts w:ascii="Arial" w:cs="Arial" w:eastAsia="Arial" w:hAnsi="Arial"/>
                  <w:sz w:val="18"/>
                  <w:szCs w:val="18"/>
                  <w:color w:val="0302FF"/>
                  <w:w w:val="97"/>
                </w:rPr>
                <w:t>Signatures</w:t>
              </w:r>
            </w:hyperlink>
          </w:p>
        </w:tc>
        <w:tc>
          <w:tcPr>
            <w:tcW w:w="7240" w:type="dxa"/>
            <w:vAlign w:val="bottom"/>
            <w:gridSpan w:val="12"/>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35</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2"/>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8100" w:type="dxa"/>
            <w:vAlign w:val="bottom"/>
            <w:gridSpan w:val="1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Exhibit Index</w:t>
              </w:r>
            </w:hyperlink>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36</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320" w:top="925" w:right="239" w:bottom="1440" w:gutter="0" w:footer="0" w:header="0"/>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As of June 30, 2019 and December 31, 2018</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4"/>
                <w:szCs w:val="14"/>
                <w:color w:val="auto"/>
              </w:rPr>
            </w:pPr>
          </w:p>
        </w:tc>
        <w:tc>
          <w:tcPr>
            <w:tcW w:w="190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jc w:val="right"/>
              <w:ind w:right="791"/>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90"/>
        </w:trPr>
        <w:tc>
          <w:tcPr>
            <w:tcW w:w="136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3820" w:type="dxa"/>
            <w:vAlign w:val="bottom"/>
            <w:tcBorders>
              <w:top w:val="single" w:sz="8" w:color="CCEEFF"/>
            </w:tcBorders>
            <w:gridSpan w:val="3"/>
            <w:shd w:val="clear" w:color="auto" w:fill="CCEEFF"/>
          </w:tcPr>
          <w:p>
            <w:pPr>
              <w:jc w:val="center"/>
              <w:ind w:right="3120"/>
              <w:spacing w:after="0" w:line="170" w:lineRule="exact"/>
              <w:rPr>
                <w:sz w:val="20"/>
                <w:szCs w:val="20"/>
                <w:color w:val="auto"/>
              </w:rPr>
            </w:pPr>
            <w:r>
              <w:rPr>
                <w:rFonts w:ascii="Arial" w:cs="Arial" w:eastAsia="Arial" w:hAnsi="Arial"/>
                <w:sz w:val="18"/>
                <w:szCs w:val="18"/>
                <w:color w:val="auto"/>
                <w:w w:val="98"/>
              </w:rPr>
              <w:t>ASSETS</w:t>
            </w:r>
          </w:p>
        </w:tc>
        <w:tc>
          <w:tcPr>
            <w:tcW w:w="32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1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CURRENT ASSETS</w:t>
            </w:r>
          </w:p>
        </w:tc>
        <w:tc>
          <w:tcPr>
            <w:tcW w:w="700" w:type="dxa"/>
            <w:vAlign w:val="bottom"/>
            <w:tcBorders>
              <w:top w:val="single" w:sz="8" w:color="auto"/>
            </w:tcBorders>
          </w:tcPr>
          <w:p>
            <w:pPr>
              <w:spacing w:after="0"/>
              <w:rPr>
                <w:sz w:val="21"/>
                <w:szCs w:val="21"/>
                <w:color w:val="auto"/>
              </w:rPr>
            </w:pPr>
          </w:p>
        </w:tc>
        <w:tc>
          <w:tcPr>
            <w:tcW w:w="3120" w:type="dxa"/>
            <w:vAlign w:val="bottom"/>
            <w:tcBorders>
              <w:top w:val="single" w:sz="8" w:color="CCEEFF"/>
            </w:tcBorders>
            <w:gridSpan w:val="2"/>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9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260,332,892</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217,025,278</w:t>
            </w:r>
          </w:p>
        </w:tc>
        <w:tc>
          <w:tcPr>
            <w:tcW w:w="0" w:type="dxa"/>
            <w:vAlign w:val="bottom"/>
          </w:tcPr>
          <w:p>
            <w:pPr>
              <w:spacing w:after="0"/>
              <w:rPr>
                <w:sz w:val="1"/>
                <w:szCs w:val="1"/>
                <w:color w:val="auto"/>
              </w:rPr>
            </w:pPr>
          </w:p>
        </w:tc>
      </w:tr>
      <w:tr>
        <w:trPr>
          <w:trHeight w:val="252"/>
        </w:trPr>
        <w:tc>
          <w:tcPr>
            <w:tcW w:w="6940" w:type="dxa"/>
            <w:vAlign w:val="bottom"/>
            <w:gridSpan w:val="5"/>
          </w:tcPr>
          <w:p>
            <w:pPr>
              <w:ind w:left="2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190,565,065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169,412,999</w:t>
            </w: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226,426,332</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213,537,799</w:t>
            </w:r>
          </w:p>
        </w:tc>
        <w:tc>
          <w:tcPr>
            <w:tcW w:w="0" w:type="dxa"/>
            <w:vAlign w:val="bottom"/>
          </w:tcPr>
          <w:p>
            <w:pPr>
              <w:spacing w:after="0"/>
              <w:rPr>
                <w:sz w:val="1"/>
                <w:szCs w:val="1"/>
                <w:color w:val="auto"/>
              </w:rPr>
            </w:pPr>
          </w:p>
        </w:tc>
      </w:tr>
      <w:tr>
        <w:trPr>
          <w:trHeight w:val="252"/>
        </w:trPr>
        <w:tc>
          <w:tcPr>
            <w:tcW w:w="6940" w:type="dxa"/>
            <w:vAlign w:val="bottom"/>
            <w:gridSpan w:val="5"/>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225,094,463</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225,281,599</w:t>
            </w: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Prepaid expenses and other</w:t>
            </w:r>
          </w:p>
        </w:tc>
        <w:tc>
          <w:tcPr>
            <w:tcW w:w="32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27,984,155</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25,672,579</w:t>
            </w:r>
          </w:p>
        </w:tc>
        <w:tc>
          <w:tcPr>
            <w:tcW w:w="0" w:type="dxa"/>
            <w:vAlign w:val="bottom"/>
          </w:tcPr>
          <w:p>
            <w:pPr>
              <w:spacing w:after="0"/>
              <w:rPr>
                <w:sz w:val="1"/>
                <w:szCs w:val="1"/>
                <w:color w:val="auto"/>
              </w:rPr>
            </w:pPr>
          </w:p>
        </w:tc>
      </w:tr>
      <w:tr>
        <w:trPr>
          <w:trHeight w:val="245"/>
        </w:trPr>
        <w:tc>
          <w:tcPr>
            <w:tcW w:w="6940" w:type="dxa"/>
            <w:vAlign w:val="bottom"/>
            <w:gridSpan w:val="5"/>
          </w:tcPr>
          <w:p>
            <w:pPr>
              <w:ind w:left="46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930,402,907</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850,930,254</w:t>
            </w:r>
          </w:p>
        </w:tc>
        <w:tc>
          <w:tcPr>
            <w:tcW w:w="0" w:type="dxa"/>
            <w:vAlign w:val="bottom"/>
          </w:tcPr>
          <w:p>
            <w:pPr>
              <w:spacing w:after="0"/>
              <w:rPr>
                <w:sz w:val="1"/>
                <w:szCs w:val="1"/>
                <w:color w:val="auto"/>
              </w:rPr>
            </w:pPr>
          </w:p>
        </w:tc>
      </w:tr>
      <w:tr>
        <w:trPr>
          <w:trHeight w:val="234"/>
        </w:trPr>
        <w:tc>
          <w:tcPr>
            <w:tcW w:w="13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PLANT AND EQUIPMENT—NET</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501,398,382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498,473,766</w:t>
            </w:r>
          </w:p>
        </w:tc>
        <w:tc>
          <w:tcPr>
            <w:tcW w:w="0" w:type="dxa"/>
            <w:vAlign w:val="bottom"/>
          </w:tcPr>
          <w:p>
            <w:pPr>
              <w:spacing w:after="0"/>
              <w:rPr>
                <w:sz w:val="1"/>
                <w:szCs w:val="1"/>
                <w:color w:val="auto"/>
              </w:rPr>
            </w:pPr>
          </w:p>
        </w:tc>
      </w:tr>
      <w:tr>
        <w:trPr>
          <w:trHeight w:val="234"/>
        </w:trPr>
        <w:tc>
          <w:tcPr>
            <w:tcW w:w="13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c>
          <w:tcPr>
            <w:tcW w:w="0" w:type="dxa"/>
            <w:vAlign w:val="bottom"/>
          </w:tcPr>
          <w:p>
            <w:pPr>
              <w:spacing w:after="0"/>
              <w:rPr>
                <w:sz w:val="1"/>
                <w:szCs w:val="1"/>
                <w:color w:val="auto"/>
              </w:rPr>
            </w:pPr>
          </w:p>
        </w:tc>
      </w:tr>
      <w:tr>
        <w:trPr>
          <w:trHeight w:val="252"/>
        </w:trPr>
        <w:tc>
          <w:tcPr>
            <w:tcW w:w="6940" w:type="dxa"/>
            <w:vAlign w:val="bottom"/>
            <w:gridSpan w:val="5"/>
          </w:tcPr>
          <w:p>
            <w:pPr>
              <w:ind w:left="240"/>
              <w:spacing w:after="0"/>
              <w:rPr>
                <w:sz w:val="20"/>
                <w:szCs w:val="20"/>
                <w:color w:val="auto"/>
              </w:rPr>
            </w:pPr>
            <w:r>
              <w:rPr>
                <w:rFonts w:ascii="Arial" w:cs="Arial" w:eastAsia="Arial" w:hAnsi="Arial"/>
                <w:sz w:val="18"/>
                <w:szCs w:val="18"/>
                <w:color w:val="auto"/>
              </w:rPr>
              <w:t>Long-term investments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121,061,221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137,979,082</w:t>
            </w: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260,025,000</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269,675,000</w:t>
            </w:r>
          </w:p>
        </w:tc>
        <w:tc>
          <w:tcPr>
            <w:tcW w:w="0" w:type="dxa"/>
            <w:vAlign w:val="bottom"/>
          </w:tcPr>
          <w:p>
            <w:pPr>
              <w:spacing w:after="0"/>
              <w:rPr>
                <w:sz w:val="1"/>
                <w:szCs w:val="1"/>
                <w:color w:val="auto"/>
              </w:rPr>
            </w:pPr>
          </w:p>
        </w:tc>
      </w:tr>
      <w:tr>
        <w:trPr>
          <w:trHeight w:val="252"/>
        </w:trPr>
        <w:tc>
          <w:tcPr>
            <w:tcW w:w="6940" w:type="dxa"/>
            <w:vAlign w:val="bottom"/>
            <w:tcBorders>
              <w:bottom w:val="single" w:sz="8" w:color="CCEEFF"/>
            </w:tcBorders>
            <w:gridSpan w:val="5"/>
          </w:tcPr>
          <w:p>
            <w:pPr>
              <w:ind w:left="240"/>
              <w:spacing w:after="0"/>
              <w:rPr>
                <w:sz w:val="20"/>
                <w:szCs w:val="20"/>
                <w:color w:val="auto"/>
              </w:rPr>
            </w:pPr>
            <w:r>
              <w:rPr>
                <w:rFonts w:ascii="Arial" w:cs="Arial" w:eastAsia="Arial" w:hAnsi="Arial"/>
                <w:sz w:val="18"/>
                <w:szCs w:val="18"/>
                <w:color w:val="auto"/>
              </w:rPr>
              <w:t>Patents and other assets, net</w:t>
            </w: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22,549,518</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21,010,121</w:t>
            </w:r>
          </w:p>
        </w:tc>
        <w:tc>
          <w:tcPr>
            <w:tcW w:w="0" w:type="dxa"/>
            <w:vAlign w:val="bottom"/>
          </w:tcPr>
          <w:p>
            <w:pPr>
              <w:spacing w:after="0"/>
              <w:rPr>
                <w:sz w:val="1"/>
                <w:szCs w:val="1"/>
                <w:color w:val="auto"/>
              </w:rPr>
            </w:pPr>
          </w:p>
        </w:tc>
      </w:tr>
      <w:tr>
        <w:trPr>
          <w:trHeight w:val="255"/>
        </w:trPr>
        <w:tc>
          <w:tcPr>
            <w:tcW w:w="694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711,001,584</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736,030,048</w:t>
            </w:r>
          </w:p>
        </w:tc>
        <w:tc>
          <w:tcPr>
            <w:tcW w:w="0" w:type="dxa"/>
            <w:vAlign w:val="bottom"/>
          </w:tcPr>
          <w:p>
            <w:pPr>
              <w:spacing w:after="0"/>
              <w:rPr>
                <w:sz w:val="1"/>
                <w:szCs w:val="1"/>
                <w:color w:val="auto"/>
              </w:rPr>
            </w:pPr>
          </w:p>
        </w:tc>
      </w:tr>
      <w:tr>
        <w:trPr>
          <w:trHeight w:val="245"/>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2,142,802,873</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2,085,434,068</w:t>
            </w: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5580" w:type="dxa"/>
            <w:vAlign w:val="bottom"/>
            <w:gridSpan w:val="4"/>
          </w:tcPr>
          <w:p>
            <w:pPr>
              <w:jc w:val="center"/>
              <w:ind w:right="1360"/>
              <w:spacing w:after="0" w:line="189" w:lineRule="exact"/>
              <w:rPr>
                <w:sz w:val="20"/>
                <w:szCs w:val="20"/>
                <w:color w:val="auto"/>
              </w:rPr>
            </w:pPr>
            <w:r>
              <w:rPr>
                <w:rFonts w:ascii="Arial" w:cs="Arial" w:eastAsia="Arial" w:hAnsi="Arial"/>
                <w:sz w:val="18"/>
                <w:szCs w:val="18"/>
                <w:color w:val="auto"/>
              </w:rPr>
              <w:t>LIABILITIES AND SHAREHOLDERS’ INVESTMENT</w:t>
            </w: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90,041,087</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92,810,316</w:t>
            </w:r>
          </w:p>
        </w:tc>
        <w:tc>
          <w:tcPr>
            <w:tcW w:w="0" w:type="dxa"/>
            <w:vAlign w:val="bottom"/>
          </w:tcPr>
          <w:p>
            <w:pPr>
              <w:spacing w:after="0"/>
              <w:rPr>
                <w:sz w:val="1"/>
                <w:szCs w:val="1"/>
                <w:color w:val="auto"/>
              </w:rPr>
            </w:pPr>
          </w:p>
        </w:tc>
      </w:tr>
      <w:tr>
        <w:trPr>
          <w:trHeight w:val="252"/>
        </w:trPr>
        <w:tc>
          <w:tcPr>
            <w:tcW w:w="6940" w:type="dxa"/>
            <w:vAlign w:val="bottom"/>
            <w:tcBorders>
              <w:bottom w:val="single" w:sz="8" w:color="CCEEFF"/>
            </w:tcBorders>
            <w:gridSpan w:val="5"/>
          </w:tcPr>
          <w:p>
            <w:pPr>
              <w:ind w:left="24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87,519,710</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76,350,603</w:t>
            </w:r>
          </w:p>
        </w:tc>
        <w:tc>
          <w:tcPr>
            <w:tcW w:w="0" w:type="dxa"/>
            <w:vAlign w:val="bottom"/>
          </w:tcPr>
          <w:p>
            <w:pPr>
              <w:spacing w:after="0"/>
              <w:rPr>
                <w:sz w:val="1"/>
                <w:szCs w:val="1"/>
                <w:color w:val="auto"/>
              </w:rPr>
            </w:pPr>
          </w:p>
        </w:tc>
      </w:tr>
      <w:tr>
        <w:trPr>
          <w:trHeight w:val="255"/>
        </w:trPr>
        <w:tc>
          <w:tcPr>
            <w:tcW w:w="694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177,560,797</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169,160,919</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6,190,219</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54,717,622</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54,521,489</w:t>
            </w:r>
          </w:p>
        </w:tc>
        <w:tc>
          <w:tcPr>
            <w:tcW w:w="0" w:type="dxa"/>
            <w:vAlign w:val="bottom"/>
          </w:tcPr>
          <w:p>
            <w:pPr>
              <w:spacing w:after="0"/>
              <w:rPr>
                <w:sz w:val="1"/>
                <w:szCs w:val="1"/>
                <w:color w:val="auto"/>
              </w:rPr>
            </w:pPr>
          </w:p>
        </w:tc>
      </w:tr>
      <w:tr>
        <w:trPr>
          <w:trHeight w:val="214"/>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238,468,638</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223,682,408</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SHAREHOLDERS’ INVESTMENT</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940" w:type="dxa"/>
            <w:vAlign w:val="bottom"/>
            <w:gridSpan w:val="5"/>
          </w:tcPr>
          <w:p>
            <w:pPr>
              <w:ind w:left="24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15,286,747</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15,559,717</w:t>
            </w: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777,238,253</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745,324,144</w:t>
            </w:r>
          </w:p>
        </w:tc>
        <w:tc>
          <w:tcPr>
            <w:tcW w:w="0" w:type="dxa"/>
            <w:vAlign w:val="bottom"/>
          </w:tcPr>
          <w:p>
            <w:pPr>
              <w:spacing w:after="0"/>
              <w:rPr>
                <w:sz w:val="1"/>
                <w:szCs w:val="1"/>
                <w:color w:val="auto"/>
              </w:rPr>
            </w:pPr>
          </w:p>
        </w:tc>
      </w:tr>
      <w:tr>
        <w:trPr>
          <w:trHeight w:val="252"/>
        </w:trPr>
        <w:tc>
          <w:tcPr>
            <w:tcW w:w="6940" w:type="dxa"/>
            <w:vAlign w:val="bottom"/>
            <w:gridSpan w:val="5"/>
          </w:tcPr>
          <w:p>
            <w:pPr>
              <w:ind w:left="24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1,111,310,014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1,102,468,137</w:t>
            </w: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499,221</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(1,600,338)</w:t>
            </w:r>
          </w:p>
        </w:tc>
        <w:tc>
          <w:tcPr>
            <w:tcW w:w="0" w:type="dxa"/>
            <w:vAlign w:val="bottom"/>
          </w:tcPr>
          <w:p>
            <w:pPr>
              <w:spacing w:after="0"/>
              <w:rPr>
                <w:sz w:val="1"/>
                <w:szCs w:val="1"/>
                <w:color w:val="auto"/>
              </w:rPr>
            </w:pPr>
          </w:p>
        </w:tc>
      </w:tr>
      <w:tr>
        <w:trPr>
          <w:trHeight w:val="245"/>
        </w:trPr>
        <w:tc>
          <w:tcPr>
            <w:tcW w:w="6940" w:type="dxa"/>
            <w:vAlign w:val="bottom"/>
            <w:tcBorders>
              <w:bottom w:val="single" w:sz="8" w:color="CCEEFF"/>
            </w:tcBorders>
            <w:gridSpan w:val="5"/>
          </w:tcPr>
          <w:p>
            <w:pPr>
              <w:ind w:left="460"/>
              <w:spacing w:after="0"/>
              <w:rPr>
                <w:sz w:val="20"/>
                <w:szCs w:val="20"/>
                <w:color w:val="auto"/>
              </w:rPr>
            </w:pPr>
            <w:r>
              <w:rPr>
                <w:rFonts w:ascii="Arial" w:cs="Arial" w:eastAsia="Arial" w:hAnsi="Arial"/>
                <w:sz w:val="18"/>
                <w:szCs w:val="18"/>
                <w:color w:val="auto"/>
              </w:rPr>
              <w:t>Total shareholders’ investment</w:t>
            </w: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1,904,334,235</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1,861,751,660</w:t>
            </w:r>
          </w:p>
        </w:tc>
        <w:tc>
          <w:tcPr>
            <w:tcW w:w="0" w:type="dxa"/>
            <w:vAlign w:val="bottom"/>
          </w:tcPr>
          <w:p>
            <w:pPr>
              <w:spacing w:after="0"/>
              <w:rPr>
                <w:sz w:val="1"/>
                <w:szCs w:val="1"/>
                <w:color w:val="auto"/>
              </w:rPr>
            </w:pPr>
          </w:p>
        </w:tc>
      </w:tr>
      <w:tr>
        <w:trPr>
          <w:trHeight w:val="275"/>
        </w:trPr>
        <w:tc>
          <w:tcPr>
            <w:tcW w:w="69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2,142,802,873</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2,085,434,068</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right="480"/>
        <w:spacing w:after="0" w:line="271" w:lineRule="auto"/>
        <w:rPr>
          <w:sz w:val="20"/>
          <w:szCs w:val="20"/>
          <w:color w:val="auto"/>
        </w:rPr>
      </w:pPr>
      <w:r>
        <w:rPr>
          <w:rFonts w:ascii="Arial" w:cs="Arial" w:eastAsia="Arial" w:hAnsi="Arial"/>
          <w:sz w:val="13"/>
          <w:szCs w:val="13"/>
          <w:color w:val="auto"/>
        </w:rPr>
        <w:t>Note: The condensed consolidated balance sheet at December 31, 2018 has been derived from the audited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420"/>
          </w:cols>
          <w:pgMar w:left="240" w:top="925" w:right="2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25" w:right="239" w:bottom="1440" w:gutter="0" w:footer="0" w:header="0"/>
          <w:type w:val="continuous"/>
        </w:sectPr>
      </w:pPr>
    </w:p>
    <w:bookmarkStart w:id="3" w:name="page4"/>
    <w:bookmarkEnd w:id="3"/>
    <w:p>
      <w:pPr>
        <w:jc w:val="center"/>
        <w:spacing w:after="0" w:line="46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Six Months Ended June 30, 2019 and 2018</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30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r>
      <w:tr>
        <w:trPr>
          <w:trHeight w:val="217"/>
        </w:trPr>
        <w:tc>
          <w:tcPr>
            <w:tcW w:w="45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468,711,354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454,981,440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937,300,351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920,401,545</w:t>
            </w:r>
          </w:p>
        </w:tc>
      </w:tr>
      <w:tr>
        <w:trPr>
          <w:trHeight w:val="230"/>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292,173,750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282,176,968</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591,118,243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574,968,672</w:t>
            </w:r>
          </w:p>
        </w:tc>
      </w:tr>
      <w:tr>
        <w:trPr>
          <w:trHeight w:val="245"/>
        </w:trPr>
        <w:tc>
          <w:tcPr>
            <w:tcW w:w="454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176,537,604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172,804,472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346,182,108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345,432,873</w:t>
            </w:r>
          </w:p>
        </w:tc>
      </w:tr>
      <w:tr>
        <w:trPr>
          <w:trHeight w:val="234"/>
        </w:trPr>
        <w:tc>
          <w:tcPr>
            <w:tcW w:w="4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28,359,343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27,200,465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56,448,524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53,249,723</w:t>
            </w:r>
          </w:p>
        </w:tc>
      </w:tr>
      <w:tr>
        <w:trPr>
          <w:trHeight w:val="252"/>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&amp; administrative</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20,273,295</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18,921,003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40,232,286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36,984,813</w:t>
            </w:r>
          </w:p>
        </w:tc>
      </w:tr>
      <w:tr>
        <w:trPr>
          <w:trHeight w:val="250"/>
        </w:trPr>
        <w:tc>
          <w:tcPr>
            <w:tcW w:w="4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48,632,638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46,121,468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96,680,810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90,234,536</w:t>
            </w:r>
          </w:p>
        </w:tc>
      </w:tr>
      <w:tr>
        <w:trPr>
          <w:trHeight w:val="214"/>
        </w:trPr>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127,904,966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126,683,004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249,501,298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255,198,337</w:t>
            </w:r>
          </w:p>
        </w:tc>
      </w:tr>
      <w:tr>
        <w:trPr>
          <w:trHeight w:val="230"/>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2"/>
        </w:trPr>
        <w:tc>
          <w:tcPr>
            <w:tcW w:w="454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2,140,387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2,844,133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5,403,128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4,881,738</w:t>
            </w:r>
          </w:p>
        </w:tc>
      </w:tr>
      <w:tr>
        <w:trPr>
          <w:trHeight w:val="261"/>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237,191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(554,359)</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286,660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652,634</w:t>
            </w:r>
          </w:p>
        </w:tc>
      </w:tr>
      <w:tr>
        <w:trPr>
          <w:trHeight w:val="245"/>
        </w:trPr>
        <w:tc>
          <w:tcPr>
            <w:tcW w:w="4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2,377,578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2,289,774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5,689,788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5,534,372</w:t>
            </w:r>
          </w:p>
        </w:tc>
      </w:tr>
      <w:tr>
        <w:trPr>
          <w:trHeight w:val="214"/>
        </w:trPr>
        <w:tc>
          <w:tcPr>
            <w:tcW w:w="4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52"/>
        </w:trPr>
        <w:tc>
          <w:tcPr>
            <w:tcW w:w="45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130,282,544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128,972,778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255,191,086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260,732,709</w:t>
            </w:r>
          </w:p>
        </w:tc>
      </w:tr>
      <w:tr>
        <w:trPr>
          <w:trHeight w:val="234"/>
        </w:trPr>
        <w:tc>
          <w:tcPr>
            <w:tcW w:w="4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2"/>
        </w:trPr>
        <w:tc>
          <w:tcPr>
            <w:tcW w:w="45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21,323,919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19,948,796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41,952,050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40,459,984</w:t>
            </w:r>
          </w:p>
        </w:tc>
      </w:tr>
      <w:tr>
        <w:trPr>
          <w:trHeight w:val="234"/>
        </w:trPr>
        <w:tc>
          <w:tcPr>
            <w:tcW w:w="45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245"/>
        </w:trPr>
        <w:tc>
          <w:tcPr>
            <w:tcW w:w="4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108,958,625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109,023,982</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213,239,036</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220,272,725</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1"/>
        </w:trPr>
        <w:tc>
          <w:tcPr>
            <w:tcW w:w="4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52"/>
        </w:trPr>
        <w:tc>
          <w:tcPr>
            <w:tcW w:w="454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0.80</w:t>
            </w:r>
          </w:p>
        </w:tc>
      </w:tr>
      <w:tr>
        <w:trPr>
          <w:trHeight w:val="234"/>
        </w:trPr>
        <w:tc>
          <w:tcPr>
            <w:tcW w:w="4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7"/>
        </w:trPr>
        <w:tc>
          <w:tcPr>
            <w:tcW w:w="454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0.110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0.220</w:t>
            </w:r>
          </w:p>
        </w:tc>
      </w:tr>
    </w:tbl>
    <w:p>
      <w:pPr>
        <w:spacing w:after="0" w:line="267"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25" w:right="239" w:bottom="1440" w:gutter="0" w:footer="0" w:header="0"/>
        </w:sectPr>
      </w:pPr>
    </w:p>
    <w:bookmarkStart w:id="4" w:name="page5"/>
    <w:bookmarkEnd w:id="4"/>
    <w:p>
      <w:pPr>
        <w:jc w:val="center"/>
        <w:spacing w:after="0" w:line="463"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Six Months Ended June 30, 2019 and 2018</w:t>
      </w:r>
    </w:p>
    <w:tbl>
      <w:tblPr>
        <w:tblLayout w:type="fixed"/>
        <w:tblInd w:w="0" w:type="dxa"/>
        <w:tblCellMar>
          <w:top w:w="0" w:type="dxa"/>
          <w:left w:w="0" w:type="dxa"/>
          <w:bottom w:w="0" w:type="dxa"/>
          <w:right w:w="0" w:type="dxa"/>
        </w:tblCellMar>
      </w:tblPr>
      <w:tr>
        <w:trPr>
          <w:trHeight w:val="202"/>
        </w:trPr>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8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r>
      <w:tr>
        <w:trPr>
          <w:trHeight w:val="217"/>
        </w:trPr>
        <w:tc>
          <w:tcPr>
            <w:tcW w:w="5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108,958,625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109,023,982</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7"/>
              </w:rPr>
              <w:t>213,239,036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$220,272,725</w:t>
            </w:r>
          </w:p>
        </w:tc>
      </w:tr>
      <w:tr>
        <w:trPr>
          <w:trHeight w:val="270"/>
        </w:trPr>
        <w:tc>
          <w:tcPr>
            <w:tcW w:w="5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2"/>
        </w:trPr>
        <w:tc>
          <w:tcPr>
            <w:tcW w:w="508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(475,686)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(2,465,603)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(176,687)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(839,425)</w:t>
            </w:r>
          </w:p>
        </w:tc>
      </w:tr>
      <w:tr>
        <w:trPr>
          <w:trHeight w:val="261"/>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gains on derivatives</w:t>
            </w: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15,556</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82,604</w:t>
            </w:r>
          </w:p>
        </w:tc>
      </w:tr>
      <w:tr>
        <w:trPr>
          <w:trHeight w:val="252"/>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Unrealized gains (losses) on debt securities, net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1,583,089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(302,252)</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2,881,325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(323,532)</w:t>
            </w:r>
          </w:p>
        </w:tc>
      </w:tr>
      <w:tr>
        <w:trPr>
          <w:trHeight w:val="255"/>
        </w:trPr>
        <w:tc>
          <w:tcPr>
            <w:tcW w:w="5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2"/>
        </w:trPr>
        <w:tc>
          <w:tcPr>
            <w:tcW w:w="50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1,107,403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(2,752,299)</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2,704,638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(1,080,353)</w:t>
            </w:r>
          </w:p>
        </w:tc>
      </w:tr>
      <w:tr>
        <w:trPr>
          <w:trHeight w:val="275"/>
        </w:trPr>
        <w:tc>
          <w:tcPr>
            <w:tcW w:w="5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07"/>
        </w:trPr>
        <w:tc>
          <w:tcPr>
            <w:tcW w:w="5080" w:type="dxa"/>
            <w:vAlign w:val="bottom"/>
          </w:tcPr>
          <w:p>
            <w:pPr>
              <w:ind w:left="20"/>
              <w:spacing w:after="0"/>
              <w:rPr>
                <w:sz w:val="20"/>
                <w:szCs w:val="20"/>
                <w:color w:val="auto"/>
              </w:rPr>
            </w:pPr>
            <w:r>
              <w:rPr>
                <w:rFonts w:ascii="Arial" w:cs="Arial" w:eastAsia="Arial" w:hAnsi="Arial"/>
                <w:sz w:val="18"/>
                <w:szCs w:val="18"/>
                <w:color w:val="auto"/>
              </w:rPr>
              <w:t>Income tax impact related to components of other</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8"/>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332,448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(60,206)</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605,079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(50,594)</w:t>
            </w:r>
          </w:p>
        </w:tc>
      </w:tr>
      <w:tr>
        <w:trPr>
          <w:trHeight w:val="255"/>
        </w:trPr>
        <w:tc>
          <w:tcPr>
            <w:tcW w:w="5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774,955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(2,692,093)</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2,099,559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(1,029,759)</w:t>
            </w:r>
          </w:p>
        </w:tc>
      </w:tr>
      <w:tr>
        <w:trPr>
          <w:trHeight w:val="255"/>
        </w:trPr>
        <w:tc>
          <w:tcPr>
            <w:tcW w:w="5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7"/>
        </w:trPr>
        <w:tc>
          <w:tcPr>
            <w:tcW w:w="50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109,733,580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106,331,889</w:t>
            </w:r>
          </w:p>
        </w:tc>
        <w:tc>
          <w:tcPr>
            <w:tcW w:w="16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215,338,595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219,242,966</w:t>
            </w:r>
          </w:p>
        </w:tc>
      </w:tr>
      <w:tr>
        <w:trPr>
          <w:trHeight w:val="21"/>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130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60" w:top="1249"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SHAREHOLDERS' INVESTMENT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24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Additional</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162"/>
        </w:trPr>
        <w:tc>
          <w:tcPr>
            <w:tcW w:w="33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Stock</w:t>
            </w:r>
          </w:p>
        </w:tc>
        <w:tc>
          <w:tcPr>
            <w:tcW w:w="1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Comprehensive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Shareholders’</w:t>
            </w:r>
          </w:p>
        </w:tc>
      </w:tr>
      <w:tr>
        <w:trPr>
          <w:trHeight w:val="203"/>
        </w:trPr>
        <w:tc>
          <w:tcPr>
            <w:tcW w:w="338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Income (Loss)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Investment</w:t>
            </w:r>
          </w:p>
        </w:tc>
      </w:tr>
      <w:tr>
        <w:trPr>
          <w:trHeight w:val="238"/>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259,328,613</w:t>
            </w: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15,559,717</w:t>
            </w: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745,324,144</w:t>
            </w:r>
          </w:p>
        </w:tc>
        <w:tc>
          <w:tcPr>
            <w:tcW w:w="18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$ 1,102,468,137</w:t>
            </w: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(1,600,338)</w:t>
            </w:r>
          </w:p>
        </w:tc>
        <w:tc>
          <w:tcPr>
            <w:tcW w:w="18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$ 1,861,751,660</w:t>
            </w:r>
          </w:p>
        </w:tc>
      </w:tr>
      <w:tr>
        <w:trPr>
          <w:trHeight w:val="198"/>
        </w:trPr>
        <w:tc>
          <w:tcPr>
            <w:tcW w:w="3380" w:type="dxa"/>
            <w:vAlign w:val="bottom"/>
          </w:tcPr>
          <w:p>
            <w:pPr>
              <w:ind w:left="20"/>
              <w:spacing w:after="0"/>
              <w:rPr>
                <w:sz w:val="20"/>
                <w:szCs w:val="20"/>
                <w:color w:val="auto"/>
              </w:rPr>
            </w:pPr>
            <w:r>
              <w:rPr>
                <w:rFonts w:ascii="Arial" w:cs="Arial" w:eastAsia="Arial" w:hAnsi="Arial"/>
                <w:sz w:val="16"/>
                <w:szCs w:val="16"/>
                <w:color w:val="auto"/>
              </w:rPr>
              <w:t>Issuance of common stock from stock plan</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338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1080" w:type="dxa"/>
            <w:vAlign w:val="bottom"/>
          </w:tcPr>
          <w:p>
            <w:pPr>
              <w:jc w:val="right"/>
              <w:spacing w:after="0"/>
              <w:rPr>
                <w:sz w:val="20"/>
                <w:szCs w:val="20"/>
                <w:color w:val="auto"/>
              </w:rPr>
            </w:pPr>
            <w:r>
              <w:rPr>
                <w:rFonts w:ascii="Arial" w:cs="Arial" w:eastAsia="Arial" w:hAnsi="Arial"/>
                <w:sz w:val="16"/>
                <w:szCs w:val="16"/>
                <w:color w:val="auto"/>
              </w:rPr>
              <w:t>980,670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58,840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10,455,714</w:t>
            </w:r>
          </w:p>
        </w:tc>
        <w:tc>
          <w:tcPr>
            <w:tcW w:w="1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10,514,554</w:t>
            </w:r>
          </w:p>
        </w:tc>
      </w:tr>
      <w:tr>
        <w:trPr>
          <w:trHeight w:val="251"/>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(4,724,938)</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(283,497)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(12,001,344)</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(83,982,388)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(96,267,229)</w:t>
            </w:r>
          </w:p>
        </w:tc>
      </w:tr>
      <w:tr>
        <w:trPr>
          <w:trHeight w:val="198"/>
        </w:trPr>
        <w:tc>
          <w:tcPr>
            <w:tcW w:w="338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3380" w:type="dxa"/>
            <w:vAlign w:val="bottom"/>
          </w:tcPr>
          <w:p>
            <w:pPr>
              <w:ind w:left="20"/>
              <w:spacing w:after="0"/>
              <w:rPr>
                <w:sz w:val="20"/>
                <w:szCs w:val="20"/>
                <w:color w:val="auto"/>
              </w:rPr>
            </w:pPr>
            <w:r>
              <w:rPr>
                <w:rFonts w:ascii="Arial" w:cs="Arial" w:eastAsia="Arial" w:hAnsi="Arial"/>
                <w:sz w:val="16"/>
                <w:szCs w:val="16"/>
                <w:color w:val="auto"/>
              </w:rPr>
              <w:t>stock options, employee stock purchases and</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6"/>
        </w:trPr>
        <w:tc>
          <w:tcPr>
            <w:tcW w:w="338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4,862,947</w:t>
            </w:r>
          </w:p>
        </w:tc>
        <w:tc>
          <w:tcPr>
            <w:tcW w:w="1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4,862,947</w:t>
            </w:r>
          </w:p>
        </w:tc>
      </w:tr>
      <w:tr>
        <w:trPr>
          <w:trHeight w:val="251"/>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($.115 per share)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(29,392,200)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(29,392,200)</w:t>
            </w:r>
          </w:p>
        </w:tc>
      </w:tr>
      <w:tr>
        <w:trPr>
          <w:trHeight w:val="235"/>
        </w:trPr>
        <w:tc>
          <w:tcPr>
            <w:tcW w:w="3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104,280,411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104,280,411</w:t>
            </w:r>
          </w:p>
        </w:tc>
      </w:tr>
      <w:tr>
        <w:trPr>
          <w:trHeight w:val="244"/>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1,324,604</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1,324,604</w:t>
            </w:r>
          </w:p>
        </w:tc>
      </w:tr>
      <w:tr>
        <w:trPr>
          <w:trHeight w:val="237"/>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AS OF MARCH 31, 2019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255,584,345</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15,335,060</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748,641,461</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$ 1,093,373,960</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(275,734)</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$ 1,857,074,747</w:t>
            </w:r>
          </w:p>
        </w:tc>
      </w:tr>
      <w:tr>
        <w:trPr>
          <w:trHeight w:val="257"/>
        </w:trPr>
        <w:tc>
          <w:tcPr>
            <w:tcW w:w="33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6"/>
                <w:szCs w:val="16"/>
                <w:color w:val="auto"/>
              </w:rPr>
              <w:t>Issuance of common stock from stock plan</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338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1080" w:type="dxa"/>
            <w:vAlign w:val="bottom"/>
          </w:tcPr>
          <w:p>
            <w:pPr>
              <w:jc w:val="right"/>
              <w:spacing w:after="0"/>
              <w:rPr>
                <w:sz w:val="20"/>
                <w:szCs w:val="20"/>
                <w:color w:val="auto"/>
              </w:rPr>
            </w:pPr>
            <w:r>
              <w:rPr>
                <w:rFonts w:ascii="Arial" w:cs="Arial" w:eastAsia="Arial" w:hAnsi="Arial"/>
                <w:sz w:val="16"/>
                <w:szCs w:val="16"/>
                <w:color w:val="auto"/>
              </w:rPr>
              <w:t>2,269,483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136,170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31,284,090</w:t>
            </w:r>
          </w:p>
        </w:tc>
        <w:tc>
          <w:tcPr>
            <w:tcW w:w="1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31,420,260</w:t>
            </w:r>
          </w:p>
        </w:tc>
      </w:tr>
      <w:tr>
        <w:trPr>
          <w:trHeight w:val="251"/>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(3,074,709)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(184,483)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(7,963,499)</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(61,723,161)</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(69,871,143)</w:t>
            </w:r>
          </w:p>
        </w:tc>
      </w:tr>
      <w:tr>
        <w:trPr>
          <w:trHeight w:val="198"/>
        </w:trPr>
        <w:tc>
          <w:tcPr>
            <w:tcW w:w="338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3380" w:type="dxa"/>
            <w:vAlign w:val="bottom"/>
          </w:tcPr>
          <w:p>
            <w:pPr>
              <w:ind w:left="20"/>
              <w:spacing w:after="0"/>
              <w:rPr>
                <w:sz w:val="20"/>
                <w:szCs w:val="20"/>
                <w:color w:val="auto"/>
              </w:rPr>
            </w:pPr>
            <w:r>
              <w:rPr>
                <w:rFonts w:ascii="Arial" w:cs="Arial" w:eastAsia="Arial" w:hAnsi="Arial"/>
                <w:sz w:val="16"/>
                <w:szCs w:val="16"/>
                <w:color w:val="auto"/>
              </w:rPr>
              <w:t>stock options, employee stock purchases and</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6"/>
        </w:trPr>
        <w:tc>
          <w:tcPr>
            <w:tcW w:w="338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5,276,201</w:t>
            </w:r>
          </w:p>
        </w:tc>
        <w:tc>
          <w:tcPr>
            <w:tcW w:w="1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5,276,201</w:t>
            </w:r>
          </w:p>
        </w:tc>
      </w:tr>
      <w:tr>
        <w:trPr>
          <w:trHeight w:val="251"/>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($.115 per share)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(29,299,410)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(29,299,410)</w:t>
            </w:r>
          </w:p>
        </w:tc>
      </w:tr>
      <w:tr>
        <w:trPr>
          <w:trHeight w:val="235"/>
        </w:trPr>
        <w:tc>
          <w:tcPr>
            <w:tcW w:w="3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108,958,625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108,958,625</w:t>
            </w:r>
          </w:p>
        </w:tc>
      </w:tr>
      <w:tr>
        <w:trPr>
          <w:trHeight w:val="251"/>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774,955</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774,955</w:t>
            </w:r>
          </w:p>
        </w:tc>
      </w:tr>
      <w:tr>
        <w:trPr>
          <w:trHeight w:val="230"/>
        </w:trPr>
        <w:tc>
          <w:tcPr>
            <w:tcW w:w="3380" w:type="dxa"/>
            <w:vAlign w:val="bottom"/>
          </w:tcPr>
          <w:p>
            <w:pPr>
              <w:ind w:left="20"/>
              <w:spacing w:after="0"/>
              <w:rPr>
                <w:sz w:val="20"/>
                <w:szCs w:val="20"/>
                <w:color w:val="auto"/>
              </w:rPr>
            </w:pPr>
            <w:r>
              <w:rPr>
                <w:rFonts w:ascii="Arial" w:cs="Arial" w:eastAsia="Arial" w:hAnsi="Arial"/>
                <w:sz w:val="16"/>
                <w:szCs w:val="16"/>
                <w:color w:val="auto"/>
              </w:rPr>
              <w:t>BALANCE AS OF JUNE 30, 2019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254,779,119</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15,286,747</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777,238,253</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$ 1,111,310,014</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499,221</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$ 1,904,334,235</w:t>
            </w:r>
          </w:p>
        </w:tc>
      </w:tr>
      <w:tr>
        <w:trPr>
          <w:trHeight w:val="27"/>
        </w:trPr>
        <w:tc>
          <w:tcPr>
            <w:tcW w:w="33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1411"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SHAREHOLDERS' INVESTMENT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24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Additional</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162"/>
        </w:trPr>
        <w:tc>
          <w:tcPr>
            <w:tcW w:w="33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Stock</w:t>
            </w:r>
          </w:p>
        </w:tc>
        <w:tc>
          <w:tcPr>
            <w:tcW w:w="1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Comprehensive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Shareholders’</w:t>
            </w:r>
          </w:p>
        </w:tc>
      </w:tr>
      <w:tr>
        <w:trPr>
          <w:trHeight w:val="203"/>
        </w:trPr>
        <w:tc>
          <w:tcPr>
            <w:tcW w:w="338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Income (Loss)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Investment</w:t>
            </w:r>
          </w:p>
        </w:tc>
      </w:tr>
      <w:tr>
        <w:trPr>
          <w:trHeight w:val="238"/>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1, 2018</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280,281,321</w:t>
            </w: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16,816,879</w:t>
            </w: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723,510,672</w:t>
            </w:r>
          </w:p>
        </w:tc>
        <w:tc>
          <w:tcPr>
            <w:tcW w:w="18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$ 1,301,997,327</w:t>
            </w: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7,193,383</w:t>
            </w:r>
          </w:p>
        </w:tc>
        <w:tc>
          <w:tcPr>
            <w:tcW w:w="18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$ 2,049,518,261</w:t>
            </w:r>
          </w:p>
        </w:tc>
      </w:tr>
      <w:tr>
        <w:trPr>
          <w:trHeight w:val="198"/>
        </w:trPr>
        <w:tc>
          <w:tcPr>
            <w:tcW w:w="3380" w:type="dxa"/>
            <w:vAlign w:val="bottom"/>
          </w:tcPr>
          <w:p>
            <w:pPr>
              <w:ind w:left="20"/>
              <w:spacing w:after="0"/>
              <w:rPr>
                <w:sz w:val="20"/>
                <w:szCs w:val="20"/>
                <w:color w:val="auto"/>
              </w:rPr>
            </w:pPr>
            <w:r>
              <w:rPr>
                <w:rFonts w:ascii="Arial" w:cs="Arial" w:eastAsia="Arial" w:hAnsi="Arial"/>
                <w:sz w:val="16"/>
                <w:szCs w:val="16"/>
                <w:color w:val="auto"/>
              </w:rPr>
              <w:t>Issuance of common stock from stock plan</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338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1080" w:type="dxa"/>
            <w:vAlign w:val="bottom"/>
          </w:tcPr>
          <w:p>
            <w:pPr>
              <w:jc w:val="right"/>
              <w:spacing w:after="0"/>
              <w:rPr>
                <w:sz w:val="20"/>
                <w:szCs w:val="20"/>
                <w:color w:val="auto"/>
              </w:rPr>
            </w:pPr>
            <w:r>
              <w:rPr>
                <w:rFonts w:ascii="Arial" w:cs="Arial" w:eastAsia="Arial" w:hAnsi="Arial"/>
                <w:sz w:val="16"/>
                <w:szCs w:val="16"/>
                <w:color w:val="auto"/>
              </w:rPr>
              <w:t>2,904,555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174,274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36,092,773</w:t>
            </w:r>
          </w:p>
        </w:tc>
        <w:tc>
          <w:tcPr>
            <w:tcW w:w="1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36,267,047</w:t>
            </w:r>
          </w:p>
        </w:tc>
      </w:tr>
      <w:tr>
        <w:trPr>
          <w:trHeight w:val="251"/>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(9,331,499)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(559,890)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(21,089,188)</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(180,923,300)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(202,572,378)</w:t>
            </w:r>
          </w:p>
        </w:tc>
      </w:tr>
      <w:tr>
        <w:trPr>
          <w:trHeight w:val="198"/>
        </w:trPr>
        <w:tc>
          <w:tcPr>
            <w:tcW w:w="338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3380" w:type="dxa"/>
            <w:vAlign w:val="bottom"/>
          </w:tcPr>
          <w:p>
            <w:pPr>
              <w:ind w:left="20"/>
              <w:spacing w:after="0"/>
              <w:rPr>
                <w:sz w:val="20"/>
                <w:szCs w:val="20"/>
                <w:color w:val="auto"/>
              </w:rPr>
            </w:pPr>
            <w:r>
              <w:rPr>
                <w:rFonts w:ascii="Arial" w:cs="Arial" w:eastAsia="Arial" w:hAnsi="Arial"/>
                <w:sz w:val="16"/>
                <w:szCs w:val="16"/>
                <w:color w:val="auto"/>
              </w:rPr>
              <w:t>stock options, employee stock purchases and</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6"/>
        </w:trPr>
        <w:tc>
          <w:tcPr>
            <w:tcW w:w="338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3,977,471</w:t>
            </w:r>
          </w:p>
        </w:tc>
        <w:tc>
          <w:tcPr>
            <w:tcW w:w="1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3,977,471</w:t>
            </w:r>
          </w:p>
        </w:tc>
      </w:tr>
      <w:tr>
        <w:trPr>
          <w:trHeight w:val="251"/>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ASU 2016-01 Adoption</w:t>
            </w: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6,642,727</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(6,642,727)</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3380" w:type="dxa"/>
            <w:vAlign w:val="bottom"/>
          </w:tcPr>
          <w:p>
            <w:pPr>
              <w:ind w:left="20"/>
              <w:spacing w:after="0"/>
              <w:rPr>
                <w:sz w:val="20"/>
                <w:szCs w:val="20"/>
                <w:color w:val="auto"/>
              </w:rPr>
            </w:pPr>
            <w:r>
              <w:rPr>
                <w:rFonts w:ascii="Arial" w:cs="Arial" w:eastAsia="Arial" w:hAnsi="Arial"/>
                <w:sz w:val="16"/>
                <w:szCs w:val="16"/>
                <w:color w:val="auto"/>
              </w:rPr>
              <w:t>Dividends declared ($.110 per share)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(30,123,981)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(30,123,981)</w:t>
            </w:r>
          </w:p>
        </w:tc>
      </w:tr>
      <w:tr>
        <w:trPr>
          <w:trHeight w:val="251"/>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111,248,743</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111,248,743</w:t>
            </w:r>
          </w:p>
        </w:tc>
      </w:tr>
      <w:tr>
        <w:trPr>
          <w:trHeight w:val="237"/>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w:t>
            </w:r>
          </w:p>
        </w:tc>
        <w:tc>
          <w:tcPr>
            <w:tcW w:w="12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1,662,333</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1,662,333</w:t>
            </w:r>
          </w:p>
        </w:tc>
      </w:tr>
      <w:tr>
        <w:trPr>
          <w:trHeight w:val="237"/>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2018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273,854,377</w:t>
            </w:r>
          </w:p>
        </w:tc>
        <w:tc>
          <w:tcPr>
            <w:tcW w:w="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16,431,263</w:t>
            </w:r>
          </w:p>
        </w:tc>
        <w:tc>
          <w:tcPr>
            <w:tcW w:w="1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742,491,728</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$ 1,208,841,516</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2,212,989</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$ 1,969,977,496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163195</wp:posOffset>
            </wp:positionV>
            <wp:extent cx="722947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ectPr>
          <w:pgSz w:w="11900" w:h="16838" w:orient="portrait"/>
          <w:cols w:equalWidth="0" w:num="1">
            <w:col w:w="11400"/>
          </w:cols>
          <w:pgMar w:left="260" w:top="1411" w:right="239" w:bottom="1440" w:gutter="0" w:footer="0" w:header="0"/>
        </w:sectPr>
      </w:pPr>
    </w:p>
    <w:p>
      <w:pPr>
        <w:spacing w:after="0" w:line="266" w:lineRule="exact"/>
        <w:rPr>
          <w:sz w:val="20"/>
          <w:szCs w:val="20"/>
          <w:color w:val="auto"/>
        </w:rPr>
      </w:pPr>
    </w:p>
    <w:p>
      <w:pPr>
        <w:ind w:left="20" w:right="280"/>
        <w:spacing w:after="0" w:line="281"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Repurchases of common stock</w:t>
      </w:r>
    </w:p>
    <w:p>
      <w:pPr>
        <w:spacing w:after="0" w:line="59" w:lineRule="exact"/>
        <w:rPr>
          <w:sz w:val="20"/>
          <w:szCs w:val="20"/>
          <w:color w:val="auto"/>
        </w:rPr>
      </w:pPr>
    </w:p>
    <w:p>
      <w:pPr>
        <w:jc w:val="both"/>
        <w:ind w:left="20"/>
        <w:spacing w:after="0" w:line="269"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Dividends declared ($.110 per share)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160" w:type="dxa"/>
            <w:vAlign w:val="bottom"/>
          </w:tcPr>
          <w:p>
            <w:pPr>
              <w:jc w:val="right"/>
              <w:ind w:right="59"/>
              <w:spacing w:after="0"/>
              <w:rPr>
                <w:sz w:val="20"/>
                <w:szCs w:val="20"/>
                <w:color w:val="auto"/>
              </w:rPr>
            </w:pPr>
            <w:r>
              <w:rPr>
                <w:rFonts w:ascii="Arial" w:cs="Arial" w:eastAsia="Arial" w:hAnsi="Arial"/>
                <w:sz w:val="16"/>
                <w:szCs w:val="16"/>
                <w:color w:val="auto"/>
              </w:rPr>
              <w:t>1,353,561</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81,213</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16,648,333</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16,729,546</w:t>
            </w:r>
          </w:p>
        </w:tc>
      </w:tr>
      <w:tr>
        <w:trPr>
          <w:trHeight w:val="243"/>
        </w:trPr>
        <w:tc>
          <w:tcPr>
            <w:tcW w:w="1160" w:type="dxa"/>
            <w:vAlign w:val="bottom"/>
          </w:tcPr>
          <w:p>
            <w:pPr>
              <w:jc w:val="right"/>
              <w:ind w:right="19"/>
              <w:spacing w:after="0"/>
              <w:rPr>
                <w:sz w:val="20"/>
                <w:szCs w:val="20"/>
                <w:color w:val="auto"/>
              </w:rPr>
            </w:pPr>
            <w:r>
              <w:rPr>
                <w:rFonts w:ascii="Arial" w:cs="Arial" w:eastAsia="Arial" w:hAnsi="Arial"/>
                <w:sz w:val="16"/>
                <w:szCs w:val="16"/>
                <w:color w:val="auto"/>
              </w:rPr>
              <w:t>(6,284,817)</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(377,089)</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(15,020,714)</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(131,235,740)</w:t>
            </w:r>
          </w:p>
        </w:tc>
        <w:tc>
          <w:tcPr>
            <w:tcW w:w="34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(146,633,543)</w:t>
            </w:r>
          </w:p>
        </w:tc>
      </w:tr>
      <w:tr>
        <w:trPr>
          <w:trHeight w:val="621"/>
        </w:trPr>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4,675,468</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4,675,468</w:t>
            </w:r>
          </w:p>
        </w:tc>
      </w:tr>
      <w:tr>
        <w:trPr>
          <w:trHeight w:val="243"/>
        </w:trPr>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(29,581,544)</w:t>
            </w:r>
          </w:p>
        </w:tc>
        <w:tc>
          <w:tcPr>
            <w:tcW w:w="34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(29,581,544)</w:t>
            </w:r>
          </w:p>
        </w:tc>
      </w:tr>
      <w:tr>
        <w:trPr>
          <w:trHeight w:val="243"/>
        </w:trPr>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109,023,982</w:t>
            </w:r>
          </w:p>
        </w:tc>
        <w:tc>
          <w:tcPr>
            <w:tcW w:w="34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109,023,982</w:t>
            </w:r>
          </w:p>
        </w:tc>
      </w:tr>
      <w:tr>
        <w:trPr>
          <w:trHeight w:val="252"/>
        </w:trPr>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(2,692,093)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(2,692,093)</w:t>
            </w:r>
          </w:p>
        </w:tc>
      </w:tr>
      <w:tr>
        <w:trPr>
          <w:trHeight w:val="237"/>
        </w:trPr>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268,923,121</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16,135,387</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748,794,815</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$ 1,157,048,214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(479,104)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$ 1,921,499,312</w:t>
            </w:r>
          </w:p>
        </w:tc>
      </w:tr>
      <w:tr>
        <w:trPr>
          <w:trHeight w:val="27"/>
        </w:trPr>
        <w:tc>
          <w:tcPr>
            <w:tcW w:w="1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-1054100</wp:posOffset>
            </wp:positionV>
            <wp:extent cx="7229475"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39433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-505460</wp:posOffset>
            </wp:positionV>
            <wp:extent cx="7229475"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5430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-196850</wp:posOffset>
            </wp:positionV>
            <wp:extent cx="722947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20"/>
            <w:col w:w="8020"/>
          </w:cols>
          <w:pgMar w:left="260" w:top="141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30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60" w:top="1411" w:right="239" w:bottom="1440" w:gutter="0" w:footer="0" w:header="0"/>
          <w:type w:val="continuous"/>
        </w:sectPr>
      </w:pPr>
    </w:p>
    <w:bookmarkStart w:id="7" w:name="page8"/>
    <w:bookmarkEnd w:id="7"/>
    <w:p>
      <w:pPr>
        <w:jc w:val="center"/>
        <w:ind w:left="380" w:right="2300"/>
        <w:spacing w:after="0" w:line="46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Six Months Ended June 30, 2019 and 2018</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74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213,239,036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220,272,725</w:t>
            </w:r>
          </w:p>
        </w:tc>
        <w:tc>
          <w:tcPr>
            <w:tcW w:w="0" w:type="dxa"/>
            <w:vAlign w:val="bottom"/>
          </w:tcPr>
          <w:p>
            <w:pPr>
              <w:spacing w:after="0"/>
              <w:rPr>
                <w:sz w:val="1"/>
                <w:szCs w:val="1"/>
                <w:color w:val="auto"/>
              </w:rPr>
            </w:pPr>
          </w:p>
        </w:tc>
      </w:tr>
      <w:tr>
        <w:trPr>
          <w:trHeight w:val="252"/>
        </w:trPr>
        <w:tc>
          <w:tcPr>
            <w:tcW w:w="7440" w:type="dxa"/>
            <w:vAlign w:val="bottom"/>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53,296,388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55,908,679</w:t>
            </w:r>
          </w:p>
        </w:tc>
        <w:tc>
          <w:tcPr>
            <w:tcW w:w="0" w:type="dxa"/>
            <w:vAlign w:val="bottom"/>
          </w:tcPr>
          <w:p>
            <w:pPr>
              <w:spacing w:after="0"/>
              <w:rPr>
                <w:sz w:val="1"/>
                <w:szCs w:val="1"/>
                <w:color w:val="auto"/>
              </w:rPr>
            </w:pPr>
          </w:p>
        </w:tc>
      </w:tr>
      <w:tr>
        <w:trPr>
          <w:trHeight w:val="252"/>
        </w:trPr>
        <w:tc>
          <w:tcPr>
            <w:tcW w:w="744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(95,658)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(130,647)</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340,070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52"/>
        </w:trPr>
        <w:tc>
          <w:tcPr>
            <w:tcW w:w="7440" w:type="dxa"/>
            <w:vAlign w:val="bottom"/>
          </w:tcPr>
          <w:p>
            <w:pPr>
              <w:ind w:left="560"/>
              <w:spacing w:after="0"/>
              <w:rPr>
                <w:sz w:val="20"/>
                <w:szCs w:val="20"/>
                <w:color w:val="auto"/>
              </w:rPr>
            </w:pPr>
            <w:r>
              <w:rPr>
                <w:rFonts w:ascii="Arial" w:cs="Arial" w:eastAsia="Arial" w:hAnsi="Arial"/>
                <w:sz w:val="18"/>
                <w:szCs w:val="18"/>
                <w:color w:val="auto"/>
              </w:rPr>
              <w:t>(Gain) on sale of investments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(218,981)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(1,245,359)</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w:t>
            </w:r>
          </w:p>
        </w:tc>
        <w:tc>
          <w:tcPr>
            <w:tcW w:w="4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529,484</w:t>
            </w:r>
          </w:p>
        </w:tc>
        <w:tc>
          <w:tcPr>
            <w:tcW w:w="0" w:type="dxa"/>
            <w:vAlign w:val="bottom"/>
          </w:tcPr>
          <w:p>
            <w:pPr>
              <w:spacing w:after="0"/>
              <w:rPr>
                <w:sz w:val="1"/>
                <w:szCs w:val="1"/>
                <w:color w:val="auto"/>
              </w:rPr>
            </w:pPr>
          </w:p>
        </w:tc>
      </w:tr>
      <w:tr>
        <w:trPr>
          <w:trHeight w:val="252"/>
        </w:trPr>
        <w:tc>
          <w:tcPr>
            <w:tcW w:w="7440" w:type="dxa"/>
            <w:vAlign w:val="bottom"/>
          </w:tcPr>
          <w:p>
            <w:pPr>
              <w:ind w:left="56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196,133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(2,743,537)</w:t>
            </w:r>
          </w:p>
        </w:tc>
        <w:tc>
          <w:tcPr>
            <w:tcW w:w="0" w:type="dxa"/>
            <w:vAlign w:val="bottom"/>
          </w:tcPr>
          <w:p>
            <w:pPr>
              <w:spacing w:after="0"/>
              <w:rPr>
                <w:sz w:val="1"/>
                <w:szCs w:val="1"/>
                <w:color w:val="auto"/>
              </w:rPr>
            </w:pPr>
          </w:p>
        </w:tc>
      </w:tr>
      <w:tr>
        <w:trPr>
          <w:trHeight w:val="211"/>
        </w:trPr>
        <w:tc>
          <w:tcPr>
            <w:tcW w:w="7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Stock-based compensation expense related to employee stock options, employee</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7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10,139,148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8,652,939</w:t>
            </w:r>
          </w:p>
        </w:tc>
        <w:tc>
          <w:tcPr>
            <w:tcW w:w="0" w:type="dxa"/>
            <w:vAlign w:val="bottom"/>
          </w:tcPr>
          <w:p>
            <w:pPr>
              <w:spacing w:after="0"/>
              <w:rPr>
                <w:sz w:val="1"/>
                <w:szCs w:val="1"/>
                <w:color w:val="auto"/>
              </w:rPr>
            </w:pPr>
          </w:p>
        </w:tc>
      </w:tr>
      <w:tr>
        <w:trPr>
          <w:trHeight w:val="252"/>
        </w:trPr>
        <w:tc>
          <w:tcPr>
            <w:tcW w:w="744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receivable, net</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(12,888,533)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(8,284,592)</w:t>
            </w:r>
          </w:p>
        </w:tc>
        <w:tc>
          <w:tcPr>
            <w:tcW w:w="0" w:type="dxa"/>
            <w:vAlign w:val="bottom"/>
          </w:tcPr>
          <w:p>
            <w:pPr>
              <w:spacing w:after="0"/>
              <w:rPr>
                <w:sz w:val="1"/>
                <w:szCs w:val="1"/>
                <w:color w:val="auto"/>
              </w:rPr>
            </w:pPr>
          </w:p>
        </w:tc>
      </w:tr>
      <w:tr>
        <w:trPr>
          <w:trHeight w:val="252"/>
        </w:trPr>
        <w:tc>
          <w:tcPr>
            <w:tcW w:w="7440" w:type="dxa"/>
            <w:vAlign w:val="bottom"/>
          </w:tcPr>
          <w:p>
            <w:pPr>
              <w:ind w:left="78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187,136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4,389,930</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Prepaid expenses and other</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(2,311,576)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(9,171,506)</w:t>
            </w:r>
          </w:p>
        </w:tc>
        <w:tc>
          <w:tcPr>
            <w:tcW w:w="0" w:type="dxa"/>
            <w:vAlign w:val="bottom"/>
          </w:tcPr>
          <w:p>
            <w:pPr>
              <w:spacing w:after="0"/>
              <w:rPr>
                <w:sz w:val="1"/>
                <w:szCs w:val="1"/>
                <w:color w:val="auto"/>
              </w:rPr>
            </w:pPr>
          </w:p>
        </w:tc>
      </w:tr>
      <w:tr>
        <w:trPr>
          <w:trHeight w:val="252"/>
        </w:trPr>
        <w:tc>
          <w:tcPr>
            <w:tcW w:w="744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(2,769,229)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16,885,979</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4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14,353,360</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7,309,915</w:t>
            </w:r>
          </w:p>
        </w:tc>
        <w:tc>
          <w:tcPr>
            <w:tcW w:w="0" w:type="dxa"/>
            <w:vAlign w:val="bottom"/>
          </w:tcPr>
          <w:p>
            <w:pPr>
              <w:spacing w:after="0"/>
              <w:rPr>
                <w:sz w:val="1"/>
                <w:szCs w:val="1"/>
                <w:color w:val="auto"/>
              </w:rPr>
            </w:pPr>
          </w:p>
        </w:tc>
      </w:tr>
      <w:tr>
        <w:trPr>
          <w:trHeight w:val="245"/>
        </w:trPr>
        <w:tc>
          <w:tcPr>
            <w:tcW w:w="744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273,467,294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292,384,554</w:t>
            </w:r>
          </w:p>
        </w:tc>
        <w:tc>
          <w:tcPr>
            <w:tcW w:w="0" w:type="dxa"/>
            <w:vAlign w:val="bottom"/>
          </w:tcPr>
          <w:p>
            <w:pPr>
              <w:spacing w:after="0"/>
              <w:rPr>
                <w:sz w:val="1"/>
                <w:szCs w:val="1"/>
                <w:color w:val="auto"/>
              </w:rPr>
            </w:pPr>
          </w:p>
        </w:tc>
      </w:tr>
      <w:tr>
        <w:trPr>
          <w:trHeight w:val="160"/>
        </w:trPr>
        <w:tc>
          <w:tcPr>
            <w:tcW w:w="74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744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Activity in available-for-sale securities:</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7440" w:type="dxa"/>
            <w:vAlign w:val="bottom"/>
          </w:tcPr>
          <w:p>
            <w:pPr>
              <w:ind w:left="360"/>
              <w:spacing w:after="0"/>
              <w:rPr>
                <w:sz w:val="20"/>
                <w:szCs w:val="20"/>
                <w:color w:val="auto"/>
              </w:rPr>
            </w:pPr>
            <w:r>
              <w:rPr>
                <w:rFonts w:ascii="Arial" w:cs="Arial" w:eastAsia="Arial" w:hAnsi="Arial"/>
                <w:sz w:val="18"/>
                <w:szCs w:val="18"/>
                <w:color w:val="auto"/>
              </w:rPr>
              <w:t>Sales proceeds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28,845,319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53,822,336</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Maturities and calls</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9,714,000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21,884,000</w:t>
            </w:r>
          </w:p>
        </w:tc>
        <w:tc>
          <w:tcPr>
            <w:tcW w:w="0" w:type="dxa"/>
            <w:vAlign w:val="bottom"/>
          </w:tcPr>
          <w:p>
            <w:pPr>
              <w:spacing w:after="0"/>
              <w:rPr>
                <w:sz w:val="1"/>
                <w:szCs w:val="1"/>
                <w:color w:val="auto"/>
              </w:rPr>
            </w:pPr>
          </w:p>
        </w:tc>
      </w:tr>
      <w:tr>
        <w:trPr>
          <w:trHeight w:val="252"/>
        </w:trPr>
        <w:tc>
          <w:tcPr>
            <w:tcW w:w="744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(40,298,297)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(177,243,275)</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Plant and equipment additions</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(45,504,667)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(51,860,448)</w:t>
            </w:r>
          </w:p>
        </w:tc>
        <w:tc>
          <w:tcPr>
            <w:tcW w:w="0" w:type="dxa"/>
            <w:vAlign w:val="bottom"/>
          </w:tcPr>
          <w:p>
            <w:pPr>
              <w:spacing w:after="0"/>
              <w:rPr>
                <w:sz w:val="1"/>
                <w:szCs w:val="1"/>
                <w:color w:val="auto"/>
              </w:rPr>
            </w:pPr>
          </w:p>
        </w:tc>
      </w:tr>
      <w:tr>
        <w:trPr>
          <w:trHeight w:val="252"/>
        </w:trPr>
        <w:tc>
          <w:tcPr>
            <w:tcW w:w="7440" w:type="dxa"/>
            <w:vAlign w:val="bottom"/>
          </w:tcPr>
          <w:p>
            <w:pPr>
              <w:ind w:left="240"/>
              <w:spacing w:after="0"/>
              <w:rPr>
                <w:sz w:val="20"/>
                <w:szCs w:val="20"/>
                <w:color w:val="auto"/>
              </w:rPr>
            </w:pPr>
            <w:r>
              <w:rPr>
                <w:rFonts w:ascii="Arial" w:cs="Arial" w:eastAsia="Arial" w:hAnsi="Arial"/>
                <w:sz w:val="18"/>
                <w:szCs w:val="18"/>
                <w:color w:val="auto"/>
              </w:rPr>
              <w:t>Proceeds from sale of plant and equipment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227,738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179,700</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Decrease in other assets</w:t>
            </w:r>
          </w:p>
        </w:tc>
        <w:tc>
          <w:tcPr>
            <w:tcW w:w="4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(1,022,057)</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(2,965,781)</w:t>
            </w:r>
          </w:p>
        </w:tc>
        <w:tc>
          <w:tcPr>
            <w:tcW w:w="0" w:type="dxa"/>
            <w:vAlign w:val="bottom"/>
          </w:tcPr>
          <w:p>
            <w:pPr>
              <w:spacing w:after="0"/>
              <w:rPr>
                <w:sz w:val="1"/>
                <w:szCs w:val="1"/>
                <w:color w:val="auto"/>
              </w:rPr>
            </w:pPr>
          </w:p>
        </w:tc>
      </w:tr>
      <w:tr>
        <w:trPr>
          <w:trHeight w:val="245"/>
        </w:trPr>
        <w:tc>
          <w:tcPr>
            <w:tcW w:w="744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(48,037,964)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(156,183,468)</w:t>
            </w:r>
          </w:p>
        </w:tc>
        <w:tc>
          <w:tcPr>
            <w:tcW w:w="0" w:type="dxa"/>
            <w:vAlign w:val="bottom"/>
          </w:tcPr>
          <w:p>
            <w:pPr>
              <w:spacing w:after="0"/>
              <w:rPr>
                <w:sz w:val="1"/>
                <w:szCs w:val="1"/>
                <w:color w:val="auto"/>
              </w:rPr>
            </w:pPr>
          </w:p>
        </w:tc>
      </w:tr>
      <w:tr>
        <w:trPr>
          <w:trHeight w:val="201"/>
        </w:trPr>
        <w:tc>
          <w:tcPr>
            <w:tcW w:w="7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44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 of debt</w:t>
            </w:r>
          </w:p>
        </w:tc>
        <w:tc>
          <w:tcPr>
            <w:tcW w:w="4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(54,875,000)</w:t>
            </w:r>
          </w:p>
        </w:tc>
        <w:tc>
          <w:tcPr>
            <w:tcW w:w="0" w:type="dxa"/>
            <w:vAlign w:val="bottom"/>
          </w:tcPr>
          <w:p>
            <w:pPr>
              <w:spacing w:after="0"/>
              <w:rPr>
                <w:sz w:val="1"/>
                <w:szCs w:val="1"/>
                <w:color w:val="auto"/>
              </w:rPr>
            </w:pPr>
          </w:p>
        </w:tc>
      </w:tr>
      <w:tr>
        <w:trPr>
          <w:trHeight w:val="252"/>
        </w:trPr>
        <w:tc>
          <w:tcPr>
            <w:tcW w:w="7440" w:type="dxa"/>
            <w:vAlign w:val="bottom"/>
          </w:tcPr>
          <w:p>
            <w:pPr>
              <w:ind w:left="240"/>
              <w:spacing w:after="0"/>
              <w:rPr>
                <w:sz w:val="20"/>
                <w:szCs w:val="20"/>
                <w:color w:val="auto"/>
              </w:rPr>
            </w:pPr>
            <w:r>
              <w:rPr>
                <w:rFonts w:ascii="Arial" w:cs="Arial" w:eastAsia="Arial" w:hAnsi="Arial"/>
                <w:sz w:val="18"/>
                <w:szCs w:val="18"/>
                <w:color w:val="auto"/>
              </w:rPr>
              <w:t>Issuance of common stock from stock plan transactions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41,934,814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52,996,593</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dividends paid</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(57,918,158)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(58,152,113)</w:t>
            </w:r>
          </w:p>
        </w:tc>
        <w:tc>
          <w:tcPr>
            <w:tcW w:w="0" w:type="dxa"/>
            <w:vAlign w:val="bottom"/>
          </w:tcPr>
          <w:p>
            <w:pPr>
              <w:spacing w:after="0"/>
              <w:rPr>
                <w:sz w:val="1"/>
                <w:szCs w:val="1"/>
                <w:color w:val="auto"/>
              </w:rPr>
            </w:pPr>
          </w:p>
        </w:tc>
      </w:tr>
      <w:tr>
        <w:trPr>
          <w:trHeight w:val="252"/>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Repurchases of common stock</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(166,138,372)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(349,205,921)</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cash (used for) financing activities</w:t>
            </w: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(182,121,716)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(409,236,441)</w:t>
            </w:r>
          </w:p>
        </w:tc>
        <w:tc>
          <w:tcPr>
            <w:tcW w:w="0" w:type="dxa"/>
            <w:vAlign w:val="bottom"/>
          </w:tcPr>
          <w:p>
            <w:pPr>
              <w:spacing w:after="0"/>
              <w:rPr>
                <w:sz w:val="1"/>
                <w:szCs w:val="1"/>
                <w:color w:val="auto"/>
              </w:rPr>
            </w:pPr>
          </w:p>
        </w:tc>
      </w:tr>
      <w:tr>
        <w:trPr>
          <w:trHeight w:val="201"/>
        </w:trPr>
        <w:tc>
          <w:tcPr>
            <w:tcW w:w="7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43,307,614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(273,035,355)</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217,025,278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569,734,496</w:t>
            </w:r>
          </w:p>
        </w:tc>
        <w:tc>
          <w:tcPr>
            <w:tcW w:w="0" w:type="dxa"/>
            <w:vAlign w:val="bottom"/>
          </w:tcPr>
          <w:p>
            <w:pPr>
              <w:spacing w:after="0"/>
              <w:rPr>
                <w:sz w:val="1"/>
                <w:szCs w:val="1"/>
                <w:color w:val="auto"/>
              </w:rPr>
            </w:pPr>
          </w:p>
        </w:tc>
      </w:tr>
      <w:tr>
        <w:trPr>
          <w:trHeight w:val="255"/>
        </w:trPr>
        <w:tc>
          <w:tcPr>
            <w:tcW w:w="7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260,332,892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296,699,141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63"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2018 annual report on Form 10-K. In the opinion of management, the accompanying unaudited condensed consolidated financial statements contain all adjustments, consisting of only a normal and recurring nature, necessary to present fairly the financial position of the Company as of June 30, 2019, and the results of operations and cash flows for the interim periods presented.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(2) Adoption of New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 Accounting Pronouncements Adopted in Fiscal Year 2019</w:t>
      </w:r>
    </w:p>
    <w:p>
      <w:pPr>
        <w:spacing w:after="0" w:line="252"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color w:val="auto"/>
        </w:rPr>
        <w:t xml:space="preserve">Effective January 1, 2019, the Company adopted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which provides guidance for lease accounting. The new guidance contained in the ASU stipulates that lessees will need to recognize a right-of-use ("ROU") asset and a lease liability for substantially all leases (other than leases that meet the definition of a short-term lease). The liability will be equal to the present value of lease payments. Treatment in the consolidated statements of income will be similar to the historical treatment of operating and capital leases. The adoption of this standard did not have a material impact on the Company's consolidated balance sheet or consolidated income statement. Disclosures are now required to meet the objective of enabling users of financial statements to assess the amount, timing, and uncertainty of cash flows arising from leases.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 Accounting Pronouncements Not Yet Adopted</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w:t>
      </w:r>
      <w:r>
        <w:rPr>
          <w:rFonts w:ascii="Arial" w:cs="Arial" w:eastAsia="Arial" w:hAnsi="Arial"/>
          <w:sz w:val="18"/>
          <w:szCs w:val="18"/>
          <w:color w:val="auto"/>
        </w:rPr>
        <w:t>s. The standard requires a change in the measurement approach for credit losses on financial assets measured on</w:t>
      </w:r>
      <w:r>
        <w:rPr>
          <w:rFonts w:ascii="Arial" w:cs="Arial" w:eastAsia="Arial" w:hAnsi="Arial"/>
          <w:sz w:val="18"/>
          <w:szCs w:val="18"/>
          <w:i w:val="1"/>
          <w:iCs w:val="1"/>
          <w:color w:val="auto"/>
        </w:rPr>
        <w:t xml:space="preserve"> </w:t>
      </w:r>
      <w:r>
        <w:rPr>
          <w:rFonts w:ascii="Arial" w:cs="Arial" w:eastAsia="Arial" w:hAnsi="Arial"/>
          <w:sz w:val="18"/>
          <w:szCs w:val="18"/>
          <w:color w:val="auto"/>
        </w:rPr>
        <w:t>an amortized cost basis from an incurred loss method to an expected loss method, thereby eliminating the requirement that a credit loss be considered probable to impact the valuation of a financial asset measured on an amortized cost basis. The standard requires the measurement of expected credit losses to be based on relevant information about past events, including historical experience, current conditions, and a reasonable and supportable forecast that affects the collectability of the related financial asset. The Company will be required to adopt ASU 2016-13 as of January 1, 2020. Early adoption is permitted. The Company is currently evaluating the impact of ASU 2016-13 on the Company’s consolidated financial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(3) Goodwill and Other Intangible Assets</w:t>
      </w:r>
    </w:p>
    <w:p>
      <w:pPr>
        <w:spacing w:after="0" w:line="252"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The carrying value of Goodwill as of both December 31, 2018 and June 30, 2019 was $307.4 million.</w:t>
      </w:r>
    </w:p>
    <w:p>
      <w:pPr>
        <w:spacing w:after="0" w:line="21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thus resulting in the need for interim impairment testing, including long-term revenue growth projections, profitability, discount rates, recent market valuations from transactions by comparable companies, volatility in the Company's market capitalization, and general</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5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industry, market and macroeconomic conditions. No such events or circumstances in the most recently completed quarter indicated the need for interim impairment testing.</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w:t>
      </w:r>
    </w:p>
    <w:p>
      <w:pPr>
        <w:spacing w:after="0" w:line="7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54"/>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Gross</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5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37,307,011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(22,002,673)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15,304,338</w:t>
            </w: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52,000,000</w:t>
            </w:r>
          </w:p>
        </w:tc>
        <w:tc>
          <w:tcPr>
            <w:tcW w:w="40" w:type="dxa"/>
            <w:vAlign w:val="bottom"/>
          </w:tcPr>
          <w:p>
            <w:pPr>
              <w:spacing w:after="0"/>
              <w:rPr>
                <w:sz w:val="22"/>
                <w:szCs w:val="22"/>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(86,250,000)</w:t>
            </w: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93,750,000</w:t>
            </w: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52"/>
        </w:trPr>
        <w:tc>
          <w:tcPr>
            <w:tcW w:w="416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43,000,000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(24,725,000)</w:t>
            </w:r>
          </w:p>
        </w:tc>
        <w:tc>
          <w:tcPr>
            <w:tcW w:w="2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18,275,000</w:t>
            </w:r>
          </w:p>
        </w:tc>
        <w:tc>
          <w:tcPr>
            <w:tcW w:w="40" w:type="dxa"/>
            <w:vAlign w:val="bottom"/>
          </w:tcPr>
          <w:p>
            <w:pPr>
              <w:spacing w:after="0"/>
              <w:rPr>
                <w:sz w:val="21"/>
                <w:szCs w:val="21"/>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96,000,000</w:t>
            </w:r>
          </w:p>
        </w:tc>
        <w:tc>
          <w:tcPr>
            <w:tcW w:w="40" w:type="dxa"/>
            <w:vAlign w:val="bottom"/>
            <w:tcBorders>
              <w:bottom w:val="single" w:sz="8" w:color="auto"/>
            </w:tcBorders>
            <w:shd w:val="clear" w:color="auto" w:fill="CCEEFF"/>
          </w:tcPr>
          <w:p>
            <w:pPr>
              <w:spacing w:after="0"/>
              <w:rPr>
                <w:sz w:val="22"/>
                <w:szCs w:val="22"/>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5"/>
        </w:trPr>
        <w:tc>
          <w:tcPr>
            <w:tcW w:w="416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371,000,000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(110,975,000)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260,025,000</w:t>
            </w:r>
          </w:p>
        </w:tc>
        <w:tc>
          <w:tcPr>
            <w:tcW w:w="40" w:type="dxa"/>
            <w:vAlign w:val="bottom"/>
            <w:tcBorders>
              <w:bottom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408,307,011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(132,977,673)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275,329,338</w:t>
            </w:r>
          </w:p>
        </w:tc>
        <w:tc>
          <w:tcPr>
            <w:tcW w:w="4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Arial" w:cs="Arial" w:eastAsia="Arial" w:hAnsi="Arial"/>
                <w:sz w:val="18"/>
                <w:szCs w:val="18"/>
                <w:color w:val="auto"/>
              </w:rPr>
              <w:t>As of December 31, 2018:</w:t>
            </w: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8"/>
        </w:trPr>
        <w:tc>
          <w:tcPr>
            <w:tcW w:w="4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16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134"/>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76"/>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36,737,434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(21,014,168)</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15,723,266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52,000,000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jc w:val="right"/>
              <w:ind w:right="11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52,000,000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180,000,000</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(78,750,000)</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101,250,000</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52"/>
        </w:trPr>
        <w:tc>
          <w:tcPr>
            <w:tcW w:w="416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43,000,000</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(22,575,000)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20,425,000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61"/>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96,000,000</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371,000,000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(101,325,000)</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269,675,000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407,737,434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(122,339,168)</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285,398,266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Amortization expense on patents and intangible assets was approximately $5.6 million and $11.2 million during the three and six months ended June 30, 2019, respectively, compared to approximately $5.6 million and $11.3 million for the same periods ended June 30, 2018, respectively.</w:t>
      </w:r>
    </w:p>
    <w:p>
      <w:pPr>
        <w:spacing w:after="0" w:line="190"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Excluding the impact of any future acquisitions, the Company continues to estimate amortization expense for each of the years ended December 31, 2019, 2020, and 2021 to be approximately $22 million annually, approximately $21 million for 2022, and approximately $19 million for the year ended December 31,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(4) Investments</w:t>
      </w:r>
    </w:p>
    <w:p>
      <w:pPr>
        <w:spacing w:after="0" w:line="15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358" w:right="239" w:bottom="1440" w:gutter="0" w:footer="0" w:header="0"/>
          <w:type w:val="continuous"/>
        </w:sectPr>
      </w:pPr>
    </w:p>
    <w:bookmarkStart w:id="10" w:name="page11"/>
    <w:bookmarkEnd w:id="1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determines the fair value of its government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9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Company's certificates of deposit have remaining maturities of less than one year and are considered as Level 1 assets. These investments are carried at cost, which approximates fair value.</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Company will also periodically make technology investments in certain non-consolidated third-parties.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Equity investments that do not have readily determinable fair values, and where the Company has not identified any observable events that would cause adjustment of the valuation to date, such equity investments are held at cost. These technology investments totaled $7.6 million and $3.85 million as of June 30, 2019 and December 31, 2018, respectively. These investments are classified within Long-Term Investments in the consolidated balance sheet.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June 30, 2019 and December 31,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gridSpan w:val="7"/>
          </w:tcPr>
          <w:p>
            <w:pPr>
              <w:jc w:val="center"/>
              <w:ind w:right="56"/>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3"/>
        </w:trPr>
        <w:tc>
          <w:tcPr>
            <w:tcW w:w="2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400" w:type="dxa"/>
            <w:vAlign w:val="bottom"/>
          </w:tcPr>
          <w:p>
            <w:pPr>
              <w:jc w:val="center"/>
              <w:ind w:right="136"/>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 as of</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1"/>
                <w:szCs w:val="11"/>
                <w:color w:val="auto"/>
              </w:rPr>
            </w:pPr>
          </w:p>
        </w:tc>
        <w:tc>
          <w:tcPr>
            <w:tcW w:w="16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40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260,332,892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260,332,892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150,299,384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150,299,384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0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23,953,999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23,953,999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15,027,102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15,027,102</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00" w:type="dxa"/>
            <w:vAlign w:val="bottom"/>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1,284,580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1,284,580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9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62,317,048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62,317,048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28,131,587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28,131,587</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0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23,012,586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23,012,586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564,359,178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411,916,856</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152,442,322</w:t>
            </w: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5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760"/>
          </w:cols>
          <w:pgMar w:left="900" w:top="358" w:right="239" w:bottom="1440" w:gutter="0" w:footer="0" w:header="0"/>
          <w:type w:val="continuous"/>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gridSpan w:val="7"/>
          </w:tcPr>
          <w:p>
            <w:pPr>
              <w:jc w:val="center"/>
              <w:ind w:right="56"/>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3"/>
        </w:trPr>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80" w:type="dxa"/>
            <w:vAlign w:val="bottom"/>
          </w:tcPr>
          <w:p>
            <w:pPr>
              <w:jc w:val="center"/>
              <w:ind w:right="136"/>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1"/>
                <w:szCs w:val="11"/>
                <w:color w:val="auto"/>
              </w:rPr>
            </w:pPr>
          </w:p>
        </w:tc>
        <w:tc>
          <w:tcPr>
            <w:tcW w:w="15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38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217,025,278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217,025,278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150,299,384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150,299,384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2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9,176,227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9,176,227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6,967,700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6,967,700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20" w:type="dxa"/>
            <w:vAlign w:val="bottom"/>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2,219,688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2,219,688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9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60,369,930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60,369,930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18,025,432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18,025,432</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2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56,483,720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56,483,720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520,567,359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369,544,350</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151,023,009</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unrealized gains and losses, and market value of investment securities are shown as of June 30, 2019 and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3"/>
        </w:trPr>
        <w:tc>
          <w:tcPr>
            <w:tcW w:w="3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352"/>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52"/>
        </w:trPr>
        <w:tc>
          <w:tcPr>
            <w:tcW w:w="342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150,299,384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150,299,384</w:t>
            </w:r>
          </w:p>
        </w:tc>
      </w:tr>
      <w:tr>
        <w:trPr>
          <w:trHeight w:val="261"/>
        </w:trPr>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23,895,390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23,953,999</w:t>
            </w:r>
          </w:p>
        </w:tc>
      </w:tr>
      <w:tr>
        <w:trPr>
          <w:trHeight w:val="252"/>
        </w:trPr>
        <w:tc>
          <w:tcPr>
            <w:tcW w:w="34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14,968,562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58,540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15,027,102</w:t>
            </w:r>
          </w:p>
        </w:tc>
      </w:tr>
      <w:tr>
        <w:trPr>
          <w:trHeight w:val="261"/>
        </w:trPr>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1,284,580</w:t>
            </w:r>
          </w:p>
        </w:tc>
      </w:tr>
      <w:tr>
        <w:trPr>
          <w:trHeight w:val="252"/>
        </w:trPr>
        <w:tc>
          <w:tcPr>
            <w:tcW w:w="34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61"/>
        </w:trPr>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61,354,213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996,062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62,317,048</w:t>
            </w:r>
          </w:p>
        </w:tc>
      </w:tr>
      <w:tr>
        <w:trPr>
          <w:trHeight w:val="252"/>
        </w:trPr>
        <w:tc>
          <w:tcPr>
            <w:tcW w:w="342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27,088,064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1,050,416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28,131,587</w:t>
            </w:r>
          </w:p>
        </w:tc>
      </w:tr>
      <w:tr>
        <w:trPr>
          <w:trHeight w:val="257"/>
        </w:trPr>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22,785,296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227,290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23,012,586</w:t>
            </w:r>
          </w:p>
        </w:tc>
      </w:tr>
      <w:tr>
        <w:trPr>
          <w:trHeight w:val="255"/>
        </w:trPr>
        <w:tc>
          <w:tcPr>
            <w:tcW w:w="34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301,675,489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2,391,676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304,026,286</w:t>
            </w:r>
          </w:p>
        </w:tc>
      </w:tr>
      <w:tr>
        <w:trPr>
          <w:trHeight w:val="21"/>
        </w:trPr>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760"/>
          </w:cols>
          <w:pgMar w:left="900" w:top="358" w:right="239" w:bottom="1440" w:gutter="0" w:footer="0" w:header="0"/>
          <w:type w:val="continuous"/>
        </w:sectPr>
      </w:pPr>
    </w:p>
    <w:bookmarkStart w:id="12" w:name="page13"/>
    <w:bookmarkEnd w:id="1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Unrealized</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11"/>
              <w:spacing w:after="0"/>
              <w:rPr>
                <w:sz w:val="20"/>
                <w:szCs w:val="20"/>
                <w:color w:val="auto"/>
              </w:rPr>
            </w:pPr>
            <w:r>
              <w:rPr>
                <w:rFonts w:ascii="Arial" w:cs="Arial" w:eastAsia="Arial" w:hAnsi="Arial"/>
                <w:sz w:val="14"/>
                <w:szCs w:val="14"/>
                <w:b w:val="1"/>
                <w:bCs w:val="1"/>
                <w:color w:val="auto"/>
              </w:rPr>
              <w:t>Market Value</w:t>
            </w:r>
          </w:p>
        </w:tc>
      </w:tr>
      <w:tr>
        <w:trPr>
          <w:trHeight w:val="211"/>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52"/>
        </w:trPr>
        <w:tc>
          <w:tcPr>
            <w:tcW w:w="384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150,299,384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150,299,384</w:t>
            </w:r>
          </w:p>
        </w:tc>
      </w:tr>
      <w:tr>
        <w:trPr>
          <w:trHeight w:val="261"/>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9,186,586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9,176,227</w:t>
            </w:r>
          </w:p>
        </w:tc>
      </w:tr>
      <w:tr>
        <w:trPr>
          <w:trHeight w:val="252"/>
        </w:trPr>
        <w:tc>
          <w:tcPr>
            <w:tcW w:w="38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6,981,305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(13,605)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6,967,700</w:t>
            </w:r>
          </w:p>
        </w:tc>
      </w:tr>
      <w:tr>
        <w:trPr>
          <w:trHeight w:val="261"/>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2,219,688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2,219,688</w:t>
            </w:r>
          </w:p>
        </w:tc>
      </w:tr>
      <w:tr>
        <w:trPr>
          <w:trHeight w:val="252"/>
        </w:trPr>
        <w:tc>
          <w:tcPr>
            <w:tcW w:w="38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1"/>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60,659,498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(339,908)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60,369,930</w:t>
            </w:r>
          </w:p>
        </w:tc>
      </w:tr>
      <w:tr>
        <w:trPr>
          <w:trHeight w:val="252"/>
        </w:trPr>
        <w:tc>
          <w:tcPr>
            <w:tcW w:w="384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17,840,518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184,914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18,025,432</w:t>
            </w:r>
          </w:p>
        </w:tc>
      </w:tr>
      <w:tr>
        <w:trPr>
          <w:trHeight w:val="257"/>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56,280,552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205,553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56,483,720</w:t>
            </w:r>
          </w:p>
        </w:tc>
      </w:tr>
      <w:tr>
        <w:trPr>
          <w:trHeight w:val="255"/>
        </w:trPr>
        <w:tc>
          <w:tcPr>
            <w:tcW w:w="38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303,467,531</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440,807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(366,257)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303,542,081</w:t>
            </w:r>
          </w:p>
        </w:tc>
      </w:tr>
      <w:tr>
        <w:trPr>
          <w:trHeight w:val="21"/>
        </w:trPr>
        <w:tc>
          <w:tcPr>
            <w:tcW w:w="38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65"/>
        </w:trPr>
        <w:tc>
          <w:tcPr>
            <w:tcW w:w="5800" w:type="dxa"/>
            <w:vAlign w:val="bottom"/>
            <w:gridSpan w:val="5"/>
          </w:tcPr>
          <w:p>
            <w:pPr>
              <w:spacing w:after="0"/>
              <w:rPr>
                <w:sz w:val="20"/>
                <w:szCs w:val="20"/>
                <w:color w:val="auto"/>
              </w:rPr>
            </w:pPr>
            <w:r>
              <w:rPr>
                <w:rFonts w:ascii="Arial" w:cs="Arial" w:eastAsia="Arial" w:hAnsi="Arial"/>
                <w:sz w:val="18"/>
                <w:szCs w:val="18"/>
                <w:color w:val="auto"/>
              </w:rPr>
              <w:t>Unrealized losses on investments as of June 30, 2019, are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8"/>
        </w:trPr>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19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Aggregate Fair Value</w:t>
            </w:r>
          </w:p>
        </w:tc>
      </w:tr>
      <w:tr>
        <w:trPr>
          <w:trHeight w:val="251"/>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26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40,879</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5,823,459</w:t>
            </w:r>
          </w:p>
        </w:tc>
      </w:tr>
      <w:tr>
        <w:trPr>
          <w:trHeight w:val="252"/>
        </w:trPr>
        <w:tc>
          <w:tcPr>
            <w:tcW w:w="3840" w:type="dxa"/>
            <w:vAlign w:val="bottom"/>
          </w:tcPr>
          <w:p>
            <w:pPr>
              <w:ind w:left="20"/>
              <w:spacing w:after="0"/>
              <w:rPr>
                <w:sz w:val="20"/>
                <w:szCs w:val="20"/>
                <w:color w:val="auto"/>
              </w:rPr>
            </w:pPr>
            <w:r>
              <w:rPr>
                <w:rFonts w:ascii="Arial" w:cs="Arial" w:eastAsia="Arial" w:hAnsi="Arial"/>
                <w:sz w:val="18"/>
                <w:szCs w:val="18"/>
                <w:color w:val="auto"/>
              </w:rPr>
              <w:t>Greater than one year</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3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bottom w:val="single" w:sz="8" w:color="CCEEFF"/>
            </w:tcBorders>
            <w:shd w:val="clear" w:color="auto" w:fill="CCEEFF"/>
          </w:tcPr>
          <w:p>
            <w:pPr>
              <w:spacing w:after="0"/>
              <w:rPr>
                <w:sz w:val="23"/>
                <w:szCs w:val="23"/>
                <w:color w:val="auto"/>
              </w:rPr>
            </w:pPr>
          </w:p>
        </w:tc>
        <w:tc>
          <w:tcPr>
            <w:tcW w:w="12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CCEEFF"/>
              <w:bottom w:val="single" w:sz="8" w:color="CCEEFF"/>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5,823,459</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2018,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0" w:type="dxa"/>
            <w:vAlign w:val="bottom"/>
          </w:tcPr>
          <w:p>
            <w:pPr>
              <w:spacing w:after="0"/>
              <w:rPr>
                <w:sz w:val="16"/>
                <w:szCs w:val="16"/>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200" w:type="dxa"/>
            <w:vAlign w:val="bottom"/>
          </w:tcPr>
          <w:p>
            <w:pPr>
              <w:spacing w:after="0"/>
              <w:rPr>
                <w:sz w:val="16"/>
                <w:szCs w:val="16"/>
                <w:color w:val="auto"/>
              </w:rPr>
            </w:pPr>
          </w:p>
        </w:tc>
        <w:tc>
          <w:tcPr>
            <w:tcW w:w="1780" w:type="dxa"/>
            <w:vAlign w:val="bottom"/>
          </w:tcPr>
          <w:p>
            <w:pPr>
              <w:jc w:val="right"/>
              <w:ind w:right="174"/>
              <w:spacing w:after="0"/>
              <w:rPr>
                <w:sz w:val="20"/>
                <w:szCs w:val="20"/>
                <w:color w:val="auto"/>
              </w:rPr>
            </w:pPr>
            <w:r>
              <w:rPr>
                <w:rFonts w:ascii="Arial" w:cs="Arial" w:eastAsia="Arial" w:hAnsi="Arial"/>
                <w:sz w:val="14"/>
                <w:szCs w:val="14"/>
                <w:b w:val="1"/>
                <w:bCs w:val="1"/>
                <w:color w:val="auto"/>
              </w:rPr>
              <w:t>Aggregate Fair Value</w:t>
            </w:r>
          </w:p>
        </w:tc>
      </w:tr>
      <w:tr>
        <w:trPr>
          <w:trHeight w:val="25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365,824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68,722,980</w:t>
            </w:r>
          </w:p>
        </w:tc>
      </w:tr>
      <w:tr>
        <w:trPr>
          <w:trHeight w:val="252"/>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Greater than one year</w:t>
            </w:r>
          </w:p>
        </w:tc>
        <w:tc>
          <w:tcPr>
            <w:tcW w:w="7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r>
      <w:tr>
        <w:trPr>
          <w:trHeight w:val="275"/>
        </w:trPr>
        <w:tc>
          <w:tcPr>
            <w:tcW w:w="5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71,722,980</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ASC 320,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as amended, provides guidance on determining when an investment is other than temporarily impaired. No investment losses were considered to be other than temporary during the periods presented. The Company has the intention and current ability to hold its debt investments until the amortized cost basis has been recovered.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Fixed income securities as of June 30, 2019 have contractual maturities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189,280,485</w:t>
            </w:r>
          </w:p>
        </w:tc>
      </w:tr>
      <w:tr>
        <w:trPr>
          <w:trHeight w:val="252"/>
        </w:trPr>
        <w:tc>
          <w:tcPr>
            <w:tcW w:w="8040" w:type="dxa"/>
            <w:vAlign w:val="bottom"/>
          </w:tcPr>
          <w:p>
            <w:pPr>
              <w:ind w:left="20"/>
              <w:spacing w:after="0"/>
              <w:rPr>
                <w:sz w:val="20"/>
                <w:szCs w:val="20"/>
                <w:color w:val="auto"/>
              </w:rPr>
            </w:pPr>
            <w:r>
              <w:rPr>
                <w:rFonts w:ascii="Arial" w:cs="Arial" w:eastAsia="Arial" w:hAnsi="Arial"/>
                <w:sz w:val="18"/>
                <w:szCs w:val="18"/>
                <w:color w:val="auto"/>
              </w:rPr>
              <w:t>Due between one and five years</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91,584,216</w:t>
            </w:r>
          </w:p>
        </w:tc>
      </w:tr>
      <w:tr>
        <w:trPr>
          <w:trHeight w:val="257"/>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4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21,877,006</w:t>
            </w:r>
          </w:p>
        </w:tc>
      </w:tr>
      <w:tr>
        <w:trPr>
          <w:trHeight w:val="250"/>
        </w:trPr>
        <w:tc>
          <w:tcPr>
            <w:tcW w:w="804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302,741,707</w:t>
            </w:r>
          </w:p>
        </w:tc>
      </w:tr>
      <w:tr>
        <w:trPr>
          <w:trHeight w:val="25"/>
        </w:trPr>
        <w:tc>
          <w:tcPr>
            <w:tcW w:w="8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760"/>
          </w:cols>
          <w:pgMar w:left="90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760"/>
          </w:cols>
          <w:pgMar w:left="900" w:top="358"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(5) Inventories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top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146,975,452</w:t>
            </w:r>
          </w:p>
        </w:tc>
        <w:tc>
          <w:tcPr>
            <w:tcW w:w="120" w:type="dxa"/>
            <w:vAlign w:val="bottom"/>
            <w:tcBorders>
              <w:top w:val="single" w:sz="8" w:color="BFE4FF"/>
            </w:tcBorders>
            <w:shd w:val="clear" w:color="auto" w:fill="BFE4FF"/>
          </w:tcPr>
          <w:p>
            <w:pPr>
              <w:spacing w:after="0"/>
              <w:rPr>
                <w:sz w:val="21"/>
                <w:szCs w:val="21"/>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139,058,541</w:t>
            </w:r>
          </w:p>
        </w:tc>
      </w:tr>
      <w:tr>
        <w:trPr>
          <w:trHeight w:val="252"/>
        </w:trPr>
        <w:tc>
          <w:tcPr>
            <w:tcW w:w="6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31,237,909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35,386,615</w:t>
            </w:r>
          </w:p>
        </w:tc>
      </w:tr>
      <w:tr>
        <w:trPr>
          <w:trHeight w:val="261"/>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46,881,102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50,836,443</w:t>
            </w:r>
          </w:p>
        </w:tc>
      </w:tr>
      <w:tr>
        <w:trPr>
          <w:trHeight w:val="245"/>
        </w:trPr>
        <w:tc>
          <w:tcPr>
            <w:tcW w:w="628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225,094,463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225,281,599</w:t>
            </w:r>
          </w:p>
        </w:tc>
      </w:tr>
      <w:tr>
        <w:trPr>
          <w:trHeight w:val="25"/>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(6) Earnings Per Share</w:t>
      </w:r>
    </w:p>
    <w:p>
      <w:pPr>
        <w:spacing w:after="0" w:line="252"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w:t>
      </w:r>
    </w:p>
    <w:p>
      <w:pPr>
        <w:spacing w:after="0" w:line="205" w:lineRule="exact"/>
        <w:rPr>
          <w:sz w:val="20"/>
          <w:szCs w:val="20"/>
          <w:color w:val="auto"/>
        </w:rPr>
      </w:pPr>
    </w:p>
    <w:p>
      <w:pPr>
        <w:jc w:val="both"/>
        <w:ind w:left="660"/>
        <w:spacing w:after="0" w:line="286"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and six months ended June 30, 2019:</w:t>
      </w:r>
    </w:p>
    <w:tbl>
      <w:tblPr>
        <w:tblLayout w:type="fixed"/>
        <w:tblInd w:w="660" w:type="dxa"/>
        <w:tblCellMar>
          <w:top w:w="0" w:type="dxa"/>
          <w:left w:w="0" w:type="dxa"/>
          <w:bottom w:w="0" w:type="dxa"/>
          <w:right w:w="0" w:type="dxa"/>
        </w:tblCellMar>
      </w:tblPr>
      <w:tr>
        <w:trPr>
          <w:trHeight w:val="202"/>
        </w:trPr>
        <w:tc>
          <w:tcPr>
            <w:tcW w:w="4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2"/>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7"/>
                <w:szCs w:val="17"/>
                <w:color w:val="auto"/>
              </w:rPr>
            </w:pPr>
          </w:p>
        </w:tc>
        <w:tc>
          <w:tcPr>
            <w:tcW w:w="2200" w:type="dxa"/>
            <w:vAlign w:val="bottom"/>
          </w:tcPr>
          <w:p>
            <w:pPr>
              <w:jc w:val="right"/>
              <w:ind w:right="172"/>
              <w:spacing w:after="0"/>
              <w:rPr>
                <w:sz w:val="20"/>
                <w:szCs w:val="20"/>
                <w:color w:val="auto"/>
              </w:rPr>
            </w:pPr>
            <w:r>
              <w:rPr>
                <w:rFonts w:ascii="Arial" w:cs="Arial" w:eastAsia="Arial" w:hAnsi="Arial"/>
                <w:sz w:val="14"/>
                <w:szCs w:val="14"/>
                <w:b w:val="1"/>
                <w:bCs w:val="1"/>
                <w:color w:val="auto"/>
              </w:rPr>
              <w:t>Six Months Ended June 30,</w:t>
            </w:r>
          </w:p>
        </w:tc>
      </w:tr>
      <w:tr>
        <w:trPr>
          <w:trHeight w:val="217"/>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Pr>
          <w:p>
            <w:pPr>
              <w:jc w:val="right"/>
              <w:ind w:right="109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right"/>
              <w:ind w:right="952"/>
              <w:spacing w:after="0"/>
              <w:rPr>
                <w:sz w:val="20"/>
                <w:szCs w:val="20"/>
                <w:color w:val="auto"/>
              </w:rPr>
            </w:pPr>
            <w:r>
              <w:rPr>
                <w:rFonts w:ascii="Arial" w:cs="Arial" w:eastAsia="Arial" w:hAnsi="Arial"/>
                <w:sz w:val="14"/>
                <w:szCs w:val="14"/>
                <w:b w:val="1"/>
                <w:bCs w:val="1"/>
                <w:color w:val="auto"/>
              </w:rPr>
              <w:t>2019</w:t>
            </w:r>
          </w:p>
        </w:tc>
      </w:tr>
      <w:tr>
        <w:trPr>
          <w:trHeight w:val="244"/>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2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r>
      <w:tr>
        <w:trPr>
          <w:trHeight w:val="252"/>
        </w:trPr>
        <w:tc>
          <w:tcPr>
            <w:tcW w:w="49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108,958,625</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213,239,036</w:t>
            </w:r>
          </w:p>
        </w:tc>
      </w:tr>
      <w:tr>
        <w:trPr>
          <w:trHeight w:val="261"/>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Allocated to participating securities</w:t>
            </w:r>
          </w:p>
        </w:tc>
        <w:tc>
          <w:tcPr>
            <w:tcW w:w="22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1,256,243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2,348,020</w:t>
            </w:r>
          </w:p>
        </w:tc>
      </w:tr>
      <w:tr>
        <w:trPr>
          <w:trHeight w:val="245"/>
        </w:trPr>
        <w:tc>
          <w:tcPr>
            <w:tcW w:w="492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107,702,382</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210,891,016</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28"/>
        </w:trPr>
        <w:tc>
          <w:tcPr>
            <w:tcW w:w="4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r>
      <w:tr>
        <w:trPr>
          <w:trHeight w:val="252"/>
        </w:trPr>
        <w:tc>
          <w:tcPr>
            <w:tcW w:w="492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255,219,868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256,350,600</w:t>
            </w:r>
          </w:p>
        </w:tc>
      </w:tr>
      <w:tr>
        <w:trPr>
          <w:trHeight w:val="261"/>
        </w:trPr>
        <w:tc>
          <w:tcPr>
            <w:tcW w:w="4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r>
      <w:tr>
        <w:trPr>
          <w:trHeight w:val="257"/>
        </w:trPr>
        <w:tc>
          <w:tcPr>
            <w:tcW w:w="4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2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r>
      <w:tr>
        <w:trPr>
          <w:trHeight w:val="252"/>
        </w:trPr>
        <w:tc>
          <w:tcPr>
            <w:tcW w:w="4920" w:type="dxa"/>
            <w:vAlign w:val="bottom"/>
          </w:tcPr>
          <w:p>
            <w:pPr>
              <w:ind w:left="240"/>
              <w:spacing w:after="0"/>
              <w:rPr>
                <w:sz w:val="20"/>
                <w:szCs w:val="20"/>
                <w:color w:val="auto"/>
              </w:rPr>
            </w:pPr>
            <w:r>
              <w:rPr>
                <w:rFonts w:ascii="Arial" w:cs="Arial" w:eastAsia="Arial" w:hAnsi="Arial"/>
                <w:sz w:val="18"/>
                <w:szCs w:val="18"/>
                <w:color w:val="auto"/>
              </w:rPr>
              <w:t>Allocation of Net Income used in basic computation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107,702,382</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210,891,016</w:t>
            </w:r>
          </w:p>
        </w:tc>
      </w:tr>
      <w:tr>
        <w:trPr>
          <w:trHeight w:val="261"/>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Reallocation of undistributed earnings</w:t>
            </w:r>
          </w:p>
        </w:tc>
        <w:tc>
          <w:tcPr>
            <w:tcW w:w="22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w:t>
            </w:r>
          </w:p>
        </w:tc>
      </w:tr>
      <w:tr>
        <w:trPr>
          <w:trHeight w:val="245"/>
        </w:trPr>
        <w:tc>
          <w:tcPr>
            <w:tcW w:w="492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107,707,230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210,899,858</w:t>
            </w:r>
          </w:p>
        </w:tc>
      </w:tr>
      <w:tr>
        <w:trPr>
          <w:trHeight w:val="99"/>
        </w:trPr>
        <w:tc>
          <w:tcPr>
            <w:tcW w:w="49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r>
      <w:tr>
        <w:trPr>
          <w:trHeight w:val="252"/>
        </w:trPr>
        <w:tc>
          <w:tcPr>
            <w:tcW w:w="4920" w:type="dxa"/>
            <w:vAlign w:val="bottom"/>
          </w:tcPr>
          <w:p>
            <w:pPr>
              <w:ind w:left="240"/>
              <w:spacing w:after="0"/>
              <w:rPr>
                <w:sz w:val="20"/>
                <w:szCs w:val="20"/>
                <w:color w:val="auto"/>
              </w:rPr>
            </w:pPr>
            <w:r>
              <w:rPr>
                <w:rFonts w:ascii="Arial" w:cs="Arial" w:eastAsia="Arial" w:hAnsi="Arial"/>
                <w:sz w:val="18"/>
                <w:szCs w:val="18"/>
                <w:color w:val="auto"/>
              </w:rPr>
              <w:t>Number of shares used in basic computation</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255,219,868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256,350,600</w:t>
            </w:r>
          </w:p>
        </w:tc>
      </w:tr>
      <w:tr>
        <w:trPr>
          <w:trHeight w:val="211"/>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weighted average dilutive common stock</w:t>
            </w:r>
          </w:p>
        </w:tc>
        <w:tc>
          <w:tcPr>
            <w:tcW w:w="2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48"/>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equivalents</w:t>
            </w:r>
          </w:p>
        </w:tc>
        <w:tc>
          <w:tcPr>
            <w:tcW w:w="220" w:type="dxa"/>
            <w:vAlign w:val="bottom"/>
            <w:tcBorders>
              <w:bottom w:val="single" w:sz="8" w:color="auto"/>
            </w:tcBorders>
            <w:shd w:val="clear" w:color="auto" w:fill="CCEEFF"/>
          </w:tcPr>
          <w:p>
            <w:pPr>
              <w:spacing w:after="0"/>
              <w:rPr>
                <w:sz w:val="21"/>
                <w:szCs w:val="21"/>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1,359,753</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1,344,285</w:t>
            </w:r>
          </w:p>
        </w:tc>
      </w:tr>
      <w:tr>
        <w:trPr>
          <w:trHeight w:val="255"/>
        </w:trPr>
        <w:tc>
          <w:tcPr>
            <w:tcW w:w="4920" w:type="dxa"/>
            <w:vAlign w:val="bottom"/>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256,579,621</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257,694,885</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24"/>
        </w:trPr>
        <w:tc>
          <w:tcPr>
            <w:tcW w:w="4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r>
      <w:tr>
        <w:trPr>
          <w:trHeight w:val="252"/>
        </w:trPr>
        <w:tc>
          <w:tcPr>
            <w:tcW w:w="4920" w:type="dxa"/>
            <w:vAlign w:val="bottom"/>
          </w:tcPr>
          <w:p>
            <w:pPr>
              <w:ind w:left="240"/>
              <w:spacing w:after="0"/>
              <w:rPr>
                <w:sz w:val="20"/>
                <w:szCs w:val="20"/>
                <w:color w:val="auto"/>
              </w:rPr>
            </w:pPr>
            <w:r>
              <w:rPr>
                <w:rFonts w:ascii="Arial" w:cs="Arial" w:eastAsia="Arial" w:hAnsi="Arial"/>
                <w:sz w:val="18"/>
                <w:szCs w:val="18"/>
                <w:color w:val="auto"/>
              </w:rPr>
              <w:t>Net income per share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261"/>
        </w:trPr>
        <w:tc>
          <w:tcPr>
            <w:tcW w:w="4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r>
      <w:tr>
        <w:trPr>
          <w:trHeight w:val="207"/>
        </w:trPr>
        <w:tc>
          <w:tcPr>
            <w:tcW w:w="4920" w:type="dxa"/>
            <w:vAlign w:val="bottom"/>
          </w:tcPr>
          <w:p>
            <w:pPr>
              <w:ind w:left="20"/>
              <w:spacing w:after="0"/>
              <w:rPr>
                <w:sz w:val="20"/>
                <w:szCs w:val="20"/>
                <w:color w:val="auto"/>
              </w:rPr>
            </w:pPr>
            <w:r>
              <w:rPr>
                <w:rFonts w:ascii="Arial" w:cs="Arial" w:eastAsia="Arial" w:hAnsi="Arial"/>
                <w:sz w:val="18"/>
                <w:szCs w:val="18"/>
                <w:color w:val="auto"/>
              </w:rPr>
              <w:t>Shares related to stock plans not included in diluted average</w:t>
            </w:r>
          </w:p>
        </w:tc>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common shares outstanding because their effect would be</w:t>
            </w:r>
          </w:p>
        </w:tc>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anti-dilutive</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1,013,332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1,011,948</w:t>
            </w:r>
          </w:p>
        </w:tc>
      </w:tr>
    </w:tbl>
    <w:p>
      <w:pPr>
        <w:spacing w:after="0" w:line="200" w:lineRule="exact"/>
        <w:rPr>
          <w:sz w:val="20"/>
          <w:szCs w:val="20"/>
          <w:color w:val="auto"/>
        </w:rPr>
      </w:pP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358"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(7) Stock-Based Compensation Plans</w:t>
      </w:r>
    </w:p>
    <w:p>
      <w:pPr>
        <w:spacing w:after="0" w:line="158"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As of June 30, 2019,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8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February 2019, the Company's Compensation Committee and Board of Directors approved the 2019 Omnibus Plan, which was then approved by shareholders in May 2019. The 2019 Omnibus Plan provides for the potential awards to: i) employees; and ii) non-employee directors of the Company or its subsidiaries, which awards may be stock options, both incentive stock options and non-qualified stock options, appreciation rights, restricted stock, restricted stock units, performance share awards and performance units, and other awards that are stock-based, cash-based or a combination of both. Upon shareholder approval, the 2019 Omnibus Plan replaced the Company's Employee Stock Option Plan, Second Restricted Stock Plan, and Amended and Restated Non-Employee Director Stock Option Plan (the "Prior Plans"), which Prior Plans were also approved by shareholders. Any existing awards previously granted under the Prior Plans, including those made to non-officers in the first quarter of 2019, remain outstanding in accordance with their terms and are governed by the Prior Plans as applicable.</w:t>
      </w:r>
    </w:p>
    <w:p>
      <w:pPr>
        <w:spacing w:after="0" w:line="114"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2018, for additional information related to the Prior Plans.</w:t>
      </w:r>
    </w:p>
    <w:p>
      <w:pPr>
        <w:spacing w:after="0" w:line="7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recognized compensation expense for share-based payments of $5,200,045 and $9,986,839 for the three and six months ended June 30, 2019, respectively, and $4,465,634 and $8,366,949 for the three and six months ended June 30, 2018, respectively. Compensation cost for share based payment awards capitalized as part of inventory as of June 30, 2019 and December 31, 2018 was $319,080 and $242,673, respectively.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2019 Omnibus Incentive Plan</w:t>
      </w:r>
    </w:p>
    <w:p>
      <w:pPr>
        <w:spacing w:after="0" w:line="24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Omnibus Incentive Plan was approved by shareholders during the second quarter (thereby replacing the Prior Plans) and covers 45,000,000 shares of common stock. The purpose of the 2019 Omnibus Incentive Plan is to attract and retain directors, officers, and other employees of the Company and its subsidiaries and to motivate and provide such persons incentives and rewards for performance.</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Employee Stock Options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2019 Omnibus Plan replaced the Company's shareholder approved Employee Stock Option Plan.</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June 30, 2019, there was $7,397,810 of unrecognized compensation cost related to share-based payments, which is expected to be recognized over the remaining vesting periods.</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358" w:right="239" w:bottom="1440" w:gutter="0" w:footer="0" w:header="0"/>
          <w:type w:val="continuous"/>
        </w:sectPr>
      </w:pPr>
    </w:p>
    <w:bookmarkStart w:id="15" w:name="page16"/>
    <w:bookmarkEnd w:id="15"/>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ind w:left="4" w:right="160"/>
        <w:spacing w:after="0" w:line="292"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ectPr>
          <w:pgSz w:w="11900" w:h="16838" w:orient="portrait"/>
          <w:cols w:equalWidth="0" w:num="1">
            <w:col w:w="10764"/>
          </w:cols>
          <w:pgMar w:left="896" w:top="358"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4"/>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p>
      <w:pPr>
        <w:spacing w:after="0" w:line="6" w:lineRule="exact"/>
        <w:rPr>
          <w:sz w:val="20"/>
          <w:szCs w:val="20"/>
          <w:color w:val="auto"/>
        </w:rPr>
      </w:pPr>
    </w:p>
    <w:p>
      <w:pPr>
        <w:ind w:left="24"/>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p>
      <w:pPr>
        <w:ind w:left="24"/>
        <w:spacing w:after="0" w:line="232" w:lineRule="auto"/>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p>
      <w:pPr>
        <w:spacing w:after="0" w:line="1" w:lineRule="exact"/>
        <w:rPr>
          <w:sz w:val="20"/>
          <w:szCs w:val="20"/>
          <w:color w:val="auto"/>
        </w:rPr>
      </w:pPr>
    </w:p>
    <w:p>
      <w:pPr>
        <w:ind w:left="24"/>
        <w:spacing w:after="0" w:line="242" w:lineRule="auto"/>
        <w:rPr>
          <w:sz w:val="20"/>
          <w:szCs w:val="20"/>
          <w:color w:val="auto"/>
        </w:rPr>
      </w:pPr>
      <w:r>
        <w:rPr>
          <w:rFonts w:ascii="Arial" w:cs="Arial" w:eastAsia="Arial" w:hAnsi="Arial"/>
          <w:sz w:val="17"/>
          <w:szCs w:val="17"/>
          <w:color w:val="auto"/>
        </w:rPr>
        <w:t xml:space="preserve">Expected term of options (years) </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Weighted-avg. grant date fair value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26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300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15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42"/>
        </w:trPr>
        <w:tc>
          <w:tcPr>
            <w:tcW w:w="1520" w:type="dxa"/>
            <w:vAlign w:val="bottom"/>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2.09 %</w:t>
            </w:r>
          </w:p>
        </w:tc>
      </w:tr>
      <w:tr>
        <w:trPr>
          <w:trHeight w:val="257"/>
        </w:trPr>
        <w:tc>
          <w:tcPr>
            <w:tcW w:w="1520" w:type="dxa"/>
            <w:vAlign w:val="bottom"/>
          </w:tcPr>
          <w:p>
            <w:pPr>
              <w:jc w:val="right"/>
              <w:spacing w:after="0"/>
              <w:rPr>
                <w:sz w:val="20"/>
                <w:szCs w:val="20"/>
                <w:color w:val="auto"/>
              </w:rPr>
            </w:pPr>
            <w:r>
              <w:rPr>
                <w:rFonts w:ascii="Arial" w:cs="Arial" w:eastAsia="Arial" w:hAnsi="Arial"/>
                <w:sz w:val="18"/>
                <w:szCs w:val="18"/>
                <w:color w:val="auto"/>
              </w:rPr>
              <w:t>23.71 %</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23.27 %</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23.64 %</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26.68 %</w:t>
            </w:r>
          </w:p>
        </w:tc>
      </w:tr>
      <w:tr>
        <w:trPr>
          <w:trHeight w:val="257"/>
        </w:trPr>
        <w:tc>
          <w:tcPr>
            <w:tcW w:w="1520" w:type="dxa"/>
            <w:vAlign w:val="bottom"/>
          </w:tcPr>
          <w:p>
            <w:pPr>
              <w:jc w:val="right"/>
              <w:spacing w:after="0"/>
              <w:rPr>
                <w:sz w:val="20"/>
                <w:szCs w:val="20"/>
                <w:color w:val="auto"/>
              </w:rPr>
            </w:pPr>
            <w:r>
              <w:rPr>
                <w:rFonts w:ascii="Arial" w:cs="Arial" w:eastAsia="Arial" w:hAnsi="Arial"/>
                <w:sz w:val="18"/>
                <w:szCs w:val="18"/>
                <w:color w:val="auto"/>
              </w:rPr>
              <w:t>1.76 %</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2.73 %</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2.83 %</w:t>
            </w:r>
          </w:p>
        </w:tc>
      </w:tr>
      <w:tr>
        <w:trPr>
          <w:trHeight w:val="257"/>
        </w:trPr>
        <w:tc>
          <w:tcPr>
            <w:tcW w:w="15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57"/>
        </w:trPr>
        <w:tc>
          <w:tcPr>
            <w:tcW w:w="15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-816610</wp:posOffset>
            </wp:positionV>
            <wp:extent cx="614870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48705" cy="17145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-481965</wp:posOffset>
            </wp:positionV>
            <wp:extent cx="6148705"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48705" cy="16319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-156210</wp:posOffset>
            </wp:positionV>
            <wp:extent cx="614870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48705" cy="163195"/>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2824" w:space="600"/>
            <w:col w:w="7340"/>
          </w:cols>
          <w:pgMar w:left="896" w:top="358" w:right="239" w:bottom="1440" w:gutter="0" w:footer="0" w:header="0"/>
          <w:type w:val="continuous"/>
        </w:sectPr>
      </w:pPr>
    </w:p>
    <w:p>
      <w:pPr>
        <w:ind w:left="324" w:hanging="324"/>
        <w:spacing w:after="0"/>
        <w:tabs>
          <w:tab w:leader="none" w:pos="324"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estimated cash dividend yield over the expected term of option grant.</w:t>
      </w:r>
    </w:p>
    <w:p>
      <w:pPr>
        <w:ind w:left="324" w:right="440" w:hanging="324"/>
        <w:spacing w:after="0" w:line="204" w:lineRule="auto"/>
        <w:tabs>
          <w:tab w:leader="none" w:pos="32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324" w:hanging="324"/>
        <w:spacing w:after="0" w:line="187" w:lineRule="auto"/>
        <w:tabs>
          <w:tab w:leader="none" w:pos="324"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13" w:lineRule="auto"/>
        <w:tabs>
          <w:tab w:leader="none" w:pos="32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2019 Omnibus Plan replaced the Company's shareholder approved Second Restricted Stock Plan.</w:t>
      </w:r>
    </w:p>
    <w:p>
      <w:pPr>
        <w:spacing w:after="0" w:line="252"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June 30, 2019, the Company had unearned stock-based compensation of $43,851,893 associated with the restricted stock grants issued under the 2019 Omnibus Plan and the prior plan. The unearned stock-based compensation related to these grants is being amortized to compensation expense over the applicable restriction periods. Amortization expense from restricted stock grants in the three and six months ended June 30, 2019 was $3,274,411 and $6,046,175, respectively, and for the three and six months ended June 30, 2018 was $2,189,938 and $3,832,998, respectively.</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4"/>
        <w:spacing w:after="0" w:line="258"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05"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As of June 30, 2019, the Company had unearned stock-based compensation of $2,726,924 associated with these performance share grants. The unearned stock-based compensation related to these grants is being amortized to compensation expense over the applicable performance periods. Amortization expense from performance share grants in the three months ended June 30, 2019 was $257,756. No amortization expense for performance share grants was incurred in 2018.</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Employee Stock Purchase Plan</w:t>
      </w:r>
    </w:p>
    <w:p>
      <w:pPr>
        <w:spacing w:after="0" w:line="254"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 xml:space="preserve">The Company has an employee stock purchase plan covering 2,000,000 shares of common stock. Under the plan, the Company sells shares at 85% of the stock’s market price at date of purchase.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15% discounted value is recognized as compensation expense. As of June 30, 2019, the Company has issued 1,063,052 shares under this plan.</w:t>
      </w:r>
    </w:p>
    <w:p>
      <w:pPr>
        <w:sectPr>
          <w:pgSz w:w="11900" w:h="16838" w:orient="portrait"/>
          <w:cols w:equalWidth="0" w:num="1">
            <w:col w:w="10764"/>
          </w:cols>
          <w:pgMar w:left="896" w:top="35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564"/>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764"/>
          </w:cols>
          <w:pgMar w:left="896" w:top="358" w:right="23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(8) Comprehensive Income</w:t>
      </w:r>
    </w:p>
    <w:p>
      <w:pPr>
        <w:spacing w:after="0" w:line="25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foreign currency translation adjustments, and derivatives.</w:t>
      </w:r>
    </w:p>
    <w:p>
      <w:pPr>
        <w:spacing w:after="0" w:line="190" w:lineRule="exact"/>
        <w:rPr>
          <w:sz w:val="20"/>
          <w:szCs w:val="20"/>
          <w:color w:val="auto"/>
        </w:rPr>
      </w:pPr>
    </w:p>
    <w:p>
      <w:pPr>
        <w:jc w:val="both"/>
        <w:ind w:left="660" w:right="20"/>
        <w:spacing w:after="0" w:line="292"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(loss) by component (all amounts shown are net of tax):</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02"/>
        </w:trPr>
        <w:tc>
          <w:tcPr>
            <w:tcW w:w="4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260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7"/>
        </w:trPr>
        <w:tc>
          <w:tcPr>
            <w:tcW w:w="4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8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(1,375,888)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2,271,208</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(1,674,887)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645,030</w:t>
            </w:r>
          </w:p>
        </w:tc>
        <w:tc>
          <w:tcPr>
            <w:tcW w:w="0" w:type="dxa"/>
            <w:vAlign w:val="bottom"/>
          </w:tcPr>
          <w:p>
            <w:pPr>
              <w:spacing w:after="0"/>
              <w:rPr>
                <w:sz w:val="1"/>
                <w:szCs w:val="1"/>
                <w:color w:val="auto"/>
              </w:rPr>
            </w:pPr>
          </w:p>
        </w:tc>
      </w:tr>
      <w:tr>
        <w:trPr>
          <w:trHeight w:val="180"/>
        </w:trPr>
        <w:tc>
          <w:tcPr>
            <w:tcW w:w="4080" w:type="dxa"/>
            <w:vAlign w:val="bottom"/>
            <w:shd w:val="clear" w:color="auto" w:fill="CCEEFF"/>
          </w:tcPr>
          <w:p>
            <w:pPr>
              <w:ind w:left="240"/>
              <w:spacing w:after="0" w:line="181" w:lineRule="exact"/>
              <w:rPr>
                <w:sz w:val="20"/>
                <w:szCs w:val="20"/>
                <w:color w:val="auto"/>
              </w:rPr>
            </w:pPr>
            <w:r>
              <w:rPr>
                <w:rFonts w:ascii="Arial" w:cs="Arial" w:eastAsia="Arial" w:hAnsi="Arial"/>
                <w:sz w:val="18"/>
                <w:szCs w:val="18"/>
                <w:color w:val="auto"/>
              </w:rPr>
              <w:t>Other Comprehensive (loss) income before</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(475,686)</w:t>
            </w:r>
          </w:p>
        </w:tc>
        <w:tc>
          <w:tcPr>
            <w:tcW w:w="2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(2,465,603)</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(176,687)</w:t>
            </w: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(839,425)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(475,686)</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(2,465,603)</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(176,687)</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(839,425)</w:t>
            </w:r>
          </w:p>
        </w:tc>
        <w:tc>
          <w:tcPr>
            <w:tcW w:w="0" w:type="dxa"/>
            <w:vAlign w:val="bottom"/>
          </w:tcPr>
          <w:p>
            <w:pPr>
              <w:spacing w:after="0"/>
              <w:rPr>
                <w:sz w:val="1"/>
                <w:szCs w:val="1"/>
                <w:color w:val="auto"/>
              </w:rPr>
            </w:pPr>
          </w:p>
        </w:tc>
      </w:tr>
      <w:tr>
        <w:trPr>
          <w:trHeight w:val="255"/>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(1,851,574)</w:t>
            </w: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(194,395)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(1,851,574)</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(194,395)</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80" w:type="dxa"/>
            <w:vAlign w:val="bottom"/>
          </w:tcPr>
          <w:p>
            <w:pPr>
              <w:ind w:left="20"/>
              <w:spacing w:after="0"/>
              <w:rPr>
                <w:sz w:val="20"/>
                <w:szCs w:val="20"/>
                <w:color w:val="auto"/>
              </w:rPr>
            </w:pPr>
            <w:r>
              <w:rPr>
                <w:rFonts w:ascii="Arial" w:cs="Arial" w:eastAsia="Arial" w:hAnsi="Arial"/>
                <w:sz w:val="18"/>
                <w:szCs w:val="18"/>
                <w:color w:val="auto"/>
              </w:rPr>
              <w:t>Unrealized gains (losses) on available-for-sale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1,100,154</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(33,160)</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74,549</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(16,349)</w:t>
            </w:r>
          </w:p>
        </w:tc>
        <w:tc>
          <w:tcPr>
            <w:tcW w:w="0" w:type="dxa"/>
            <w:vAlign w:val="bottom"/>
          </w:tcPr>
          <w:p>
            <w:pPr>
              <w:spacing w:after="0"/>
              <w:rPr>
                <w:sz w:val="1"/>
                <w:szCs w:val="1"/>
                <w:color w:val="auto"/>
              </w:rPr>
            </w:pPr>
          </w:p>
        </w:tc>
      </w:tr>
      <w:tr>
        <w:trPr>
          <w:trHeight w:val="176"/>
        </w:trPr>
        <w:tc>
          <w:tcPr>
            <w:tcW w:w="4080" w:type="dxa"/>
            <w:vAlign w:val="bottom"/>
          </w:tcPr>
          <w:p>
            <w:pPr>
              <w:ind w:left="240"/>
              <w:spacing w:after="0" w:line="176" w:lineRule="exact"/>
              <w:rPr>
                <w:sz w:val="20"/>
                <w:szCs w:val="20"/>
                <w:color w:val="auto"/>
              </w:rPr>
            </w:pPr>
            <w:r>
              <w:rPr>
                <w:rFonts w:ascii="Arial" w:cs="Arial" w:eastAsia="Arial" w:hAnsi="Arial"/>
                <w:sz w:val="18"/>
                <w:szCs w:val="18"/>
                <w:color w:val="auto"/>
              </w:rPr>
              <w:t>Other Comprehensive income (loss) before</w:t>
            </w: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1,353,661</w:t>
            </w:r>
          </w:p>
        </w:tc>
        <w:tc>
          <w:tcPr>
            <w:tcW w:w="2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(238,555)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2,449,241</w:t>
            </w: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309,951</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(103,020)</w:t>
            </w:r>
          </w:p>
        </w:tc>
        <w:tc>
          <w:tcPr>
            <w:tcW w:w="2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(172,995)</w:t>
            </w: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(565,541)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1,250,641</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(238,779)</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2,276,246</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(255,590)</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2,350,795</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(271,939)</w:t>
            </w:r>
          </w:p>
        </w:tc>
        <w:tc>
          <w:tcPr>
            <w:tcW w:w="2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2,350,795</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(271,939)</w:t>
            </w:r>
          </w:p>
        </w:tc>
        <w:tc>
          <w:tcPr>
            <w:tcW w:w="0" w:type="dxa"/>
            <w:vAlign w:val="bottom"/>
          </w:tcPr>
          <w:p>
            <w:pPr>
              <w:spacing w:after="0"/>
              <w:rPr>
                <w:sz w:val="1"/>
                <w:szCs w:val="1"/>
                <w:color w:val="auto"/>
              </w:rPr>
            </w:pP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color w:val="auto"/>
              </w:rPr>
              <w:t>Unrealized gains (losses) on derivatives: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(78,026)</w:t>
            </w:r>
          </w:p>
        </w:tc>
        <w:tc>
          <w:tcPr>
            <w:tcW w:w="0" w:type="dxa"/>
            <w:vAlign w:val="bottom"/>
          </w:tcPr>
          <w:p>
            <w:pPr>
              <w:spacing w:after="0"/>
              <w:rPr>
                <w:sz w:val="1"/>
                <w:szCs w:val="1"/>
                <w:color w:val="auto"/>
              </w:rPr>
            </w:pPr>
          </w:p>
        </w:tc>
      </w:tr>
      <w:tr>
        <w:trPr>
          <w:trHeight w:val="207"/>
        </w:trPr>
        <w:tc>
          <w:tcPr>
            <w:tcW w:w="4080" w:type="dxa"/>
            <w:vAlign w:val="bottom"/>
          </w:tcPr>
          <w:p>
            <w:pPr>
              <w:ind w:left="240"/>
              <w:spacing w:after="0"/>
              <w:rPr>
                <w:sz w:val="20"/>
                <w:szCs w:val="20"/>
                <w:color w:val="auto"/>
              </w:rPr>
            </w:pPr>
            <w:r>
              <w:rPr>
                <w:rFonts w:ascii="Arial" w:cs="Arial" w:eastAsia="Arial" w:hAnsi="Arial"/>
                <w:sz w:val="18"/>
                <w:szCs w:val="18"/>
                <w:color w:val="auto"/>
              </w:rPr>
              <w:t>Other comprehensive income before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17,246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60,419</w:t>
            </w: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reclassified from accumulated other</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2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45"/>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change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12,289</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65,256</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(12,770)</w:t>
            </w:r>
          </w:p>
        </w:tc>
        <w:tc>
          <w:tcPr>
            <w:tcW w:w="2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(12,770)</w:t>
            </w:r>
          </w:p>
        </w:tc>
        <w:tc>
          <w:tcPr>
            <w:tcW w:w="0" w:type="dxa"/>
            <w:vAlign w:val="bottom"/>
          </w:tcPr>
          <w:p>
            <w:pPr>
              <w:spacing w:after="0"/>
              <w:rPr>
                <w:sz w:val="1"/>
                <w:szCs w:val="1"/>
                <w:color w:val="auto"/>
              </w:rPr>
            </w:pPr>
          </w:p>
        </w:tc>
      </w:tr>
      <w:tr>
        <w:trPr>
          <w:trHeight w:val="93"/>
        </w:trPr>
        <w:tc>
          <w:tcPr>
            <w:tcW w:w="4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Accumulated other comprehensive income (loss),</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499,221</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(479,104)</w:t>
            </w:r>
          </w:p>
        </w:tc>
        <w:tc>
          <w:tcPr>
            <w:tcW w:w="2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499,221</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(479,104)</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end of period</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358"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660" w:right="220"/>
        <w:spacing w:after="0" w:line="292" w:lineRule="auto"/>
        <w:rPr>
          <w:sz w:val="20"/>
          <w:szCs w:val="20"/>
          <w:color w:val="auto"/>
        </w:rPr>
      </w:pPr>
      <w:r>
        <w:rPr>
          <w:rFonts w:ascii="Arial" w:cs="Arial" w:eastAsia="Arial" w:hAnsi="Arial"/>
          <w:sz w:val="18"/>
          <w:szCs w:val="18"/>
          <w:color w:val="auto"/>
        </w:rPr>
        <w:t>The following table presents details of reclassifications out of accumulated other comprehensive income for the three and six months ended June 30, 2019 and 2018.</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189"/>
        </w:trPr>
        <w:tc>
          <w:tcPr>
            <w:tcW w:w="3260" w:type="dxa"/>
            <w:vAlign w:val="bottom"/>
            <w:gridSpan w:val="2"/>
          </w:tcPr>
          <w:p>
            <w:pPr>
              <w:ind w:left="300"/>
              <w:spacing w:after="0"/>
              <w:rPr>
                <w:sz w:val="20"/>
                <w:szCs w:val="20"/>
                <w:color w:val="auto"/>
              </w:rPr>
            </w:pPr>
            <w:r>
              <w:rPr>
                <w:rFonts w:ascii="Arial" w:cs="Arial" w:eastAsia="Arial" w:hAnsi="Arial"/>
                <w:sz w:val="16"/>
                <w:szCs w:val="16"/>
                <w:b w:val="1"/>
                <w:bCs w:val="1"/>
                <w:color w:val="auto"/>
              </w:rPr>
              <w:t>Details about Accumulated Other</w:t>
            </w:r>
          </w:p>
        </w:tc>
        <w:tc>
          <w:tcPr>
            <w:tcW w:w="100" w:type="dxa"/>
            <w:vAlign w:val="bottom"/>
          </w:tcPr>
          <w:p>
            <w:pPr>
              <w:spacing w:after="0"/>
              <w:rPr>
                <w:sz w:val="16"/>
                <w:szCs w:val="16"/>
                <w:color w:val="auto"/>
              </w:rPr>
            </w:pPr>
          </w:p>
        </w:tc>
        <w:tc>
          <w:tcPr>
            <w:tcW w:w="4160" w:type="dxa"/>
            <w:vAlign w:val="bottom"/>
            <w:gridSpan w:val="11"/>
          </w:tcPr>
          <w:p>
            <w:pPr>
              <w:jc w:val="right"/>
              <w:ind w:right="140"/>
              <w:spacing w:after="0"/>
              <w:rPr>
                <w:sz w:val="20"/>
                <w:szCs w:val="20"/>
                <w:color w:val="auto"/>
              </w:rPr>
            </w:pPr>
            <w:r>
              <w:rPr>
                <w:rFonts w:ascii="Arial" w:cs="Arial" w:eastAsia="Arial" w:hAnsi="Arial"/>
                <w:sz w:val="16"/>
                <w:szCs w:val="16"/>
                <w:b w:val="1"/>
                <w:bCs w:val="1"/>
                <w:color w:val="auto"/>
              </w:rPr>
              <w:t>Amounts Reclassified from Other Comprehensive</w:t>
            </w:r>
          </w:p>
        </w:tc>
        <w:tc>
          <w:tcPr>
            <w:tcW w:w="10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rPr>
              <w:t>Statement of Consolidated</w:t>
            </w:r>
          </w:p>
        </w:tc>
        <w:tc>
          <w:tcPr>
            <w:tcW w:w="0" w:type="dxa"/>
            <w:vAlign w:val="bottom"/>
          </w:tcPr>
          <w:p>
            <w:pPr>
              <w:spacing w:after="0"/>
              <w:rPr>
                <w:sz w:val="1"/>
                <w:szCs w:val="1"/>
                <w:color w:val="auto"/>
              </w:rPr>
            </w:pPr>
          </w:p>
        </w:tc>
      </w:tr>
      <w:tr>
        <w:trPr>
          <w:trHeight w:val="232"/>
        </w:trPr>
        <w:tc>
          <w:tcPr>
            <w:tcW w:w="3260" w:type="dxa"/>
            <w:vAlign w:val="bottom"/>
            <w:gridSpan w:val="2"/>
          </w:tcPr>
          <w:p>
            <w:pPr>
              <w:ind w:left="140"/>
              <w:spacing w:after="0"/>
              <w:rPr>
                <w:sz w:val="20"/>
                <w:szCs w:val="20"/>
                <w:color w:val="auto"/>
              </w:rPr>
            </w:pPr>
            <w:r>
              <w:rPr>
                <w:rFonts w:ascii="Arial" w:cs="Arial" w:eastAsia="Arial" w:hAnsi="Arial"/>
                <w:sz w:val="16"/>
                <w:szCs w:val="16"/>
                <w:b w:val="1"/>
                <w:bCs w:val="1"/>
                <w:color w:val="auto"/>
              </w:rPr>
              <w:t>Comprehensive Income Components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Income</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99"/>
              </w:rPr>
              <w:t>Income</w:t>
            </w:r>
          </w:p>
        </w:tc>
        <w:tc>
          <w:tcPr>
            <w:tcW w:w="0" w:type="dxa"/>
            <w:vAlign w:val="bottom"/>
          </w:tcPr>
          <w:p>
            <w:pPr>
              <w:spacing w:after="0"/>
              <w:rPr>
                <w:sz w:val="1"/>
                <w:szCs w:val="1"/>
                <w:color w:val="auto"/>
              </w:rPr>
            </w:pPr>
          </w:p>
        </w:tc>
      </w:tr>
      <w:tr>
        <w:trPr>
          <w:trHeight w:val="200"/>
        </w:trPr>
        <w:tc>
          <w:tcPr>
            <w:tcW w:w="3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3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7"/>
                <w:szCs w:val="17"/>
                <w:color w:val="auto"/>
              </w:rPr>
            </w:pPr>
          </w:p>
        </w:tc>
        <w:tc>
          <w:tcPr>
            <w:tcW w:w="2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26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8"/>
                <w:szCs w:val="18"/>
                <w:color w:val="auto"/>
              </w:rPr>
              <w:t>Unrealized gains on available-for-sale</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Realized gain on sale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of securities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130,405</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218,981</w:t>
            </w:r>
          </w:p>
        </w:tc>
        <w:tc>
          <w:tcPr>
            <w:tcW w:w="16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715,875</w:t>
            </w:r>
          </w:p>
        </w:tc>
        <w:tc>
          <w:tcPr>
            <w:tcW w:w="10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Other income (loss), net</w:t>
            </w:r>
          </w:p>
        </w:tc>
        <w:tc>
          <w:tcPr>
            <w:tcW w:w="0" w:type="dxa"/>
            <w:vAlign w:val="bottom"/>
          </w:tcPr>
          <w:p>
            <w:pPr>
              <w:spacing w:after="0"/>
              <w:rPr>
                <w:sz w:val="1"/>
                <w:szCs w:val="1"/>
                <w:color w:val="auto"/>
              </w:rPr>
            </w:pPr>
          </w:p>
        </w:tc>
      </w:tr>
      <w:tr>
        <w:trPr>
          <w:trHeight w:val="261"/>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(27,385)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(45,986)</w:t>
            </w:r>
          </w:p>
        </w:tc>
        <w:tc>
          <w:tcPr>
            <w:tcW w:w="1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(150,334)</w:t>
            </w:r>
          </w:p>
        </w:tc>
        <w:tc>
          <w:tcPr>
            <w:tcW w:w="100" w:type="dxa"/>
            <w:vAlign w:val="bottom"/>
            <w:shd w:val="clear" w:color="auto" w:fill="CCEEFF"/>
          </w:tcPr>
          <w:p>
            <w:pPr>
              <w:spacing w:after="0"/>
              <w:rPr>
                <w:sz w:val="22"/>
                <w:szCs w:val="22"/>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2"/>
        </w:trPr>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103,020</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172,995</w:t>
            </w:r>
          </w:p>
        </w:tc>
        <w:tc>
          <w:tcPr>
            <w:tcW w:w="16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565,541</w:t>
            </w:r>
          </w:p>
        </w:tc>
        <w:tc>
          <w:tcPr>
            <w:tcW w:w="1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133"/>
        </w:trPr>
        <w:tc>
          <w:tcPr>
            <w:tcW w:w="3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3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Unrealized gains (losses) on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Realized gain (loss) on interest rate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swap</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(6,123)</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0" w:type="dxa"/>
            <w:vAlign w:val="bottom"/>
          </w:tcPr>
          <w:p>
            <w:pPr>
              <w:spacing w:after="0"/>
              <w:rPr>
                <w:sz w:val="1"/>
                <w:szCs w:val="1"/>
                <w:color w:val="auto"/>
              </w:rPr>
            </w:pPr>
          </w:p>
        </w:tc>
      </w:tr>
      <w:tr>
        <w:trPr>
          <w:trHeight w:val="252"/>
        </w:trPr>
        <w:tc>
          <w:tcPr>
            <w:tcW w:w="32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(4,837)</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133"/>
        </w:trPr>
        <w:tc>
          <w:tcPr>
            <w:tcW w:w="3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3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26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8"/>
                <w:szCs w:val="18"/>
                <w:color w:val="auto"/>
              </w:rPr>
              <w:t>Total net reclassifications for the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103,020</w:t>
            </w:r>
          </w:p>
        </w:tc>
        <w:tc>
          <w:tcPr>
            <w:tcW w:w="3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5,181</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172,995</w:t>
            </w:r>
          </w:p>
        </w:tc>
        <w:tc>
          <w:tcPr>
            <w:tcW w:w="16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560,704</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10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380" w:type="dxa"/>
            <w:vAlign w:val="bottom"/>
            <w:gridSpan w:val="3"/>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(9) Debt and Financing Arrangements</w:t>
      </w:r>
    </w:p>
    <w:p>
      <w:pPr>
        <w:spacing w:after="0" w:line="252"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On October 15, 2018, the Company entered into a new Credit Agreement (“Credit Agreement”) with PNC as the administrative agent and sole lender.</w:t>
      </w:r>
    </w:p>
    <w:p>
      <w:pPr>
        <w:spacing w:after="0" w:line="17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Pursuant to this new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$ 20 million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 As of June 30, 2019, there was no outstanding balance on the Revolver. The Revolver expires on October 15, 2023.</w:t>
      </w:r>
    </w:p>
    <w:p>
      <w:pPr>
        <w:spacing w:after="0" w:line="204"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the Company was in compliance with its covenants under the Credit Agreement.</w:t>
      </w:r>
    </w:p>
    <w:p>
      <w:pPr>
        <w:spacing w:after="0" w:line="252" w:lineRule="exact"/>
        <w:rPr>
          <w:sz w:val="20"/>
          <w:szCs w:val="20"/>
          <w:color w:val="auto"/>
        </w:rPr>
      </w:pPr>
    </w:p>
    <w:p>
      <w:pPr>
        <w:jc w:val="both"/>
        <w:ind w:left="660"/>
        <w:spacing w:after="0" w:line="292" w:lineRule="auto"/>
        <w:rPr>
          <w:rFonts w:ascii="Arial" w:cs="Arial" w:eastAsia="Arial" w:hAnsi="Arial"/>
          <w:sz w:val="18"/>
          <w:szCs w:val="18"/>
          <w:color w:val="auto"/>
        </w:rPr>
      </w:pPr>
      <w:r>
        <w:rPr>
          <w:rFonts w:ascii="Arial" w:cs="Arial" w:eastAsia="Arial" w:hAnsi="Arial"/>
          <w:sz w:val="18"/>
          <w:szCs w:val="18"/>
          <w:color w:val="auto"/>
        </w:rPr>
        <w:t xml:space="preserve">During the three and six months ended June 30, 2018, under a previous credit facility, interest expense was $0.3 million and $0.8 million, respectively, which was netted with the "Other income (loss), net" section of the </w:t>
      </w:r>
      <w:hyperlink w:anchor="page3">
        <w:r>
          <w:rPr>
            <w:rFonts w:ascii="Arial" w:cs="Arial" w:eastAsia="Arial" w:hAnsi="Arial"/>
            <w:sz w:val="18"/>
            <w:szCs w:val="18"/>
            <w:u w:val="single" w:color="auto"/>
            <w:color w:val="0000FF"/>
          </w:rPr>
          <w:t>Unaudited Consolidated Statements of Income</w:t>
        </w:r>
      </w:hyperlink>
      <w:r>
        <w:rPr>
          <w:rFonts w:ascii="Arial" w:cs="Arial" w:eastAsia="Arial" w:hAnsi="Arial"/>
          <w:sz w:val="18"/>
          <w:szCs w:val="18"/>
          <w:color w:val="auto"/>
        </w:rPr>
        <w:t>.</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358"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(10) Equity</w:t>
      </w:r>
    </w:p>
    <w:p>
      <w:pPr>
        <w:spacing w:after="0" w:line="25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decrease in common stock during the six months ended June 30, 2019, was primarily due to the repurchases of 7.8 million shares, partially offset by the issuance of 3.3 million shares of the Company’s common stock under the Company’s stock-based compensation plans. The total net decrease was 4.5 million shares.</w:t>
      </w:r>
    </w:p>
    <w:p>
      <w:pPr>
        <w:spacing w:after="0" w:line="19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announced a $0.005 (1/2 cent) per share increase in its quarterly cash dividend rate during the first quarter of 2019. As such, the Company recorded a cash dividend of $0.115 during the second quarter of 2019 as compared to a cash dividend of $0.110 per share during the second quarter of 2018. The second quarter 2019 dividend of $29.3 million was declared on June 11, 2019, and was paid on July 24, 2019.</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(11) Contingencies</w:t>
      </w:r>
    </w:p>
    <w:p>
      <w:pPr>
        <w:spacing w:after="0" w:line="158"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 Segment Reporting</w:t>
      </w:r>
    </w:p>
    <w:p>
      <w:pPr>
        <w:spacing w:after="0" w:line="252"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for the aerospace industry and fire protection products for the commercial construction industry, which are combined into the "Other" segment shown below.</w:t>
      </w: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02"/>
        </w:trPr>
        <w:tc>
          <w:tcPr>
            <w:tcW w:w="2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3220" w:type="dxa"/>
            <w:vAlign w:val="bottom"/>
            <w:gridSpan w:val="3"/>
          </w:tcPr>
          <w:p>
            <w:pPr>
              <w:jc w:val="right"/>
              <w:ind w:right="773"/>
              <w:spacing w:after="0"/>
              <w:rPr>
                <w:sz w:val="20"/>
                <w:szCs w:val="20"/>
                <w:color w:val="auto"/>
              </w:rPr>
            </w:pPr>
            <w:r>
              <w:rPr>
                <w:rFonts w:ascii="Arial" w:cs="Arial" w:eastAsia="Arial" w:hAnsi="Arial"/>
                <w:sz w:val="14"/>
                <w:szCs w:val="14"/>
                <w:b w:val="1"/>
                <w:bCs w:val="1"/>
                <w:color w:val="auto"/>
              </w:rPr>
              <w:t>Six Months Ended June 30,</w:t>
            </w:r>
          </w:p>
        </w:tc>
      </w:tr>
      <w:tr>
        <w:trPr>
          <w:trHeight w:val="217"/>
        </w:trPr>
        <w:tc>
          <w:tcPr>
            <w:tcW w:w="2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11"/>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52"/>
        </w:trPr>
        <w:tc>
          <w:tcPr>
            <w:tcW w:w="294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456,625,064</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444,245,425</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912,423,707</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899,210,799</w:t>
            </w:r>
          </w:p>
        </w:tc>
      </w:tr>
      <w:tr>
        <w:trPr>
          <w:trHeight w:val="257"/>
        </w:trPr>
        <w:tc>
          <w:tcPr>
            <w:tcW w:w="2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12,086,290</w:t>
            </w: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10,736,015</w:t>
            </w: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24,876,644</w:t>
            </w:r>
          </w:p>
        </w:tc>
        <w:tc>
          <w:tcPr>
            <w:tcW w:w="4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21,190,746</w:t>
            </w:r>
          </w:p>
        </w:tc>
      </w:tr>
      <w:tr>
        <w:trPr>
          <w:trHeight w:val="255"/>
        </w:trPr>
        <w:tc>
          <w:tcPr>
            <w:tcW w:w="294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468,711,354</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454,981,440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937,300,351</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920,401,545</w:t>
            </w: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2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52"/>
        </w:trPr>
        <w:tc>
          <w:tcPr>
            <w:tcW w:w="294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124,295,223</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123,758,195</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241,247,925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248,720,353</w:t>
            </w:r>
          </w:p>
        </w:tc>
      </w:tr>
      <w:tr>
        <w:trPr>
          <w:trHeight w:val="257"/>
        </w:trPr>
        <w:tc>
          <w:tcPr>
            <w:tcW w:w="2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3,609,743</w:t>
            </w: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2,924,809</w:t>
            </w: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8,253,373</w:t>
            </w:r>
          </w:p>
        </w:tc>
        <w:tc>
          <w:tcPr>
            <w:tcW w:w="4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6,477,984</w:t>
            </w:r>
          </w:p>
        </w:tc>
      </w:tr>
      <w:tr>
        <w:trPr>
          <w:trHeight w:val="255"/>
        </w:trPr>
        <w:tc>
          <w:tcPr>
            <w:tcW w:w="294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127,904,966</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126,683,004</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249,501,298</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255,198,337</w:t>
            </w:r>
          </w:p>
        </w:tc>
      </w:tr>
      <w:tr>
        <w:trPr>
          <w:trHeight w:val="21"/>
        </w:trPr>
        <w:tc>
          <w:tcPr>
            <w:tcW w:w="2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(13) Income Taxes</w:t>
      </w:r>
    </w:p>
    <w:p>
      <w:pPr>
        <w:spacing w:after="0" w:line="144"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effective tax rate was 16.4% in the six months ended June 30, 2019 compared to 15.5% for the same period in 2018. Generally, effective tax rates for these periods differ from statutory federal income tax rates, due to provisions for state and local income taxes, permanent tax differences, and the foreign-derived intangible income tax deduction. The increase in the effective tax rate for the six months ended June 30, 2019 compared to the same period of 2018 was primarily due to a decrease in discrete tax benefits related to stock-based compensation in the current year.</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358" w:right="23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(14)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Automotive Products for the three and six month periods ended June 30, 2019 and June 30, 2018:</w:t>
      </w:r>
    </w:p>
    <w:p>
      <w:pPr>
        <w:spacing w:after="0" w:line="292"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1660" w:type="dxa"/>
            <w:vAlign w:val="bottom"/>
          </w:tcPr>
          <w:p>
            <w:pPr>
              <w:jc w:val="right"/>
              <w:ind w:right="234"/>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700" w:type="dxa"/>
            <w:vAlign w:val="bottom"/>
          </w:tcPr>
          <w:p>
            <w:pPr>
              <w:jc w:val="right"/>
              <w:ind w:right="274"/>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30, 2019</w:t>
            </w: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30, 2018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2240" w:type="dxa"/>
            <w:vAlign w:val="bottom"/>
            <w:shd w:val="clear" w:color="auto" w:fill="BFE4FF"/>
          </w:tcPr>
          <w:p>
            <w:pPr>
              <w:ind w:left="20"/>
              <w:spacing w:after="0"/>
              <w:rPr>
                <w:sz w:val="20"/>
                <w:szCs w:val="20"/>
                <w:color w:val="auto"/>
              </w:rPr>
            </w:pPr>
            <w:r>
              <w:rPr>
                <w:rFonts w:ascii="Arial" w:cs="Arial" w:eastAsia="Arial" w:hAnsi="Arial"/>
                <w:sz w:val="18"/>
                <w:szCs w:val="18"/>
                <w:color w:val="auto"/>
              </w:rPr>
              <w:t>Automotive Products</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57"/>
        </w:trPr>
        <w:tc>
          <w:tcPr>
            <w:tcW w:w="2240" w:type="dxa"/>
            <w:vAlign w:val="bottom"/>
          </w:tcPr>
          <w:p>
            <w:pPr>
              <w:ind w:left="120"/>
              <w:spacing w:after="0"/>
              <w:rPr>
                <w:sz w:val="20"/>
                <w:szCs w:val="20"/>
                <w:color w:val="auto"/>
              </w:rPr>
            </w:pPr>
            <w:r>
              <w:rPr>
                <w:rFonts w:ascii="Arial" w:cs="Arial" w:eastAsia="Arial" w:hAnsi="Arial"/>
                <w:sz w:val="18"/>
                <w:szCs w:val="18"/>
                <w:color w:val="auto"/>
              </w:rPr>
              <w:t>U.S.</w:t>
            </w:r>
          </w:p>
        </w:tc>
        <w:tc>
          <w:tcPr>
            <w:tcW w:w="50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144,547,946</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142,896,639</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285,931,010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283,209,626</w:t>
            </w:r>
          </w:p>
        </w:tc>
      </w:tr>
      <w:tr>
        <w:trPr>
          <w:trHeight w:val="257"/>
        </w:trPr>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73,151,692</w:t>
            </w:r>
          </w:p>
        </w:tc>
        <w:tc>
          <w:tcPr>
            <w:tcW w:w="4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85,642,205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151,601,619</w:t>
            </w: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177,435,746</w:t>
            </w:r>
          </w:p>
        </w:tc>
      </w:tr>
      <w:tr>
        <w:trPr>
          <w:trHeight w:val="252"/>
        </w:trPr>
        <w:tc>
          <w:tcPr>
            <w:tcW w:w="2240" w:type="dxa"/>
            <w:vAlign w:val="bottom"/>
          </w:tcPr>
          <w:p>
            <w:pPr>
              <w:ind w:left="120"/>
              <w:spacing w:after="0"/>
              <w:rPr>
                <w:sz w:val="20"/>
                <w:szCs w:val="20"/>
                <w:color w:val="auto"/>
              </w:rPr>
            </w:pPr>
            <w:r>
              <w:rPr>
                <w:rFonts w:ascii="Arial" w:cs="Arial" w:eastAsia="Arial" w:hAnsi="Arial"/>
                <w:sz w:val="18"/>
                <w:szCs w:val="18"/>
                <w:color w:val="auto"/>
              </w:rPr>
              <w:t>Japan</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55,722,292</w:t>
            </w: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48,647,082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112,055,986</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98,480,079</w:t>
            </w:r>
          </w:p>
        </w:tc>
      </w:tr>
      <w:tr>
        <w:trPr>
          <w:trHeight w:val="261"/>
        </w:trPr>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Mexico</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42,178,705</w:t>
            </w:r>
          </w:p>
        </w:tc>
        <w:tc>
          <w:tcPr>
            <w:tcW w:w="4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22,358,617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86,589,093</w:t>
            </w: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45,457,427</w:t>
            </w:r>
          </w:p>
        </w:tc>
      </w:tr>
      <w:tr>
        <w:trPr>
          <w:trHeight w:val="252"/>
        </w:trPr>
        <w:tc>
          <w:tcPr>
            <w:tcW w:w="2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141,024,429</w:t>
            </w:r>
          </w:p>
        </w:tc>
        <w:tc>
          <w:tcPr>
            <w:tcW w:w="4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144,700,882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276,245,999</w:t>
            </w: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294,627,921</w:t>
            </w:r>
          </w:p>
        </w:tc>
      </w:tr>
      <w:tr>
        <w:trPr>
          <w:trHeight w:val="255"/>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5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456,625,064</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444,245,425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912,423,707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899,210,799</w:t>
            </w:r>
          </w:p>
        </w:tc>
      </w:tr>
      <w:tr>
        <w:trPr>
          <w:trHeight w:val="252"/>
        </w:trPr>
        <w:tc>
          <w:tcPr>
            <w:tcW w:w="224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Other Products (U.S.)</w:t>
            </w:r>
          </w:p>
        </w:tc>
        <w:tc>
          <w:tcPr>
            <w:tcW w:w="100" w:type="dxa"/>
            <w:vAlign w:val="bottom"/>
            <w:tcBorders>
              <w:bottom w:val="single" w:sz="8" w:color="BFE4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12,086,290</w:t>
            </w:r>
          </w:p>
        </w:tc>
        <w:tc>
          <w:tcPr>
            <w:tcW w:w="4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10,736,015</w:t>
            </w:r>
          </w:p>
        </w:tc>
        <w:tc>
          <w:tcPr>
            <w:tcW w:w="80" w:type="dxa"/>
            <w:vAlign w:val="bottom"/>
            <w:tcBorders>
              <w:bottom w:val="single" w:sz="8" w:color="BFE4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24,876,644</w:t>
            </w: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21,190,746</w:t>
            </w:r>
          </w:p>
        </w:tc>
      </w:tr>
      <w:tr>
        <w:trPr>
          <w:trHeight w:val="275"/>
        </w:trPr>
        <w:tc>
          <w:tcPr>
            <w:tcW w:w="224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Revenue</w:t>
            </w:r>
          </w:p>
        </w:tc>
        <w:tc>
          <w:tcPr>
            <w:tcW w:w="500" w:type="dxa"/>
            <w:vAlign w:val="bottom"/>
            <w:gridSpan w:val="2"/>
            <w:shd w:val="clear" w:color="auto" w:fill="BFE4FF"/>
          </w:tcPr>
          <w:p>
            <w:pPr>
              <w:jc w:val="right"/>
              <w:ind w:right="208"/>
              <w:spacing w:after="0"/>
              <w:rPr>
                <w:sz w:val="20"/>
                <w:szCs w:val="20"/>
                <w:color w:val="auto"/>
              </w:rPr>
            </w:pPr>
            <w:r>
              <w:rPr>
                <w:rFonts w:ascii="Arial" w:cs="Arial" w:eastAsia="Arial" w:hAnsi="Arial"/>
                <w:sz w:val="18"/>
                <w:szCs w:val="18"/>
                <w:color w:val="auto"/>
              </w:rPr>
              <w:t>$</w:t>
            </w:r>
          </w:p>
        </w:tc>
        <w:tc>
          <w:tcPr>
            <w:tcW w:w="15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468,711,354</w:t>
            </w:r>
          </w:p>
        </w:tc>
        <w:tc>
          <w:tcPr>
            <w:tcW w:w="400" w:type="dxa"/>
            <w:vAlign w:val="bottom"/>
            <w:shd w:val="clear" w:color="auto" w:fill="BFE4FF"/>
          </w:tcPr>
          <w:p>
            <w:pPr>
              <w:jc w:val="right"/>
              <w:ind w:right="194"/>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454,981,440</w:t>
            </w:r>
          </w:p>
        </w:tc>
        <w:tc>
          <w:tcPr>
            <w:tcW w:w="80" w:type="dxa"/>
            <w:vAlign w:val="bottom"/>
            <w:shd w:val="clear" w:color="auto" w:fill="BFE4FF"/>
          </w:tcPr>
          <w:p>
            <w:pPr>
              <w:spacing w:after="0"/>
              <w:rPr>
                <w:sz w:val="23"/>
                <w:szCs w:val="23"/>
                <w:color w:val="auto"/>
              </w:rPr>
            </w:pPr>
          </w:p>
        </w:tc>
        <w:tc>
          <w:tcPr>
            <w:tcW w:w="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937,300,351</w:t>
            </w:r>
          </w:p>
        </w:tc>
        <w:tc>
          <w:tcPr>
            <w:tcW w:w="2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920,401,545</w:t>
            </w:r>
          </w:p>
        </w:tc>
      </w:tr>
      <w:tr>
        <w:trPr>
          <w:trHeight w:val="20"/>
        </w:trPr>
        <w:tc>
          <w:tcPr>
            <w:tcW w:w="224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197"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and six month periods ended June 30, 2019 and June 30, 2018:</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2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June 30, 2019</w:t>
            </w:r>
          </w:p>
        </w:tc>
        <w:tc>
          <w:tcPr>
            <w:tcW w:w="1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June 30, 2019</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23"/>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Automotive Segment</w:t>
            </w: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Automotive Mirrors &amp;</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413,429,267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396,547,385</w:t>
            </w:r>
          </w:p>
        </w:tc>
        <w:tc>
          <w:tcPr>
            <w:tcW w:w="2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822,400,934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800,789,013</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Electronics</w:t>
            </w:r>
          </w:p>
        </w:tc>
        <w:tc>
          <w:tcPr>
            <w:tcW w:w="14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HomeLink Modules*</w:t>
            </w: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43,195,797</w:t>
            </w: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47,698,040</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90,022,773</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98,421,786</w:t>
            </w:r>
          </w:p>
        </w:tc>
        <w:tc>
          <w:tcPr>
            <w:tcW w:w="0" w:type="dxa"/>
            <w:vAlign w:val="bottom"/>
          </w:tcPr>
          <w:p>
            <w:pPr>
              <w:spacing w:after="0"/>
              <w:rPr>
                <w:sz w:val="1"/>
                <w:szCs w:val="1"/>
                <w:color w:val="auto"/>
              </w:rPr>
            </w:pPr>
          </w:p>
        </w:tc>
      </w:tr>
      <w:tr>
        <w:trPr>
          <w:trHeight w:val="275"/>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456,625,064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444,245,425</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912,423,707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899,210,799</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880" w:type="dxa"/>
            <w:vAlign w:val="bottom"/>
          </w:tcPr>
          <w:p>
            <w:pPr>
              <w:ind w:left="240"/>
              <w:spacing w:after="0"/>
              <w:rPr>
                <w:sz w:val="20"/>
                <w:szCs w:val="20"/>
                <w:color w:val="auto"/>
              </w:rPr>
            </w:pPr>
            <w:r>
              <w:rPr>
                <w:rFonts w:ascii="Arial" w:cs="Arial" w:eastAsia="Arial" w:hAnsi="Arial"/>
                <w:sz w:val="18"/>
                <w:szCs w:val="18"/>
                <w:color w:val="auto"/>
              </w:rPr>
              <w:t>Fire Protection Products</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6,359,266</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5,813,210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12,211,499</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11,092,868</w:t>
            </w: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Windows Products</w:t>
            </w:r>
          </w:p>
        </w:tc>
        <w:tc>
          <w:tcPr>
            <w:tcW w:w="1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5,727,024</w:t>
            </w:r>
          </w:p>
        </w:tc>
        <w:tc>
          <w:tcPr>
            <w:tcW w:w="1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4,922,805</w:t>
            </w:r>
          </w:p>
        </w:tc>
        <w:tc>
          <w:tcPr>
            <w:tcW w:w="2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12,665,145</w:t>
            </w:r>
          </w:p>
        </w:tc>
        <w:tc>
          <w:tcPr>
            <w:tcW w:w="20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10,097,878</w:t>
            </w:r>
          </w:p>
        </w:tc>
        <w:tc>
          <w:tcPr>
            <w:tcW w:w="0" w:type="dxa"/>
            <w:vAlign w:val="bottom"/>
          </w:tcPr>
          <w:p>
            <w:pPr>
              <w:spacing w:after="0"/>
              <w:rPr>
                <w:sz w:val="1"/>
                <w:szCs w:val="1"/>
                <w:color w:val="auto"/>
              </w:rPr>
            </w:pPr>
          </w:p>
        </w:tc>
      </w:tr>
      <w:tr>
        <w:trPr>
          <w:trHeight w:val="255"/>
        </w:trPr>
        <w:tc>
          <w:tcPr>
            <w:tcW w:w="2880" w:type="dxa"/>
            <w:vAlign w:val="bottom"/>
          </w:tcPr>
          <w:p>
            <w:pPr>
              <w:ind w:left="20"/>
              <w:spacing w:after="0"/>
              <w:rPr>
                <w:sz w:val="20"/>
                <w:szCs w:val="20"/>
                <w:color w:val="auto"/>
              </w:rPr>
            </w:pPr>
            <w:r>
              <w:rPr>
                <w:rFonts w:ascii="Arial" w:cs="Arial" w:eastAsia="Arial" w:hAnsi="Arial"/>
                <w:sz w:val="18"/>
                <w:szCs w:val="18"/>
                <w:color w:val="auto"/>
              </w:rPr>
              <w:t>Total Other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12,086,290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10,736,015</w:t>
            </w:r>
          </w:p>
        </w:tc>
        <w:tc>
          <w:tcPr>
            <w:tcW w:w="2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24,876,644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21,190,746</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680"/>
        <w:spacing w:after="0"/>
        <w:rPr>
          <w:sz w:val="20"/>
          <w:szCs w:val="20"/>
          <w:color w:val="auto"/>
        </w:rPr>
      </w:pPr>
      <w:r>
        <w:rPr>
          <w:rFonts w:ascii="Arial" w:cs="Arial" w:eastAsia="Arial" w:hAnsi="Arial"/>
          <w:sz w:val="18"/>
          <w:szCs w:val="18"/>
          <w:color w:val="auto"/>
        </w:rPr>
        <w:t>*Excludes HomeLink revenue related to HomeLink modules integrated into automotive mirrors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(15) Leases</w:t>
      </w:r>
    </w:p>
    <w:p>
      <w:pPr>
        <w:spacing w:after="0" w:line="252" w:lineRule="exact"/>
        <w:rPr>
          <w:sz w:val="20"/>
          <w:szCs w:val="20"/>
          <w:color w:val="auto"/>
        </w:rPr>
      </w:pPr>
    </w:p>
    <w:p>
      <w:pPr>
        <w:jc w:val="both"/>
        <w:ind w:left="260"/>
        <w:spacing w:after="0" w:line="248" w:lineRule="auto"/>
        <w:rPr>
          <w:sz w:val="20"/>
          <w:szCs w:val="20"/>
          <w:color w:val="auto"/>
        </w:rPr>
      </w:pPr>
      <w:r>
        <w:rPr>
          <w:rFonts w:ascii="Arial" w:cs="Arial" w:eastAsia="Arial" w:hAnsi="Arial"/>
          <w:sz w:val="18"/>
          <w:szCs w:val="18"/>
          <w:color w:val="auto"/>
        </w:rPr>
        <w:t>The Company has operating leases for corporate offices, warehouses, vehicles, and other equipment, which are included within "Plant and Equipment - Net" section of the Condensed Consolidated Balance Sheets. The leases have remaining lease terms of 1 year to 5 years. The weighted average remaining lease term for operating leases as of June 30, 2019 was 2 years, with a weighted average discount rate of 2.9%.</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358" w:right="239" w:bottom="1440" w:gutter="0" w:footer="0" w:header="0"/>
          <w:type w:val="continuous"/>
        </w:sectPr>
      </w:pPr>
    </w:p>
    <w:bookmarkStart w:id="20" w:name="page21"/>
    <w:bookmarkEnd w:id="20"/>
    <w:p>
      <w:pPr>
        <w:jc w:val="center"/>
        <w:ind w:right="2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for operating leases as of June 30,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62687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8720" cy="13716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268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2019 (excluding the six months ended June 30, 2019)</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745,751</w:t>
            </w:r>
          </w:p>
        </w:tc>
        <w:tc>
          <w:tcPr>
            <w:tcW w:w="20" w:type="dxa"/>
            <w:vAlign w:val="bottom"/>
          </w:tcPr>
          <w:p>
            <w:pPr>
              <w:spacing w:after="0"/>
              <w:rPr>
                <w:sz w:val="22"/>
                <w:szCs w:val="22"/>
                <w:color w:val="auto"/>
              </w:rPr>
            </w:pPr>
          </w:p>
        </w:tc>
      </w:tr>
      <w:tr>
        <w:trPr>
          <w:trHeight w:val="252"/>
        </w:trPr>
        <w:tc>
          <w:tcPr>
            <w:tcW w:w="7820" w:type="dxa"/>
            <w:vAlign w:val="bottom"/>
          </w:tcPr>
          <w:p>
            <w:pPr>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576,623</w:t>
            </w:r>
          </w:p>
        </w:tc>
        <w:tc>
          <w:tcPr>
            <w:tcW w:w="20" w:type="dxa"/>
            <w:vAlign w:val="bottom"/>
          </w:tcPr>
          <w:p>
            <w:pPr>
              <w:spacing w:after="0"/>
              <w:rPr>
                <w:sz w:val="21"/>
                <w:szCs w:val="21"/>
                <w:color w:val="auto"/>
              </w:rPr>
            </w:pPr>
          </w:p>
        </w:tc>
      </w:tr>
      <w:tr>
        <w:trPr>
          <w:trHeight w:val="26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138,888</w:t>
            </w:r>
          </w:p>
        </w:tc>
        <w:tc>
          <w:tcPr>
            <w:tcW w:w="20" w:type="dxa"/>
            <w:vAlign w:val="bottom"/>
          </w:tcPr>
          <w:p>
            <w:pPr>
              <w:spacing w:after="0"/>
              <w:rPr>
                <w:sz w:val="22"/>
                <w:szCs w:val="22"/>
                <w:color w:val="auto"/>
              </w:rPr>
            </w:pPr>
          </w:p>
        </w:tc>
      </w:tr>
      <w:tr>
        <w:trPr>
          <w:trHeight w:val="252"/>
        </w:trPr>
        <w:tc>
          <w:tcPr>
            <w:tcW w:w="7820" w:type="dxa"/>
            <w:vAlign w:val="bottom"/>
          </w:tcPr>
          <w:p>
            <w:pPr>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54,656</w:t>
            </w:r>
          </w:p>
        </w:tc>
        <w:tc>
          <w:tcPr>
            <w:tcW w:w="20" w:type="dxa"/>
            <w:vAlign w:val="bottom"/>
          </w:tcPr>
          <w:p>
            <w:pPr>
              <w:spacing w:after="0"/>
              <w:rPr>
                <w:sz w:val="21"/>
                <w:szCs w:val="21"/>
                <w:color w:val="auto"/>
              </w:rPr>
            </w:pPr>
          </w:p>
        </w:tc>
      </w:tr>
      <w:tr>
        <w:trPr>
          <w:trHeight w:val="26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11,083</w:t>
            </w:r>
          </w:p>
        </w:tc>
        <w:tc>
          <w:tcPr>
            <w:tcW w:w="20" w:type="dxa"/>
            <w:vAlign w:val="bottom"/>
          </w:tcPr>
          <w:p>
            <w:pPr>
              <w:spacing w:after="0"/>
              <w:rPr>
                <w:sz w:val="22"/>
                <w:szCs w:val="22"/>
                <w:color w:val="auto"/>
              </w:rPr>
            </w:pPr>
          </w:p>
        </w:tc>
      </w:tr>
      <w:tr>
        <w:trPr>
          <w:trHeight w:val="252"/>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12,725</w:t>
            </w:r>
          </w:p>
        </w:tc>
        <w:tc>
          <w:tcPr>
            <w:tcW w:w="20" w:type="dxa"/>
            <w:vAlign w:val="bottom"/>
          </w:tcPr>
          <w:p>
            <w:pPr>
              <w:spacing w:after="0"/>
              <w:rPr>
                <w:sz w:val="21"/>
                <w:szCs w:val="21"/>
                <w:color w:val="auto"/>
              </w:rPr>
            </w:pPr>
          </w:p>
        </w:tc>
      </w:tr>
      <w:tr>
        <w:trPr>
          <w:trHeight w:val="255"/>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1,539,726</w:t>
            </w:r>
          </w:p>
        </w:tc>
        <w:tc>
          <w:tcPr>
            <w:tcW w:w="20" w:type="dxa"/>
            <w:vAlign w:val="bottom"/>
          </w:tcPr>
          <w:p>
            <w:pPr>
              <w:spacing w:after="0"/>
              <w:rPr>
                <w:sz w:val="22"/>
                <w:szCs w:val="22"/>
                <w:color w:val="auto"/>
              </w:rPr>
            </w:pPr>
          </w:p>
        </w:tc>
      </w:tr>
      <w:tr>
        <w:trPr>
          <w:trHeight w:val="252"/>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(26,933)</w:t>
            </w:r>
          </w:p>
        </w:tc>
        <w:tc>
          <w:tcPr>
            <w:tcW w:w="20" w:type="dxa"/>
            <w:vAlign w:val="bottom"/>
          </w:tcPr>
          <w:p>
            <w:pPr>
              <w:spacing w:after="0"/>
              <w:rPr>
                <w:sz w:val="21"/>
                <w:szCs w:val="21"/>
                <w:color w:val="auto"/>
              </w:rPr>
            </w:pPr>
          </w:p>
        </w:tc>
      </w:tr>
      <w:tr>
        <w:trPr>
          <w:trHeight w:val="250"/>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1,512,793</w:t>
            </w:r>
          </w:p>
        </w:tc>
        <w:tc>
          <w:tcPr>
            <w:tcW w:w="20" w:type="dxa"/>
            <w:vAlign w:val="bottom"/>
          </w:tcPr>
          <w:p>
            <w:pPr>
              <w:spacing w:after="0"/>
              <w:rPr>
                <w:sz w:val="21"/>
                <w:szCs w:val="21"/>
                <w:color w:val="auto"/>
              </w:rPr>
            </w:pPr>
          </w:p>
        </w:tc>
      </w:tr>
      <w:tr>
        <w:trPr>
          <w:trHeight w:val="620"/>
        </w:trPr>
        <w:tc>
          <w:tcPr>
            <w:tcW w:w="7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7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Reported as of June 30, 2019</w:t>
            </w:r>
          </w:p>
        </w:tc>
        <w:tc>
          <w:tcPr>
            <w:tcW w:w="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r>
      <w:tr>
        <w:trPr>
          <w:trHeight w:val="251"/>
        </w:trPr>
        <w:tc>
          <w:tcPr>
            <w:tcW w:w="7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1,151,048</w:t>
            </w:r>
          </w:p>
        </w:tc>
        <w:tc>
          <w:tcPr>
            <w:tcW w:w="20" w:type="dxa"/>
            <w:vAlign w:val="bottom"/>
            <w:shd w:val="clear" w:color="auto" w:fill="CCEEFF"/>
          </w:tcPr>
          <w:p>
            <w:pPr>
              <w:spacing w:after="0"/>
              <w:rPr>
                <w:sz w:val="22"/>
                <w:szCs w:val="22"/>
                <w:color w:val="auto"/>
              </w:rPr>
            </w:pPr>
          </w:p>
        </w:tc>
      </w:tr>
      <w:tr>
        <w:trPr>
          <w:trHeight w:val="252"/>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361,745</w:t>
            </w:r>
          </w:p>
        </w:tc>
        <w:tc>
          <w:tcPr>
            <w:tcW w:w="20" w:type="dxa"/>
            <w:vAlign w:val="bottom"/>
            <w:tcBorders>
              <w:bottom w:val="single" w:sz="8" w:color="auto"/>
            </w:tcBorders>
          </w:tcPr>
          <w:p>
            <w:pPr>
              <w:spacing w:after="0"/>
              <w:rPr>
                <w:sz w:val="21"/>
                <w:szCs w:val="21"/>
                <w:color w:val="auto"/>
              </w:rPr>
            </w:pPr>
          </w:p>
        </w:tc>
      </w:tr>
      <w:tr>
        <w:trPr>
          <w:trHeight w:val="250"/>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1,512,793</w:t>
            </w:r>
          </w:p>
        </w:tc>
        <w:tc>
          <w:tcPr>
            <w:tcW w:w="20" w:type="dxa"/>
            <w:vAlign w:val="bottom"/>
            <w:tcBorders>
              <w:bottom w:val="single" w:sz="8" w:color="auto"/>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500" w:top="35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SECOND QUARTER 2019 VERSUS SECOND QUARTER 2018</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second quarter of 2019 increased by $13.7 million or 3% when compared with the second quarter of 2018.</w:t>
      </w:r>
    </w:p>
    <w:p>
      <w:pPr>
        <w:spacing w:after="0" w:line="144"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Automotive net sales for the second quarter of 2019 increased 3% to $456.6 million, compared with automotive net sales of $444.2 million in the second quarter of 2018, driven primarily by a 2% quarter over quarter increase in automotive mirror unit shipments. The 2% increase in automotive mirror unit shipments in the second quarter of 2019 to 10.8 million units compared with 10.6 million units in the second quarter of 2018, was primarily due to an increase of 39% for North American unit shipments of the Company's exterior auto-dimming mirrors on a quarter over quarter basis, as opposed to international mirror unit shipments, which were down 2% on a quarter over quarter basis.</w:t>
      </w:r>
    </w:p>
    <w:p>
      <w:pPr>
        <w:spacing w:after="0" w:line="205" w:lineRule="exact"/>
        <w:rPr>
          <w:sz w:val="20"/>
          <w:szCs w:val="20"/>
          <w:color w:val="auto"/>
        </w:rPr>
      </w:pPr>
    </w:p>
    <w:p>
      <w:pPr>
        <w:ind w:left="660" w:right="60"/>
        <w:spacing w:after="0" w:line="292"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six months ended June 30, 2019, and 2018 </w:t>
      </w:r>
      <w:r>
        <w:rPr>
          <w:rFonts w:ascii="Arial" w:cs="Arial" w:eastAsia="Arial" w:hAnsi="Arial"/>
          <w:sz w:val="18"/>
          <w:szCs w:val="18"/>
          <w:i w:val="1"/>
          <w:iCs w:val="1"/>
          <w:color w:val="auto"/>
        </w:rPr>
        <w:t>(in thousands).</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3260" w:type="dxa"/>
            <w:vAlign w:val="bottom"/>
            <w:tcBorders>
              <w:bottom w:val="single" w:sz="8" w:color="auto"/>
            </w:tcBorders>
            <w:gridSpan w:val="5"/>
          </w:tcPr>
          <w:p>
            <w:pPr>
              <w:jc w:val="right"/>
              <w:ind w:right="612"/>
              <w:spacing w:after="0"/>
              <w:rPr>
                <w:sz w:val="20"/>
                <w:szCs w:val="20"/>
                <w:color w:val="auto"/>
              </w:rPr>
            </w:pPr>
            <w:r>
              <w:rPr>
                <w:rFonts w:ascii="Arial" w:cs="Arial" w:eastAsia="Arial" w:hAnsi="Arial"/>
                <w:sz w:val="14"/>
                <w:szCs w:val="14"/>
                <w:b w:val="1"/>
                <w:bCs w:val="1"/>
                <w:color w:val="auto"/>
              </w:rPr>
              <w:t>Three Months Ended June 30,</w:t>
            </w:r>
          </w:p>
        </w:tc>
        <w:tc>
          <w:tcPr>
            <w:tcW w:w="30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37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Change</w:t>
            </w: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251"/>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4,433</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4,528</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52"/>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99"/>
              </w:rPr>
              <w:t>39%</w:t>
            </w: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2,549</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1,768</w:t>
            </w:r>
          </w:p>
        </w:tc>
        <w:tc>
          <w:tcPr>
            <w:tcW w:w="9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9"/>
              </w:rPr>
              <w:t>44%</w:t>
            </w:r>
          </w:p>
        </w:tc>
      </w:tr>
      <w:tr>
        <w:trPr>
          <w:trHeight w:val="255"/>
        </w:trPr>
        <w:tc>
          <w:tcPr>
            <w:tcW w:w="3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North American Mirror Units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12%</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6,981</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6,296</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11%</w:t>
            </w:r>
          </w:p>
        </w:tc>
      </w:tr>
      <w:tr>
        <w:trPr>
          <w:trHeight w:val="270"/>
        </w:trPr>
        <w:tc>
          <w:tcPr>
            <w:tcW w:w="3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10,596</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10,647</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2"/>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(8)%</w:t>
            </w: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3,924</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4,227</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w:t>
            </w:r>
          </w:p>
        </w:tc>
      </w:tr>
      <w:tr>
        <w:trPr>
          <w:trHeight w:val="255"/>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 Mirror Units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14,520</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14,874</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70"/>
        </w:trPr>
        <w:tc>
          <w:tcPr>
            <w:tcW w:w="3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15,028</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15,175</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52"/>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9"/>
              </w:rPr>
              <w:t>7%</w:t>
            </w: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6,473</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5,995</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w:t>
            </w:r>
          </w:p>
        </w:tc>
      </w:tr>
      <w:tr>
        <w:trPr>
          <w:trHeight w:val="280"/>
        </w:trPr>
        <w:tc>
          <w:tcPr>
            <w:tcW w:w="3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Auto-Dimming Mirror Units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center"/>
              <w:ind w:right="212"/>
              <w:spacing w:after="0"/>
              <w:rPr>
                <w:sz w:val="20"/>
                <w:szCs w:val="20"/>
                <w:color w:val="auto"/>
              </w:rPr>
            </w:pPr>
            <w:r>
              <w:rPr>
                <w:rFonts w:ascii="Arial" w:cs="Arial" w:eastAsia="Arial" w:hAnsi="Arial"/>
                <w:sz w:val="18"/>
                <w:szCs w:val="18"/>
                <w:color w:val="auto"/>
                <w:w w:val="99"/>
              </w:rPr>
              <w:t>2%</w:t>
            </w:r>
          </w:p>
        </w:tc>
        <w:tc>
          <w:tcPr>
            <w:tcW w:w="11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21,501</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21,170</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Other net sales were $ 12.1 million in the second quarter of 2019, an increase of 13%, compared to $10.7 million in the second quarter of 2018. This increase is in large part attributable to a 16% quarter over quarter improvement in variable dimmable aircraft windows sales, which increased from $ 4.9 million in the second quarter of 2018 to $5.7 million in the second quarter of 2019. Fire protection sales increased by 10% in the second quarter of 2019 to $6.4 million, compared to $5.8 million in the second quarter of 2018.</w:t>
      </w:r>
    </w:p>
    <w:p>
      <w:pPr>
        <w:spacing w:after="0" w:line="197"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62.3% in the second quarter of 2019 versus 62.0%</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2018. The quarter over quarter net decrease in the gross profit margin was primarily the result of annual customer price reductions and tariffs enacted in the second half of calendar year 2018, which was partially offset by improvements in product mix related to certain advance feature products as well as purchasing cost reductions. On a quarter over quarter basis, annual customer price reductions had a negative impact of approximately 150 - 200 basis points and the above-referenced enacted tariffs had a negative impact of approximately 50 - 100 basis points. Purchasing cost reductions had a positive impact of approximately 100 -150 basis points, and product mix improvements independently had a positive impact of approximately 50 -100 basis points on a quarter over quarter basis.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25" w:right="239"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("E, R &amp; D") for the second quarter of 2019 increased by 4%</w:t>
      </w:r>
      <w:r>
        <w:rPr>
          <w:rFonts w:ascii="Arial" w:cs="Arial" w:eastAsia="Arial" w:hAnsi="Arial"/>
          <w:sz w:val="18"/>
          <w:szCs w:val="18"/>
          <w:i w:val="1"/>
          <w:iCs w:val="1"/>
          <w:color w:val="auto"/>
        </w:rPr>
        <w:t xml:space="preserve"> </w:t>
      </w:r>
      <w:r>
        <w:rPr>
          <w:rFonts w:ascii="Arial" w:cs="Arial" w:eastAsia="Arial" w:hAnsi="Arial"/>
          <w:sz w:val="18"/>
          <w:szCs w:val="18"/>
          <w:color w:val="auto"/>
        </w:rPr>
        <w:t>or $1.2 million when compared with the second quarter of 2018, primarily due to increased staffing levels and benefits, which continue to support growth and the development of new business and technology advances.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("S, G &amp; A") expenses increased by 7% or $1.4 million for the second quarter of 2019 compared to the second quarter of 2018. S, G &amp; A expenses, notwithstanding the quarter over quarter increase, were at approximately 4% of net sales in the second quarter of 2019 and in the second quarter of 2018. S, G, &amp; A expenses increased on a dollar basis primarily due to increased staffing levels and benefits.</w:t>
      </w:r>
    </w:p>
    <w:p>
      <w:pPr>
        <w:spacing w:after="0" w:line="19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Total operating expenses were $48.6 million in the second quarter of 2019, which increased by 5% or $2.5 million, from $46.1 million in the second quarter of 2018.</w:t>
      </w:r>
    </w:p>
    <w:p>
      <w:pPr>
        <w:spacing w:after="0" w:line="7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second quarter of 2019 increased by $0.1 million when compared with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2018, primarily due to decreased interest expense on a quarter over quarter basis.</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16.4% in the second quarter of 2019 compared to 15.5% for same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Generally, effective tax rates for these periods differ from statutory federal income tax rates, due to provisions for state and local income taxes, permanent tax differences, and the foreign-derived intangible income tax deduction. The increase in the effective tax rate for the second quarter of 2019 compared to the same period of 2018 was primarily due to a decrease in discrete tax benefits related to equity compensation in the current year.</w:t>
      </w:r>
    </w:p>
    <w:p>
      <w:pPr>
        <w:spacing w:after="0" w:line="10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second quarter of 2019 was relatively flat at $109.0 million when compared with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30,2019 VERSUS SIX MONTHS ENDED JUNE 30, 2018</w:t>
      </w:r>
    </w:p>
    <w:p>
      <w:pPr>
        <w:spacing w:after="0" w:line="17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six months ended June 30, 2019 increased by $16.9 million or 2% when compared with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Automotive net sales for the first six months of 2019 were $912.4 million, up 1% compared with automotive net sales of $899.2 million for the first six months of 2018, driven by a 2% period over period increase in automotive mirror unit shipments. North American automotive mirror shipments in the six months ended June 30, 2019 increased 11% to 7.0 million units compared with the same period in 2018, primarily due to an increase of 44% for North American unit shipments of the Company's exterior auto-dimming mirrors. International automotive mirror unit shipments in the six months ended June 30, 2019, decreased 2% to 14.5 million units compared with the same period in 2018.</w:t>
      </w:r>
    </w:p>
    <w:p>
      <w:pPr>
        <w:spacing w:after="0" w:line="3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63.1% for the first six months of 2019, versus 62.5%</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period last year. The period over period decrease in the gross profit margin was primarily the result of annual customer price reductions and tariffs enacted in the second half of calendar year 2018, which was partially offset by improvements in product mix related to certain advance feature products as well as purchasing cost reductions. On a period over period basis, annual customer price reductions had a negative impact of approximately 150 - 200 basis points and the above-referenced enacted tariffs had a negative impact of approximately 50 - 100 basis points. Purchasing cost reductions had a positive impact of approximately 100 -150 basis points, and product mix improvements independently had a positive impact of approximately 50 -100 basis points on a quarter over quarter basis</w:t>
      </w:r>
    </w:p>
    <w:p>
      <w:pPr>
        <w:spacing w:after="0" w:line="34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expenses for the six months ended June 30, 2019 increased 6% or $3.2 million when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last year, primarily due to increased staffing levels related to development and launch of new business.</w:t>
      </w:r>
    </w:p>
    <w:p>
      <w:pPr>
        <w:spacing w:after="0" w:line="9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 G &amp; A expenses for the first six months of 2019 increase 9% or $3.2 million when compared with the same period last year, primarily due to increases in staffing levels and benefits.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60"/>
          </w:cols>
          <w:pgMar w:left="900" w:top="927" w:right="239" w:bottom="1440" w:gutter="0" w:footer="0" w:header="0"/>
        </w:sectPr>
      </w:pPr>
    </w:p>
    <w:bookmarkStart w:id="23" w:name="page24"/>
    <w:bookmarkEnd w:id="23"/>
    <w:p>
      <w:pPr>
        <w:jc w:val="both"/>
        <w:spacing w:after="0" w:line="292"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six months ended June 30, 2019 increased by $0.2 million when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last year, primarily due to lower period over period interest expense compared to the first six months of 2018.</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16.4% for the six months ended June 30, 2019 compared to 15.5% for the same period of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the effective tax rate for the six months ended June 30, 2019 compared to the same period of 2018 is primarily due to a decrease in discrete tax benefits related to equity compensation in the current year.</w:t>
      </w:r>
    </w:p>
    <w:p>
      <w:pPr>
        <w:spacing w:after="0" w:line="8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six months ended June 30, 2019 decreased by $7.0 million or 3% to $213.2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$220.3 million in the same period last year, due to the decrease in gross margin and increases in operating expenses described above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cash and cash equivalents as of June 30, 2019 were $260.3 million, which increased $43.3 million compared to $217.0 million as of December 31, 2018. The increase was primarily due to positive cash flows from operations, which was partially offset by share repurchases, dividend payments and capital expenditures during the six months ended June 30, 2019.</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Short-term investments as of June 30, 2019 were $190.6 million, up from $169.4 million as of December 31, 2018, as a result of changes in the investment portfolio mix. Long-term investments were $121.1 million as of June 30, 2019, compared to $138.0 million as of December 31, 2018, also as a result of changes in investment portfolio mix.</w:t>
      </w:r>
    </w:p>
    <w:p>
      <w:pPr>
        <w:spacing w:after="0" w:line="9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Accounts receivable as of June 30, 2019 increased approximately $12.9 million compared to December 31, 2018, primarily due to the higher sales level, as well as timing of sales within the quarters.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June 30, 2019 were $225.1 million, compared to $225.3 million as of December 31,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as of June 30, 2019 decreased approximately $2.8 million when compared to December 31, 2018.</w:t>
      </w:r>
    </w:p>
    <w:p>
      <w:pPr>
        <w:spacing w:after="0" w:line="158"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Accrued liabilities as of June 30, 2019 increased approximately $11.2 million compared to December 31, 2018, primarily due to an increase in accrued salaries and wages and tax liabilities due to timing of certain wage and tax payments.</w:t>
      </w:r>
    </w:p>
    <w:p>
      <w:pPr>
        <w:spacing w:after="0" w:line="7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Cash flow from operating activities for the six months ended June 30, 2019 decreased $18.9 million to $ 273.5 million, compared with $292.4 million during the same six month period last year, primarily due to the decrease in net income and changes in working capital.</w:t>
      </w:r>
    </w:p>
    <w:p>
      <w:pPr>
        <w:spacing w:after="0" w:line="6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Capital expenditures for the six months ended June 30, 2019 were approximately $45.5 million, compared with approximately $51.9 million for the same six month period last year.</w:t>
      </w:r>
    </w:p>
    <w:p>
      <w:pPr>
        <w:spacing w:after="0" w:line="7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estimates that it currently has building capacity to manufacture approximately 33 - 36 million interior mirror units annually and approximately 14 - 17 million exterior mirror units annually, based on current product mix. The Company evaluates equipment capacity on an ongoing basis and adds equipment as needed.</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60"/>
          </w:cols>
          <w:pgMar w:left="900" w:top="107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7"/>
                <w:szCs w:val="17"/>
                <w:color w:val="auto"/>
              </w:rPr>
            </w:pPr>
          </w:p>
        </w:tc>
        <w:tc>
          <w:tcPr>
            <w:tcW w:w="1560" w:type="dxa"/>
            <w:vAlign w:val="bottom"/>
          </w:tcPr>
          <w:p>
            <w:pPr>
              <w:jc w:val="right"/>
              <w:ind w:right="134"/>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752,842,110</w:t>
            </w: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681,769,335</w:t>
            </w:r>
          </w:p>
        </w:tc>
      </w:tr>
      <w:tr>
        <w:trPr>
          <w:trHeight w:val="257"/>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 Term Investments</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121,061,221</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137,979,082</w:t>
            </w:r>
          </w:p>
        </w:tc>
      </w:tr>
      <w:tr>
        <w:trPr>
          <w:trHeight w:val="27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873,903,331</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819,748,417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As previously disclosed, the Company intends to continue to repurchase additional shares of common stock in the future in support of the capital allocation strategy, but share repurchases may vary from time to time and will take into account macroeconomic events, market trends, and other factors the Company deems appropriate (including the market price of the stock, anti-dilutive effect of repurchases, and available cash). During the three and six months ended June 30, 2019, the Company repurchased 3,074,709 and 7,799,647 </w:t>
      </w:r>
      <w:hyperlink w:anchor="page34">
        <w:r>
          <w:rPr>
            <w:rFonts w:ascii="Arial" w:cs="Arial" w:eastAsia="Arial" w:hAnsi="Arial"/>
            <w:sz w:val="18"/>
            <w:szCs w:val="18"/>
            <w:color w:val="auto"/>
          </w:rPr>
          <w:t xml:space="preserve">shares, respectively. The Company has 26,041,610 shares remaining under the plan as of June 30, 2019, as is further detailed in </w:t>
        </w:r>
        <w:r>
          <w:rPr>
            <w:rFonts w:ascii="Arial" w:cs="Arial" w:eastAsia="Arial" w:hAnsi="Arial"/>
            <w:sz w:val="18"/>
            <w:szCs w:val="18"/>
            <w:u w:val="single" w:color="auto"/>
            <w:color w:val="0000FF"/>
          </w:rPr>
          <w:t>Part</w:t>
        </w:r>
      </w:hyperlink>
      <w:r>
        <w:rPr>
          <w:rFonts w:ascii="Arial" w:cs="Arial" w:eastAsia="Arial" w:hAnsi="Arial"/>
          <w:sz w:val="18"/>
          <w:szCs w:val="18"/>
          <w:color w:val="auto"/>
        </w:rPr>
        <w:t xml:space="preserve"> </w:t>
      </w:r>
      <w:hyperlink w:anchor="page34">
        <w:r>
          <w:rPr>
            <w:rFonts w:ascii="Arial" w:cs="Arial" w:eastAsia="Arial" w:hAnsi="Arial"/>
            <w:sz w:val="18"/>
            <w:szCs w:val="18"/>
            <w:u w:val="single" w:color="auto"/>
            <w:color w:val="0000FF"/>
          </w:rPr>
          <w:t>II, Item 2</w:t>
        </w:r>
        <w:r>
          <w:rPr>
            <w:rFonts w:ascii="Arial" w:cs="Arial" w:eastAsia="Arial" w:hAnsi="Arial"/>
            <w:sz w:val="18"/>
            <w:szCs w:val="18"/>
            <w:color w:val="0000FF"/>
          </w:rPr>
          <w:t xml:space="preserve"> </w:t>
        </w:r>
        <w:r>
          <w:rPr>
            <w:rFonts w:ascii="Arial" w:cs="Arial" w:eastAsia="Arial" w:hAnsi="Arial"/>
            <w:sz w:val="18"/>
            <w:szCs w:val="18"/>
            <w:color w:val="000000"/>
          </w:rPr>
          <w:t>of this Form 10-Q.</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overall revenue growth during the second quarter of 2019 out-paced word-wide light vehicle production growth by approximately eleven percent (11%) in large part due to the many different product launches that have been executed in 2018 and year to date in 2019. The Company's unit and revenue growth continue to be driven by the Company's electrochromic technology, the success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as well as other electronic features, such as the Integrated Toll Module and HomeLink</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08"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Interior and exterior auto-dimming mirrors and advanced electronic features were launched on 33 new vehicle models during the second quarter of 2019. The launches were led by increased launch levels in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Full Display Mirror</w:t>
      </w:r>
      <w:r>
        <w:rPr>
          <w:rFonts w:ascii="Arial" w:cs="Arial" w:eastAsia="Arial" w:hAnsi="Arial"/>
          <w:sz w:val="23"/>
          <w:szCs w:val="23"/>
          <w:color w:val="auto"/>
          <w:vertAlign w:val="superscript"/>
        </w:rPr>
        <w:t>®</w:t>
      </w:r>
      <w:r>
        <w:rPr>
          <w:rFonts w:ascii="Arial" w:cs="Arial" w:eastAsia="Arial" w:hAnsi="Arial"/>
          <w:sz w:val="21"/>
          <w:szCs w:val="2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the second quarter of 2019,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five OEMs, which are General Motors, Subaru, Toyota, Nissan, and Jaguar Land Rover. The launches for Jaguar Land Rover are the first launches with a European based OEM and include product shipments that will be used for global applications on these vehicles. In the second quarter of 2019, the Company launched four additional nameplates, which means the Company is currently shipping on 30 vehicle nameplates for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continues to see interest from other automotive OEMs and is negotiating with other OEMs on an on-going basis. The Company remains confident that on-going discussions with certain other OEMs, in the future, may cause such OEM's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60"/>
          </w:cols>
          <w:pgMar w:left="900" w:top="1076" w:right="239" w:bottom="1440" w:gutter="0" w:footer="0" w:header="0"/>
        </w:sectPr>
      </w:pPr>
    </w:p>
    <w:bookmarkStart w:id="25" w:name="page26"/>
    <w:bookmarkEnd w:id="25"/>
    <w:p>
      <w:pPr>
        <w:jc w:val="both"/>
        <w:spacing w:after="0" w:line="242" w:lineRule="auto"/>
        <w:rPr>
          <w:sz w:val="20"/>
          <w:szCs w:val="20"/>
          <w:color w:val="auto"/>
        </w:rPr>
      </w:pPr>
      <w:r>
        <w:rPr>
          <w:rFonts w:ascii="Arial" w:cs="Arial" w:eastAsia="Arial" w:hAnsi="Arial"/>
          <w:sz w:val="18"/>
          <w:szCs w:val="18"/>
          <w:color w:val="auto"/>
        </w:rPr>
        <w:t>In 2017, the Company introduced a new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 ("NHTSA") to allow automakers to use cameras as an option to replace conventional rearview mirrors within the United States, however, no final rule or legislation has been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In the second half of 2018, the Office of Management and Budget published its regulatory and deregulatory agenda, which included a reference to a prerule stage for NHTSA related to amending the rear visibility standard to allow the option for camera-monitor systems to replace mirrors. Also, NHTSA published a report dated October 2018 related to camera monitoring systems for outside mirror replacements.</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As of January 2017, CMS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is currently in production with a rear vision camera system that streams rear video to a rearview-mirror-integrated display using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Company's CMS solution uses three cameras to provide a comprehensive view of the sides and rear of the vehicle. The Company also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2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which uses both RF and wireless cloud-based connectivity to deliver complete vehicle-to-home automation. With the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app on the user’s smartphone via Bluetooth Low Energy. The app contains predefined, user-programmed actions, from single device operations to entire home automation scenes. The app, in turn, communicates to the home’s smart hub over the cloud server network and activates the appropriate devices, including security systems, door</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60"/>
          </w:cols>
          <w:pgMar w:left="900" w:top="927" w:right="239" w:bottom="1440" w:gutter="0" w:footer="0" w:header="0"/>
        </w:sectPr>
      </w:pPr>
    </w:p>
    <w:bookmarkStart w:id="26" w:name="page27"/>
    <w:bookmarkEnd w:id="26"/>
    <w:p>
      <w:pPr>
        <w:jc w:val="both"/>
        <w:spacing w:after="0" w:line="235" w:lineRule="auto"/>
        <w:rPr>
          <w:sz w:val="20"/>
          <w:szCs w:val="20"/>
          <w:color w:val="auto"/>
        </w:rPr>
      </w:pPr>
      <w:r>
        <w:rPr>
          <w:rFonts w:ascii="Arial" w:cs="Arial" w:eastAsia="Arial" w:hAnsi="Arial"/>
          <w:sz w:val="18"/>
          <w:szCs w:val="18"/>
          <w:color w:val="auto"/>
        </w:rPr>
        <w:t>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the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new markets like China. The unique attributes of the China market allow for potential new use cases of these products and offer what the Company believes to be a real opportunity for growth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January 2016, the Company announced a partnership with TransCore to provide automobile manufacturers with a vehicle-integrated tolling solution that enables motorists to drive on all U.S. toll roads without a traditional toll tag on the windshield. Currently more than 75 percent of new car registrations are in states with toll roads with over 50 million drivers accessing these roads each year. The Company signed an exclusive agreement, in the ordinary course of business, to integrate TransCore's toll module technology into the Company's rearview mirrors. In January 2017, the Company signed an extension of its agreement in the ordinary course of business, which enables the Company to offer the Integrated Toll Module system in Canada and Mexico.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or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provides transportation agencies with an interoperability solution without costly infrastructure changes to the thousands of miles of toll lanes throughout the country. The Company believes that this product could potentially represent another growth opportunity over the next several years. The Company has its first OEM award of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with Audi. In the first quarter of 2019, the Company began its first volume shipments of the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to Audi. During the second quarter of 2019, the first consumers began registering their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systems online to activate the device and began using the system for normal tolling use. The Company will monitor and assess feedback from consumers, dealers, and the OEM in order to help others understand the use case and acceptance of this product. Over the next 18 months, the Company expects further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nameplate launches with Audi, as well as the initial launch of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at two additional OEMs. These OEM launches are targeted to begin production shipments in the 2020 or 2021 time periods.</w:t>
      </w:r>
    </w:p>
    <w:p>
      <w:pPr>
        <w:spacing w:after="0" w:line="200" w:lineRule="exact"/>
        <w:rPr>
          <w:sz w:val="20"/>
          <w:szCs w:val="20"/>
          <w:color w:val="auto"/>
        </w:rPr>
      </w:pPr>
    </w:p>
    <w:p>
      <w:pPr>
        <w:spacing w:after="0" w:line="207"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January 2018, the Company also announced that an agreement had been signed, in the ordinary course of business, to participate in a round of financing with Yonomi, the Company's partner in home automation technology. The Company is working with Yonomi as a home automation aggregation partner and the Company has developed an app and cloud infrastructure known as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As discussed above,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is the home automation app that pairs with the vehicle and allows drivers to operate home automation devices from the vehicle's center console display. Drivers of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60"/>
          </w:cols>
          <w:pgMar w:left="900" w:top="927" w:right="239" w:bottom="1440" w:gutter="0" w:footer="0" w:header="0"/>
        </w:sectPr>
      </w:pPr>
    </w:p>
    <w:bookmarkStart w:id="27" w:name="page28"/>
    <w:bookmarkEnd w:id="27"/>
    <w:p>
      <w:pPr>
        <w:jc w:val="both"/>
        <w:spacing w:after="0" w:line="247"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fusing with other systems on the vehicle, including radar, navigation, steering and related modules provided by other suppliers. This enables the Company to provide its customers with a highly customizable solution that meets their unique needs and specifications.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could potentially replace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w:t>
      </w:r>
    </w:p>
    <w:p>
      <w:pPr>
        <w:spacing w:after="0" w:line="1" w:lineRule="exact"/>
        <w:rPr>
          <w:sz w:val="20"/>
          <w:szCs w:val="20"/>
          <w:color w:val="auto"/>
        </w:rPr>
      </w:pPr>
    </w:p>
    <w:p>
      <w:pPr>
        <w:jc w:val="both"/>
        <w:ind w:firstLine="111"/>
        <w:spacing w:after="0" w:line="215" w:lineRule="auto"/>
        <w:rPr>
          <w:sz w:val="20"/>
          <w:szCs w:val="20"/>
          <w:color w:val="auto"/>
        </w:rPr>
      </w:pPr>
      <w:r>
        <w:rPr>
          <w:rFonts w:ascii="Arial" w:cs="Arial" w:eastAsia="Arial" w:hAnsi="Arial"/>
          <w:sz w:val="18"/>
          <w:szCs w:val="18"/>
          <w:color w:val="auto"/>
        </w:rPr>
        <w:t>The NCAP implementation has been delayed, and on August 5, 2018, NHTSA published a notice seeking public comment on NCAP with a deadline of October 1, 2018 for the submission of written comments.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w:t>
      </w:r>
    </w:p>
    <w:p>
      <w:pPr>
        <w:spacing w:after="0" w:line="20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Automotive revenues represent approximately 97% - 98% of the Company's total revenue, consisting of interior and exterior electrochromic automatic-dimming rearview mirrors and automotive electronics.</w:t>
      </w:r>
    </w:p>
    <w:p>
      <w:pPr>
        <w:spacing w:after="0" w:line="17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does continue to experience pricing pressure from its automotive customers and competitors, which will continue to cause downward pressure on its sales and profit margins. The Company works continuously to offset these price reductions with engineering and purchasing cost reductions,</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60"/>
          </w:cols>
          <w:pgMar w:left="900" w:top="927" w:right="239" w:bottom="1440" w:gutter="0" w:footer="0" w:header="0"/>
        </w:sectPr>
      </w:pPr>
    </w:p>
    <w:bookmarkStart w:id="28" w:name="page29"/>
    <w:bookmarkEnd w:id="28"/>
    <w:p>
      <w:pPr>
        <w:jc w:val="both"/>
        <w:ind w:right="20"/>
        <w:spacing w:after="0" w:line="292" w:lineRule="auto"/>
        <w:rPr>
          <w:sz w:val="20"/>
          <w:szCs w:val="20"/>
          <w:color w:val="auto"/>
        </w:rPr>
      </w:pPr>
      <w:r>
        <w:rPr>
          <w:rFonts w:ascii="Arial" w:cs="Arial" w:eastAsia="Arial" w:hAnsi="Arial"/>
          <w:sz w:val="18"/>
          <w:szCs w:val="18"/>
          <w:color w:val="auto"/>
        </w:rPr>
        <w:t>productivity improvements, and increases in unit sales volume, but there is no assurance the Company will be able to do so in the future.</w:t>
      </w:r>
    </w:p>
    <w:p>
      <w:pPr>
        <w:spacing w:after="0" w:line="17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and other electronic features that it offers in vehicles and the aerospace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19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60"/>
          </w:cols>
          <w:pgMar w:left="900" w:top="92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Company’s forecasts for light vehicle production for the third quarter and full year of 2019 are based on IHS Markit's mid-July 2019 forecasts for light vehicle production in North America, Europe, China, and Japan and Korea. Using the mid-July 2019 light vehicle production forecasts indicated in the table below, the Company has provided certain guidance for calendar year 2019.</w:t>
      </w:r>
    </w:p>
    <w:p>
      <w:pPr>
        <w:spacing w:after="0" w:line="235" w:lineRule="exact"/>
        <w:rPr>
          <w:sz w:val="20"/>
          <w:szCs w:val="20"/>
          <w:color w:val="auto"/>
        </w:rPr>
      </w:pPr>
    </w:p>
    <w:p>
      <w:pPr>
        <w:jc w:val="center"/>
        <w:ind w:right="760"/>
        <w:spacing w:after="0"/>
        <w:rPr>
          <w:sz w:val="20"/>
          <w:szCs w:val="20"/>
          <w:color w:val="auto"/>
        </w:rPr>
      </w:pPr>
      <w:r>
        <w:rPr>
          <w:rFonts w:ascii="Arial" w:cs="Arial" w:eastAsia="Arial" w:hAnsi="Arial"/>
          <w:sz w:val="20"/>
          <w:szCs w:val="20"/>
          <w:b w:val="1"/>
          <w:bCs w:val="1"/>
          <w:color w:val="auto"/>
        </w:rPr>
        <w:t>Light Vehicle Production (per IHS Markit Automotive mid-July light vehicle production forecast)</w:t>
      </w:r>
    </w:p>
    <w:p>
      <w:pPr>
        <w:spacing w:after="0" w:line="51" w:lineRule="exact"/>
        <w:rPr>
          <w:sz w:val="20"/>
          <w:szCs w:val="20"/>
          <w:color w:val="auto"/>
        </w:rPr>
      </w:pPr>
    </w:p>
    <w:p>
      <w:pPr>
        <w:jc w:val="center"/>
        <w:ind w:right="760"/>
        <w:spacing w:after="0"/>
        <w:rPr>
          <w:sz w:val="20"/>
          <w:szCs w:val="20"/>
          <w:color w:val="auto"/>
        </w:rPr>
      </w:pPr>
      <w:r>
        <w:rPr>
          <w:rFonts w:ascii="Arial" w:cs="Arial" w:eastAsia="Arial" w:hAnsi="Arial"/>
          <w:sz w:val="20"/>
          <w:szCs w:val="20"/>
          <w:b w:val="1"/>
          <w:bCs w:val="1"/>
          <w:i w:val="1"/>
          <w:iCs w:val="1"/>
          <w:color w:val="auto"/>
        </w:rPr>
        <w:t>(in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15"/>
              <w:spacing w:after="0"/>
              <w:rPr>
                <w:sz w:val="20"/>
                <w:szCs w:val="20"/>
                <w:color w:val="auto"/>
              </w:rPr>
            </w:pPr>
            <w:r>
              <w:rPr>
                <w:rFonts w:ascii="Arial" w:cs="Arial" w:eastAsia="Arial" w:hAnsi="Arial"/>
                <w:sz w:val="14"/>
                <w:szCs w:val="14"/>
                <w:b w:val="1"/>
                <w:bCs w:val="1"/>
                <w:color w:val="auto"/>
              </w:rPr>
              <w:t>Calendar</w:t>
            </w:r>
          </w:p>
        </w:tc>
        <w:tc>
          <w:tcPr>
            <w:tcW w:w="960" w:type="dxa"/>
            <w:vAlign w:val="bottom"/>
          </w:tcPr>
          <w:p>
            <w:pPr>
              <w:jc w:val="right"/>
              <w:ind w:right="155"/>
              <w:spacing w:after="0"/>
              <w:rPr>
                <w:sz w:val="20"/>
                <w:szCs w:val="20"/>
                <w:color w:val="auto"/>
              </w:rPr>
            </w:pPr>
            <w:r>
              <w:rPr>
                <w:rFonts w:ascii="Arial" w:cs="Arial" w:eastAsia="Arial" w:hAnsi="Arial"/>
                <w:sz w:val="14"/>
                <w:szCs w:val="14"/>
                <w:b w:val="1"/>
                <w:bCs w:val="1"/>
                <w:color w:val="auto"/>
              </w:rPr>
              <w:t>Calendar</w:t>
            </w:r>
          </w:p>
        </w:tc>
        <w:tc>
          <w:tcPr>
            <w:tcW w:w="960" w:type="dxa"/>
            <w:vAlign w:val="bottom"/>
          </w:tcPr>
          <w:p>
            <w:pPr>
              <w:spacing w:after="0"/>
              <w:rPr>
                <w:sz w:val="14"/>
                <w:szCs w:val="14"/>
                <w:color w:val="auto"/>
              </w:rPr>
            </w:pPr>
          </w:p>
        </w:tc>
      </w:tr>
      <w:tr>
        <w:trPr>
          <w:trHeight w:val="204"/>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Region</w:t>
            </w:r>
          </w:p>
        </w:tc>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rPr>
              <w:t>2Q 2019</w:t>
            </w:r>
          </w:p>
        </w:tc>
        <w:tc>
          <w:tcPr>
            <w:tcW w:w="920" w:type="dxa"/>
            <w:vAlign w:val="bottom"/>
          </w:tcPr>
          <w:p>
            <w:pPr>
              <w:jc w:val="right"/>
              <w:ind w:right="173"/>
              <w:spacing w:after="0"/>
              <w:rPr>
                <w:sz w:val="20"/>
                <w:szCs w:val="20"/>
                <w:color w:val="auto"/>
              </w:rPr>
            </w:pPr>
            <w:r>
              <w:rPr>
                <w:rFonts w:ascii="Arial" w:cs="Arial" w:eastAsia="Arial" w:hAnsi="Arial"/>
                <w:sz w:val="14"/>
                <w:szCs w:val="14"/>
                <w:b w:val="1"/>
                <w:bCs w:val="1"/>
                <w:color w:val="auto"/>
              </w:rPr>
              <w:t>2Q 2018</w:t>
            </w: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rPr>
              <w:t>Year 2019</w:t>
            </w:r>
          </w:p>
        </w:tc>
        <w:tc>
          <w:tcPr>
            <w:tcW w:w="960" w:type="dxa"/>
            <w:vAlign w:val="bottom"/>
          </w:tcPr>
          <w:p>
            <w:pPr>
              <w:jc w:val="right"/>
              <w:ind w:right="115"/>
              <w:spacing w:after="0"/>
              <w:rPr>
                <w:sz w:val="20"/>
                <w:szCs w:val="20"/>
                <w:color w:val="auto"/>
              </w:rPr>
            </w:pPr>
            <w:r>
              <w:rPr>
                <w:rFonts w:ascii="Arial" w:cs="Arial" w:eastAsia="Arial" w:hAnsi="Arial"/>
                <w:sz w:val="14"/>
                <w:szCs w:val="14"/>
                <w:b w:val="1"/>
                <w:bCs w:val="1"/>
                <w:color w:val="auto"/>
              </w:rPr>
              <w:t>Year 2018</w:t>
            </w:r>
          </w:p>
        </w:tc>
        <w:tc>
          <w:tcPr>
            <w:tcW w:w="960" w:type="dxa"/>
            <w:vAlign w:val="bottom"/>
          </w:tcPr>
          <w:p>
            <w:pPr>
              <w:jc w:val="right"/>
              <w:ind w:right="7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0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9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16.96</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57"/>
        </w:trPr>
        <w:tc>
          <w:tcPr>
            <w:tcW w:w="3960" w:type="dxa"/>
            <w:vAlign w:val="bottom"/>
          </w:tcPr>
          <w:p>
            <w:pPr>
              <w:ind w:left="20"/>
              <w:spacing w:after="0"/>
              <w:rPr>
                <w:sz w:val="20"/>
                <w:szCs w:val="20"/>
                <w:color w:val="auto"/>
              </w:rPr>
            </w:pPr>
            <w:r>
              <w:rPr>
                <w:rFonts w:ascii="Arial" w:cs="Arial" w:eastAsia="Arial" w:hAnsi="Arial"/>
                <w:sz w:val="18"/>
                <w:szCs w:val="18"/>
                <w:color w:val="auto"/>
              </w:rPr>
              <w:t>Europe</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4.75</w:t>
            </w:r>
          </w:p>
        </w:tc>
        <w:tc>
          <w:tcPr>
            <w:tcW w:w="920" w:type="dxa"/>
            <w:vAlign w:val="bottom"/>
          </w:tcPr>
          <w:p>
            <w:pPr>
              <w:jc w:val="right"/>
              <w:spacing w:after="0"/>
              <w:rPr>
                <w:sz w:val="20"/>
                <w:szCs w:val="20"/>
                <w:color w:val="auto"/>
              </w:rPr>
            </w:pPr>
            <w:r>
              <w:rPr>
                <w:rFonts w:ascii="Arial" w:cs="Arial" w:eastAsia="Arial" w:hAnsi="Arial"/>
                <w:sz w:val="18"/>
                <w:szCs w:val="18"/>
                <w:color w:val="auto"/>
              </w:rPr>
              <w:t>4.64</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21.44</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21.99</w:t>
            </w:r>
          </w:p>
        </w:tc>
        <w:tc>
          <w:tcPr>
            <w:tcW w:w="9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5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52"/>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 %</w:t>
            </w: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26.85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8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Light Vehicle Production</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18.19</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17.96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76.41</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79.00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Based on the aforementioned light vehicle product forecasts, as well as the estimated option rates for its products on prospective vehicle models and anticipated product mix, the Company currently estimates that top line revenue for calendar year 2019 will be between $1.87 and $1.90 billion.</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continues to see order rates and booked business that allow for these estimates despite period-over-period year declines in light vehicle production in its primary markets. Nevertheless, ongoing uncertainties remain including: light vehicle production levels; impacts of already in place and potential additional future tariffs; impacts of regulation changes; automotive plant shutdowns; supplier part shortages; sales rates in Europe, Asia and North America; OEM strategies and cost pressures; customer inventory management and the impact of potential automotive customer (including their Tier 1 suppliers) and supplier bankruptcies; work stoppages, strikes, etc., all of which could disrupt shipments to these customers and make forecasting difficult.</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Based on actual results for the first six months of 2019, currently forecasted revenues for the remainder of 2019, anticipated product mix and anticipated tariff costs, the Company now estimates that the gross profit margin will be between 36.5% and 37.5% for calendar year 2019.</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continues to estimate that its operating expenses, which include E, R &amp; D expenses and S, G &amp; A expenses, are expected to be approximately $195 - $200 million for calendar year 2019, primarily due to staffing costs, professional fees and travel expenses, which continue to support growth and the development of new business and technology advances.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light of on-going demand for the Company's auto-dimming mirrors and electronics, and based on actual spending levels through the first six months of 2019, the Company continues to anticipate that 2019 capital expenditures will be approximately $90 - $100 million, the majority of which will be equipment purchases. Capital expenditures in the calendar year 2019 are currently anticipated to be financed from current cash and cash equivalents on hand and cash flows from operating activities.</w:t>
      </w:r>
    </w:p>
    <w:p>
      <w:pPr>
        <w:spacing w:after="0" w:line="102"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Based on actual results for the first six months of 2019, and expected projects in the third quarter, the Company now estimates that depreciation and amortization expense for calendar year 2019 will be approximately $100 - $110 million.</w:t>
      </w:r>
    </w:p>
    <w:p>
      <w:pPr>
        <w:spacing w:after="0" w:line="5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now estimates its effective annual tax rate for calendar year 2019 to be in the range of 16.0% to 17.0%.</w:t>
      </w:r>
      <w:r>
        <w:rPr>
          <w:rFonts w:ascii="MS PGothic" w:cs="MS PGothic" w:eastAsia="MS PGothic" w:hAnsi="MS PGothic"/>
          <w:sz w:val="18"/>
          <w:szCs w:val="18"/>
          <w:color w:val="auto"/>
        </w:rPr>
        <w:t> </w:t>
      </w:r>
    </w:p>
    <w:p>
      <w:pPr>
        <w:spacing w:after="0" w:line="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accordance with the previously announced share repurchase plan, the Company intends to continue to repurchase additional shares of its common stock in 2019, but share repurchases may vary from time to time and will take into account macroeconomic events, market trends, and other factors the Company</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60"/>
          </w:cols>
          <w:pgMar w:left="900" w:top="118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deems appropriate (including the market price of the stock, anti-dilutive effect of repurchases, and available cash).</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Finally, based on available light vehicle production forecasts and current forecasted product mix, the Company is making no changes to its previously announced revenue estimates for calendar year 2020, which continues to be estimated to be over and above the foregoing 2019 revenue estimates in the range of 3% to 8%.</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60"/>
          </w:cols>
          <w:pgMar w:left="900" w:top="927"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0"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other-than-temporary impairment adjustment on available for sale securities (mark-to-market adjustments). During the quarter ended June 30, 2019, there are no material changes in the risk factors previously disclosed in the Company's report on Form 10-K for the fiscal year ended December 31, 2018, except as set forth in Item 2.</w:t>
      </w:r>
    </w:p>
    <w:p>
      <w:pPr>
        <w:spacing w:after="0" w:line="1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accounts, which currently are not significant overall to the Company as a whole. Because the Company sells its automotive mirrors throughout the world, and automotive manufacturing is highly dependent on general economic conditions, the Company could be affected by uncertain economic conditions in foreign markets that can reduce demand for its products.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June 30, 2019, and have concluded that as of that date, the Company's disclosure controls and procedures are effective.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June 30, 2019 that materially affected, or are reasonably likely to materially affect, the Company's internal control over financial reporting.</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5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“goal”, “hope”, “may”, “plan”, “project”, "poised",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2" w:right="239" w:bottom="1440" w:gutter="0" w:footer="0" w:header="0"/>
        </w:sectPr>
      </w:pPr>
    </w:p>
    <w:bookmarkStart w:id="32" w:name="page33"/>
    <w:bookmarkEnd w:id="32"/>
    <w:p>
      <w:pPr>
        <w:jc w:val="both"/>
        <w:spacing w:after="0" w:line="254" w:lineRule="auto"/>
        <w:rPr>
          <w:sz w:val="20"/>
          <w:szCs w:val="20"/>
          <w:color w:val="auto"/>
        </w:rPr>
      </w:pPr>
      <w:r>
        <w:rPr>
          <w:rFonts w:ascii="Arial" w:cs="Arial" w:eastAsia="Arial" w:hAnsi="Arial"/>
          <w:sz w:val="18"/>
          <w:szCs w:val="18"/>
          <w:color w:val="auto"/>
        </w:rPr>
        <w:t>with customers; loss of business from increased competition; changes in strategic relationships; customer bankruptcies or divestiture of customer brands; fluctuation in vehicle production schedules; changes in product mix; raw material shortages;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and negative impact of any governmental investigations and associated litigations including securities litigations relating to the conduct of our business. Readers are cautioned not to place undue reliance on these forward-looking statements, which speak only as of the date they are made. The Company undertakes no obligation to publicly update or revise any forward-looking statement, whether as a result of new information, future events or otherwise, except as required by law or the rules of the NASDAQ Global Select Market. Includes content supplied by IHS Markit Light Vehicle Production Forecast (July 16, 2019) (http://www.gentex.com/ forecast-disclaimer).</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60"/>
          </w:cols>
          <w:pgMar w:left="900" w:top="927" w:right="239" w:bottom="1440" w:gutter="0" w:footer="0" w:header="0"/>
        </w:sectPr>
      </w:pPr>
    </w:p>
    <w:bookmarkStart w:id="33" w:name="page34"/>
    <w:bookmarkEnd w:id="33"/>
    <w:p>
      <w:pPr>
        <w:spacing w:after="0" w:line="194" w:lineRule="auto"/>
        <w:framePr w:w="1700" w:h="130" w:wrap="auto" w:vAnchor="page" w:hAnchor="page" w:x="6880" w:y="5952"/>
        <w:rPr>
          <w:rFonts w:ascii="Arial" w:cs="Arial" w:eastAsia="Arial" w:hAnsi="Arial"/>
          <w:sz w:val="14"/>
          <w:szCs w:val="14"/>
          <w:b w:val="1"/>
          <w:bCs w:val="1"/>
          <w:color w:val="auto"/>
        </w:rPr>
      </w:pPr>
      <w:r>
        <w:rPr>
          <w:rFonts w:ascii="Arial" w:cs="Arial" w:eastAsia="Arial" w:hAnsi="Arial"/>
          <w:sz w:val="14"/>
          <w:szCs w:val="14"/>
          <w:b w:val="1"/>
          <w:bCs w:val="1"/>
          <w:color w:val="auto"/>
        </w:rPr>
        <w:t>Total Number of Shares</w:t>
      </w: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rFonts w:ascii="Arial" w:cs="Arial" w:eastAsia="Arial" w:hAnsi="Arial"/>
          <w:sz w:val="14"/>
          <w:szCs w:val="14"/>
          <w:b w:val="1"/>
          <w:bCs w:val="1"/>
          <w:color w:val="auto"/>
        </w:rPr>
      </w:pPr>
    </w:p>
    <w:p>
      <w:pPr>
        <w:jc w:val="both"/>
        <w:ind w:left="660"/>
        <w:spacing w:after="0" w:line="264"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2018. There have been no material changes from the risk factors previously disclosed in the Company’s report on Form 10-K for the year ended December 31, 2018, except to the extent described in Part I – Item 2 and Item 3 of this Form 10-Q.</w:t>
      </w:r>
    </w:p>
    <w:p>
      <w:pPr>
        <w:spacing w:after="0" w:line="276"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8"/>
          <w:szCs w:val="18"/>
          <w:b w:val="1"/>
          <w:bCs w:val="1"/>
          <w:color w:val="auto"/>
        </w:rPr>
        <w:t>(c) Issuer Purchase of Equity Securities</w:t>
      </w:r>
    </w:p>
    <w:p>
      <w:pPr>
        <w:spacing w:after="0" w:line="254" w:lineRule="exact"/>
        <w:rPr>
          <w:rFonts w:ascii="Arial" w:cs="Arial" w:eastAsia="Arial" w:hAnsi="Arial"/>
          <w:sz w:val="14"/>
          <w:szCs w:val="14"/>
          <w:b w:val="1"/>
          <w:bCs w:val="1"/>
          <w:color w:val="auto"/>
        </w:rPr>
      </w:pPr>
    </w:p>
    <w:p>
      <w:pPr>
        <w:jc w:val="both"/>
        <w:ind w:left="660"/>
        <w:spacing w:after="0" w:line="241"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As previously disclosed, the Company intends to continue to repurchase additional shares of common stock in the future in support of the capital allocation strategy, but share repurchases may vary from time to time and will take into account macroeconomic events, market trends, and other factors the Company deems appropriate (including the market price of the stock, anti-dilutive effect of repurchases, and available cash). During the six months ended June 30, 2019, the Company repurchased 7,799,647 shares. The Company has 26,041,610 shares remaining under the plan as of June 30, 2019.</w:t>
      </w:r>
    </w:p>
    <w:p>
      <w:pPr>
        <w:spacing w:after="0" w:line="206" w:lineRule="exact"/>
        <w:rPr>
          <w:rFonts w:ascii="Arial" w:cs="Arial" w:eastAsia="Arial" w:hAnsi="Arial"/>
          <w:sz w:val="14"/>
          <w:szCs w:val="14"/>
          <w:b w:val="1"/>
          <w:bCs w:val="1"/>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the three months ended June 30, 2019:</w:t>
      </w:r>
    </w:p>
    <w:p>
      <w:pPr>
        <w:spacing w:after="0" w:line="57" w:lineRule="exact"/>
        <w:rPr>
          <w:rFonts w:ascii="Arial" w:cs="Arial" w:eastAsia="Arial" w:hAnsi="Arial"/>
          <w:sz w:val="14"/>
          <w:szCs w:val="14"/>
          <w:b w:val="1"/>
          <w:bCs w:val="1"/>
          <w:color w:val="auto"/>
        </w:rPr>
      </w:pPr>
    </w:p>
    <w:p>
      <w:pPr>
        <w:jc w:val="center"/>
        <w:ind w:right="160"/>
        <w:spacing w:after="0"/>
        <w:rPr>
          <w:sz w:val="20"/>
          <w:szCs w:val="20"/>
          <w:color w:val="auto"/>
        </w:rPr>
      </w:pPr>
      <w:r>
        <w:rPr>
          <w:rFonts w:ascii="Arial" w:cs="Arial" w:eastAsia="Arial" w:hAnsi="Arial"/>
          <w:sz w:val="14"/>
          <w:szCs w:val="14"/>
          <w:b w:val="1"/>
          <w:bCs w:val="1"/>
          <w:color w:val="auto"/>
        </w:rPr>
        <w:t>Issuer Purchase of Equity Securities</w:t>
      </w:r>
    </w:p>
    <w:p>
      <w:pPr>
        <w:sectPr>
          <w:pgSz w:w="11900" w:h="16838" w:orient="portrait"/>
          <w:cols w:equalWidth="0" w:num="1">
            <w:col w:w="11420"/>
          </w:cols>
          <w:pgMar w:left="240" w:top="925" w:right="239" w:bottom="1440" w:gutter="0" w:footer="0" w:header="0"/>
        </w:sectPr>
      </w:pPr>
    </w:p>
    <w:p>
      <w:pPr>
        <w:spacing w:after="0" w:line="205" w:lineRule="exact"/>
        <w:rPr>
          <w:rFonts w:ascii="Arial" w:cs="Arial" w:eastAsia="Arial" w:hAnsi="Arial"/>
          <w:sz w:val="14"/>
          <w:szCs w:val="14"/>
          <w:b w:val="1"/>
          <w:bCs w:val="1"/>
          <w:color w:val="auto"/>
        </w:rPr>
      </w:pPr>
    </w:p>
    <w:tbl>
      <w:tblPr>
        <w:tblLayout w:type="fixed"/>
        <w:tblInd w:w="6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1980" w:type="dxa"/>
            <w:vAlign w:val="bottom"/>
          </w:tcPr>
          <w:p>
            <w:pPr>
              <w:jc w:val="center"/>
              <w:ind w:left="8"/>
              <w:spacing w:after="0"/>
              <w:rPr>
                <w:sz w:val="20"/>
                <w:szCs w:val="20"/>
                <w:color w:val="auto"/>
              </w:rPr>
            </w:pPr>
            <w:r>
              <w:rPr>
                <w:rFonts w:ascii="Arial" w:cs="Arial" w:eastAsia="Arial" w:hAnsi="Arial"/>
                <w:sz w:val="14"/>
                <w:szCs w:val="14"/>
                <w:b w:val="1"/>
                <w:bCs w:val="1"/>
                <w:color w:val="auto"/>
              </w:rPr>
              <w:t>Purchased As Part of a</w:t>
            </w:r>
          </w:p>
        </w:tc>
        <w:tc>
          <w:tcPr>
            <w:tcW w:w="0" w:type="dxa"/>
            <w:vAlign w:val="bottom"/>
          </w:tcPr>
          <w:p>
            <w:pPr>
              <w:spacing w:after="0"/>
              <w:rPr>
                <w:sz w:val="1"/>
                <w:szCs w:val="1"/>
                <w:color w:val="auto"/>
              </w:rPr>
            </w:pPr>
          </w:p>
        </w:tc>
      </w:tr>
      <w:tr>
        <w:trPr>
          <w:trHeight w:val="69"/>
        </w:trPr>
        <w:tc>
          <w:tcPr>
            <w:tcW w:w="1520" w:type="dxa"/>
            <w:vAlign w:val="bottom"/>
          </w:tcPr>
          <w:p>
            <w:pPr>
              <w:spacing w:after="0"/>
              <w:rPr>
                <w:sz w:val="6"/>
                <w:szCs w:val="6"/>
                <w:color w:val="auto"/>
              </w:rPr>
            </w:pPr>
          </w:p>
        </w:tc>
        <w:tc>
          <w:tcPr>
            <w:tcW w:w="2800" w:type="dxa"/>
            <w:vAlign w:val="bottom"/>
            <w:vMerge w:val="restart"/>
          </w:tcPr>
          <w:p>
            <w:pPr>
              <w:jc w:val="center"/>
              <w:ind w:left="908"/>
              <w:spacing w:after="0"/>
              <w:rPr>
                <w:sz w:val="20"/>
                <w:szCs w:val="20"/>
                <w:color w:val="auto"/>
              </w:rPr>
            </w:pPr>
            <w:r>
              <w:rPr>
                <w:rFonts w:ascii="Arial" w:cs="Arial" w:eastAsia="Arial" w:hAnsi="Arial"/>
                <w:sz w:val="14"/>
                <w:szCs w:val="14"/>
                <w:b w:val="1"/>
                <w:bCs w:val="1"/>
                <w:color w:val="auto"/>
              </w:rPr>
              <w:t>Total Number of Shares</w:t>
            </w:r>
          </w:p>
        </w:tc>
        <w:tc>
          <w:tcPr>
            <w:tcW w:w="1460" w:type="dxa"/>
            <w:vAlign w:val="bottom"/>
            <w:vMerge w:val="continue"/>
          </w:tcPr>
          <w:p>
            <w:pPr>
              <w:spacing w:after="0"/>
              <w:rPr>
                <w:sz w:val="6"/>
                <w:szCs w:val="6"/>
                <w:color w:val="auto"/>
              </w:rPr>
            </w:pPr>
          </w:p>
        </w:tc>
        <w:tc>
          <w:tcPr>
            <w:tcW w:w="19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Publicly Announced Plan or</w:t>
            </w:r>
          </w:p>
        </w:tc>
        <w:tc>
          <w:tcPr>
            <w:tcW w:w="0" w:type="dxa"/>
            <w:vAlign w:val="bottom"/>
          </w:tcPr>
          <w:p>
            <w:pPr>
              <w:spacing w:after="0"/>
              <w:rPr>
                <w:sz w:val="1"/>
                <w:szCs w:val="1"/>
                <w:color w:val="auto"/>
              </w:rPr>
            </w:pPr>
          </w:p>
        </w:tc>
      </w:tr>
      <w:tr>
        <w:trPr>
          <w:trHeight w:val="135"/>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800" w:type="dxa"/>
            <w:vAlign w:val="bottom"/>
            <w:vMerge w:val="continue"/>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 Price Paid</w:t>
            </w: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20" w:type="dxa"/>
            <w:vAlign w:val="bottom"/>
            <w:vMerge w:val="continue"/>
          </w:tcPr>
          <w:p>
            <w:pPr>
              <w:spacing w:after="0"/>
              <w:rPr>
                <w:sz w:val="14"/>
                <w:szCs w:val="14"/>
                <w:color w:val="auto"/>
              </w:rPr>
            </w:pPr>
          </w:p>
        </w:tc>
        <w:tc>
          <w:tcPr>
            <w:tcW w:w="2800" w:type="dxa"/>
            <w:vAlign w:val="bottom"/>
          </w:tcPr>
          <w:p>
            <w:pPr>
              <w:jc w:val="center"/>
              <w:ind w:left="908"/>
              <w:spacing w:after="0"/>
              <w:rPr>
                <w:sz w:val="20"/>
                <w:szCs w:val="20"/>
                <w:color w:val="auto"/>
              </w:rPr>
            </w:pPr>
            <w:r>
              <w:rPr>
                <w:rFonts w:ascii="Arial" w:cs="Arial" w:eastAsia="Arial" w:hAnsi="Arial"/>
                <w:sz w:val="14"/>
                <w:szCs w:val="14"/>
                <w:b w:val="1"/>
                <w:bCs w:val="1"/>
                <w:color w:val="auto"/>
              </w:rPr>
              <w:t>Purchased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1980" w:type="dxa"/>
            <w:vAlign w:val="bottom"/>
          </w:tcPr>
          <w:p>
            <w:pPr>
              <w:jc w:val="center"/>
              <w:ind w:left="8"/>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bl>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br w:type="column"/>
      </w:r>
    </w:p>
    <w:p>
      <w:pPr>
        <w:spacing w:after="0" w:line="184"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4"/>
          <w:szCs w:val="14"/>
          <w:b w:val="1"/>
          <w:bCs w:val="1"/>
          <w:color w:val="auto"/>
        </w:rPr>
        <w:t>Maximum Number of Shares</w:t>
      </w:r>
    </w:p>
    <w:p>
      <w:pPr>
        <w:spacing w:after="0" w:line="21" w:lineRule="exact"/>
        <w:rPr>
          <w:rFonts w:ascii="Arial" w:cs="Arial" w:eastAsia="Arial" w:hAnsi="Arial"/>
          <w:sz w:val="14"/>
          <w:szCs w:val="14"/>
          <w:b w:val="1"/>
          <w:bCs w:val="1"/>
          <w:color w:val="auto"/>
        </w:rPr>
      </w:pPr>
    </w:p>
    <w:p>
      <w:pPr>
        <w:ind w:left="40"/>
        <w:spacing w:after="0"/>
        <w:rPr>
          <w:sz w:val="20"/>
          <w:szCs w:val="20"/>
          <w:color w:val="auto"/>
        </w:rPr>
      </w:pPr>
      <w:r>
        <w:rPr>
          <w:rFonts w:ascii="Arial" w:cs="Arial" w:eastAsia="Arial" w:hAnsi="Arial"/>
          <w:sz w:val="14"/>
          <w:szCs w:val="14"/>
          <w:b w:val="1"/>
          <w:bCs w:val="1"/>
          <w:color w:val="auto"/>
        </w:rPr>
        <w:t>That May Yet Be Purchased</w:t>
      </w:r>
    </w:p>
    <w:p>
      <w:pPr>
        <w:spacing w:after="0" w:line="1" w:lineRule="exact"/>
        <w:rPr>
          <w:rFonts w:ascii="Arial" w:cs="Arial" w:eastAsia="Arial" w:hAnsi="Arial"/>
          <w:sz w:val="14"/>
          <w:szCs w:val="14"/>
          <w:b w:val="1"/>
          <w:bCs w:val="1"/>
          <w:color w:val="auto"/>
        </w:rPr>
      </w:pPr>
    </w:p>
    <w:p>
      <w:pPr>
        <w:ind w:left="60"/>
        <w:spacing w:after="0"/>
        <w:rPr>
          <w:sz w:val="20"/>
          <w:szCs w:val="20"/>
          <w:color w:val="auto"/>
        </w:rPr>
      </w:pPr>
      <w:r>
        <w:rPr>
          <w:rFonts w:ascii="Arial" w:cs="Arial" w:eastAsia="Arial" w:hAnsi="Arial"/>
          <w:sz w:val="14"/>
          <w:szCs w:val="14"/>
          <w:b w:val="1"/>
          <w:bCs w:val="1"/>
          <w:color w:val="auto"/>
        </w:rPr>
        <w:t>Under the Plan or Program</w:t>
      </w:r>
    </w:p>
    <w:p>
      <w:pPr>
        <w:spacing w:after="0" w:line="24" w:lineRule="exact"/>
        <w:rPr>
          <w:rFonts w:ascii="Arial" w:cs="Arial" w:eastAsia="Arial" w:hAnsi="Arial"/>
          <w:sz w:val="14"/>
          <w:szCs w:val="14"/>
          <w:b w:val="1"/>
          <w:bCs w:val="1"/>
          <w:color w:val="auto"/>
        </w:rPr>
      </w:pPr>
    </w:p>
    <w:p>
      <w:pPr>
        <w:sectPr>
          <w:pgSz w:w="11900" w:h="16838" w:orient="portrait"/>
          <w:cols w:equalWidth="0" w:num="2">
            <w:col w:w="8440" w:space="160"/>
            <w:col w:w="2820"/>
          </w:cols>
          <w:pgMar w:left="240" w:top="925" w:right="239" w:bottom="1440" w:gutter="0" w:footer="0" w:header="0"/>
          <w:type w:val="continuous"/>
        </w:sectPr>
      </w:pPr>
    </w:p>
    <w:tbl>
      <w:tblPr>
        <w:tblLayout w:type="fixed"/>
        <w:tblInd w:w="660" w:type="dxa"/>
        <w:tblCellMar>
          <w:top w:w="0" w:type="dxa"/>
          <w:left w:w="0" w:type="dxa"/>
          <w:bottom w:w="0" w:type="dxa"/>
          <w:right w:w="0" w:type="dxa"/>
        </w:tblCellMar>
      </w:tblPr>
      <w:tr>
        <w:trPr>
          <w:trHeight w:val="25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2019</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75,001</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33,766,256</w:t>
            </w:r>
          </w:p>
        </w:tc>
      </w:tr>
      <w:tr>
        <w:trPr>
          <w:trHeight w:val="252"/>
        </w:trPr>
        <w:tc>
          <w:tcPr>
            <w:tcW w:w="2500" w:type="dxa"/>
            <w:vAlign w:val="bottom"/>
          </w:tcPr>
          <w:p>
            <w:pPr>
              <w:ind w:left="20"/>
              <w:spacing w:after="0"/>
              <w:rPr>
                <w:sz w:val="20"/>
                <w:szCs w:val="20"/>
                <w:color w:val="auto"/>
              </w:rPr>
            </w:pPr>
            <w:r>
              <w:rPr>
                <w:rFonts w:ascii="Arial" w:cs="Arial" w:eastAsia="Arial" w:hAnsi="Arial"/>
                <w:sz w:val="18"/>
                <w:szCs w:val="18"/>
                <w:color w:val="auto"/>
              </w:rPr>
              <w:t>February 2019</w:t>
            </w:r>
          </w:p>
        </w:tc>
        <w:tc>
          <w:tcPr>
            <w:tcW w:w="1860" w:type="dxa"/>
            <w:vAlign w:val="bottom"/>
          </w:tcPr>
          <w:p>
            <w:pPr>
              <w:jc w:val="right"/>
              <w:spacing w:after="0"/>
              <w:rPr>
                <w:sz w:val="20"/>
                <w:szCs w:val="20"/>
                <w:color w:val="auto"/>
              </w:rPr>
            </w:pPr>
            <w:r>
              <w:rPr>
                <w:rFonts w:ascii="Arial" w:cs="Arial" w:eastAsia="Arial" w:hAnsi="Arial"/>
                <w:sz w:val="18"/>
                <w:szCs w:val="18"/>
                <w:color w:val="auto"/>
              </w:rPr>
              <w:t>2,499,850</w:t>
            </w:r>
          </w:p>
        </w:tc>
        <w:tc>
          <w:tcPr>
            <w:tcW w:w="1440" w:type="dxa"/>
            <w:vAlign w:val="bottom"/>
          </w:tcPr>
          <w:p>
            <w:pPr>
              <w:jc w:val="right"/>
              <w:spacing w:after="0"/>
              <w:rPr>
                <w:sz w:val="20"/>
                <w:szCs w:val="20"/>
                <w:color w:val="auto"/>
              </w:rPr>
            </w:pPr>
            <w:r>
              <w:rPr>
                <w:rFonts w:ascii="Arial" w:cs="Arial" w:eastAsia="Arial" w:hAnsi="Arial"/>
                <w:sz w:val="18"/>
                <w:szCs w:val="18"/>
                <w:color w:val="auto"/>
              </w:rPr>
              <w:t>20.24</w:t>
            </w:r>
          </w:p>
        </w:tc>
        <w:tc>
          <w:tcPr>
            <w:tcW w:w="2060" w:type="dxa"/>
            <w:vAlign w:val="bottom"/>
          </w:tcPr>
          <w:p>
            <w:pPr>
              <w:jc w:val="right"/>
              <w:spacing w:after="0"/>
              <w:rPr>
                <w:sz w:val="20"/>
                <w:szCs w:val="20"/>
                <w:color w:val="auto"/>
              </w:rPr>
            </w:pPr>
            <w:r>
              <w:rPr>
                <w:rFonts w:ascii="Arial" w:cs="Arial" w:eastAsia="Arial" w:hAnsi="Arial"/>
                <w:sz w:val="18"/>
                <w:szCs w:val="18"/>
                <w:color w:val="auto"/>
              </w:rPr>
              <w:t>2,499,850</w:t>
            </w:r>
          </w:p>
        </w:tc>
        <w:tc>
          <w:tcPr>
            <w:tcW w:w="2080" w:type="dxa"/>
            <w:vAlign w:val="bottom"/>
          </w:tcPr>
          <w:p>
            <w:pPr>
              <w:jc w:val="right"/>
              <w:spacing w:after="0"/>
              <w:rPr>
                <w:sz w:val="20"/>
                <w:szCs w:val="20"/>
                <w:color w:val="auto"/>
              </w:rPr>
            </w:pPr>
            <w:r>
              <w:rPr>
                <w:rFonts w:ascii="Arial" w:cs="Arial" w:eastAsia="Arial" w:hAnsi="Arial"/>
                <w:sz w:val="18"/>
                <w:szCs w:val="18"/>
                <w:color w:val="auto"/>
              </w:rPr>
              <w:t>31,266,406</w:t>
            </w:r>
          </w:p>
        </w:tc>
      </w:tr>
      <w:tr>
        <w:trPr>
          <w:trHeight w:val="26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2019</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2,150,087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2,150,087</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29,116,319</w:t>
            </w:r>
          </w:p>
        </w:tc>
      </w:tr>
      <w:tr>
        <w:trPr>
          <w:trHeight w:val="245"/>
        </w:trPr>
        <w:tc>
          <w:tcPr>
            <w:tcW w:w="2500" w:type="dxa"/>
            <w:vAlign w:val="bottom"/>
          </w:tcPr>
          <w:p>
            <w:pPr>
              <w:ind w:left="20"/>
              <w:spacing w:after="0"/>
              <w:rPr>
                <w:sz w:val="20"/>
                <w:szCs w:val="20"/>
                <w:color w:val="auto"/>
              </w:rPr>
            </w:pPr>
            <w:r>
              <w:rPr>
                <w:rFonts w:ascii="Arial" w:cs="Arial" w:eastAsia="Arial" w:hAnsi="Arial"/>
                <w:sz w:val="18"/>
                <w:szCs w:val="18"/>
                <w:color w:val="auto"/>
              </w:rPr>
              <w:t>1st Quarter 2019 Total</w:t>
            </w:r>
          </w:p>
        </w:tc>
        <w:tc>
          <w:tcPr>
            <w:tcW w:w="1860" w:type="dxa"/>
            <w:vAlign w:val="bottom"/>
          </w:tcPr>
          <w:p>
            <w:pPr>
              <w:jc w:val="right"/>
              <w:spacing w:after="0"/>
              <w:rPr>
                <w:sz w:val="20"/>
                <w:szCs w:val="20"/>
                <w:color w:val="auto"/>
              </w:rPr>
            </w:pPr>
            <w:r>
              <w:rPr>
                <w:rFonts w:ascii="Arial" w:cs="Arial" w:eastAsia="Arial" w:hAnsi="Arial"/>
                <w:sz w:val="18"/>
                <w:szCs w:val="18"/>
                <w:color w:val="auto"/>
              </w:rPr>
              <w:t>4,724,938</w:t>
            </w:r>
          </w:p>
        </w:tc>
        <w:tc>
          <w:tcPr>
            <w:tcW w:w="1440" w:type="dxa"/>
            <w:vAlign w:val="bottom"/>
          </w:tcPr>
          <w:p>
            <w:pPr>
              <w:jc w:val="right"/>
              <w:spacing w:after="0"/>
              <w:rPr>
                <w:sz w:val="20"/>
                <w:szCs w:val="20"/>
                <w:color w:val="auto"/>
              </w:rPr>
            </w:pPr>
            <w:r>
              <w:rPr>
                <w:rFonts w:ascii="Arial" w:cs="Arial" w:eastAsia="Arial" w:hAnsi="Arial"/>
                <w:sz w:val="18"/>
                <w:szCs w:val="18"/>
                <w:color w:val="auto"/>
              </w:rPr>
              <w:t>20.37</w:t>
            </w:r>
          </w:p>
        </w:tc>
        <w:tc>
          <w:tcPr>
            <w:tcW w:w="2060" w:type="dxa"/>
            <w:vAlign w:val="bottom"/>
          </w:tcPr>
          <w:p>
            <w:pPr>
              <w:jc w:val="right"/>
              <w:spacing w:after="0"/>
              <w:rPr>
                <w:sz w:val="20"/>
                <w:szCs w:val="20"/>
                <w:color w:val="auto"/>
              </w:rPr>
            </w:pPr>
            <w:r>
              <w:rPr>
                <w:rFonts w:ascii="Arial" w:cs="Arial" w:eastAsia="Arial" w:hAnsi="Arial"/>
                <w:sz w:val="18"/>
                <w:szCs w:val="18"/>
                <w:color w:val="auto"/>
              </w:rPr>
              <w:t>4,724,938</w:t>
            </w:r>
          </w:p>
        </w:tc>
        <w:tc>
          <w:tcPr>
            <w:tcW w:w="2080" w:type="dxa"/>
            <w:vAlign w:val="bottom"/>
          </w:tcPr>
          <w:p>
            <w:pPr>
              <w:spacing w:after="0"/>
              <w:rPr>
                <w:sz w:val="21"/>
                <w:szCs w:val="21"/>
                <w:color w:val="auto"/>
              </w:rPr>
            </w:pPr>
          </w:p>
        </w:tc>
      </w:tr>
      <w:tr>
        <w:trPr>
          <w:trHeight w:val="221"/>
        </w:trPr>
        <w:tc>
          <w:tcPr>
            <w:tcW w:w="2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52"/>
        </w:trPr>
        <w:tc>
          <w:tcPr>
            <w:tcW w:w="2500" w:type="dxa"/>
            <w:vAlign w:val="bottom"/>
          </w:tcPr>
          <w:p>
            <w:pPr>
              <w:ind w:left="20"/>
              <w:spacing w:after="0"/>
              <w:rPr>
                <w:sz w:val="20"/>
                <w:szCs w:val="20"/>
                <w:color w:val="auto"/>
              </w:rPr>
            </w:pPr>
            <w:r>
              <w:rPr>
                <w:rFonts w:ascii="Arial" w:cs="Arial" w:eastAsia="Arial" w:hAnsi="Arial"/>
                <w:sz w:val="18"/>
                <w:szCs w:val="18"/>
                <w:color w:val="auto"/>
              </w:rPr>
              <w:t>April 2019</w:t>
            </w:r>
          </w:p>
        </w:tc>
        <w:tc>
          <w:tcPr>
            <w:tcW w:w="1860" w:type="dxa"/>
            <w:vAlign w:val="bottom"/>
          </w:tcPr>
          <w:p>
            <w:pPr>
              <w:jc w:val="right"/>
              <w:spacing w:after="0"/>
              <w:rPr>
                <w:sz w:val="20"/>
                <w:szCs w:val="20"/>
                <w:color w:val="auto"/>
              </w:rPr>
            </w:pPr>
            <w:r>
              <w:rPr>
                <w:rFonts w:ascii="Arial" w:cs="Arial" w:eastAsia="Arial" w:hAnsi="Arial"/>
                <w:sz w:val="18"/>
                <w:szCs w:val="18"/>
                <w:color w:val="auto"/>
              </w:rPr>
              <w:t>240,037</w:t>
            </w:r>
          </w:p>
        </w:tc>
        <w:tc>
          <w:tcPr>
            <w:tcW w:w="1440" w:type="dxa"/>
            <w:vAlign w:val="bottom"/>
          </w:tcPr>
          <w:p>
            <w:pPr>
              <w:jc w:val="right"/>
              <w:spacing w:after="0"/>
              <w:rPr>
                <w:sz w:val="20"/>
                <w:szCs w:val="20"/>
                <w:color w:val="auto"/>
              </w:rPr>
            </w:pPr>
            <w:r>
              <w:rPr>
                <w:rFonts w:ascii="Arial" w:cs="Arial" w:eastAsia="Arial" w:hAnsi="Arial"/>
                <w:sz w:val="18"/>
                <w:szCs w:val="18"/>
                <w:color w:val="auto"/>
              </w:rPr>
              <w:t>23.07</w:t>
            </w:r>
          </w:p>
        </w:tc>
        <w:tc>
          <w:tcPr>
            <w:tcW w:w="2060" w:type="dxa"/>
            <w:vAlign w:val="bottom"/>
          </w:tcPr>
          <w:p>
            <w:pPr>
              <w:jc w:val="right"/>
              <w:spacing w:after="0"/>
              <w:rPr>
                <w:sz w:val="20"/>
                <w:szCs w:val="20"/>
                <w:color w:val="auto"/>
              </w:rPr>
            </w:pPr>
            <w:r>
              <w:rPr>
                <w:rFonts w:ascii="Arial" w:cs="Arial" w:eastAsia="Arial" w:hAnsi="Arial"/>
                <w:sz w:val="18"/>
                <w:szCs w:val="18"/>
                <w:color w:val="auto"/>
              </w:rPr>
              <w:t>240,037</w:t>
            </w:r>
          </w:p>
        </w:tc>
        <w:tc>
          <w:tcPr>
            <w:tcW w:w="2080" w:type="dxa"/>
            <w:vAlign w:val="bottom"/>
          </w:tcPr>
          <w:p>
            <w:pPr>
              <w:jc w:val="right"/>
              <w:spacing w:after="0"/>
              <w:rPr>
                <w:sz w:val="20"/>
                <w:szCs w:val="20"/>
                <w:color w:val="auto"/>
              </w:rPr>
            </w:pPr>
            <w:r>
              <w:rPr>
                <w:rFonts w:ascii="Arial" w:cs="Arial" w:eastAsia="Arial" w:hAnsi="Arial"/>
                <w:sz w:val="18"/>
                <w:szCs w:val="18"/>
                <w:color w:val="auto"/>
              </w:rPr>
              <w:t>28,876,282</w:t>
            </w:r>
          </w:p>
        </w:tc>
      </w:tr>
      <w:tr>
        <w:trPr>
          <w:trHeight w:val="26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2019</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1,858,307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1,858,307</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27,017,975</w:t>
            </w:r>
          </w:p>
        </w:tc>
      </w:tr>
      <w:tr>
        <w:trPr>
          <w:trHeight w:val="252"/>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June 2019</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976,365</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23.64</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976,365</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26,041,610</w:t>
            </w:r>
          </w:p>
        </w:tc>
      </w:tr>
      <w:tr>
        <w:trPr>
          <w:trHeight w:val="25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2nd Quarter 2019 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3,074,709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3,074,709</w:t>
            </w:r>
          </w:p>
        </w:tc>
        <w:tc>
          <w:tcPr>
            <w:tcW w:w="2080" w:type="dxa"/>
            <w:vAlign w:val="bottom"/>
            <w:shd w:val="clear" w:color="auto" w:fill="CCEEFF"/>
          </w:tcPr>
          <w:p>
            <w:pPr>
              <w:spacing w:after="0"/>
              <w:rPr>
                <w:sz w:val="21"/>
                <w:szCs w:val="21"/>
                <w:color w:val="auto"/>
              </w:rPr>
            </w:pPr>
          </w:p>
        </w:tc>
      </w:tr>
      <w:tr>
        <w:trPr>
          <w:trHeight w:val="255"/>
        </w:trPr>
        <w:tc>
          <w:tcPr>
            <w:tcW w:w="2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82"/>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7,799,647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7,799,647</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26,041,610</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r>
    </w:tbl>
    <w:p>
      <w:pPr>
        <w:spacing w:after="0" w:line="328" w:lineRule="exact"/>
        <w:rPr>
          <w:rFonts w:ascii="Arial" w:cs="Arial" w:eastAsia="Arial" w:hAnsi="Arial"/>
          <w:sz w:val="14"/>
          <w:szCs w:val="14"/>
          <w:b w:val="1"/>
          <w:bCs w:val="1"/>
          <w:color w:val="auto"/>
        </w:rPr>
      </w:pPr>
    </w:p>
    <w:p>
      <w:pPr>
        <w:ind w:left="660" w:right="200"/>
        <w:spacing w:after="0" w:line="292" w:lineRule="auto"/>
        <w:rPr>
          <w:sz w:val="20"/>
          <w:szCs w:val="20"/>
          <w:color w:val="auto"/>
        </w:rPr>
      </w:pPr>
      <w:r>
        <w:rPr>
          <w:rFonts w:ascii="Arial" w:cs="Arial" w:eastAsia="Arial" w:hAnsi="Arial"/>
          <w:sz w:val="18"/>
          <w:szCs w:val="18"/>
          <w:color w:val="auto"/>
        </w:rPr>
        <w:t>As of June 30, 2019 the Company has repurchased 120,958,118 shares at a total cost of $1,708,254,292 under its share repurchase plan or otherwise previously disclosed.</w:t>
      </w: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56"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95" w:lineRule="exact"/>
        <w:rPr>
          <w:rFonts w:ascii="Arial" w:cs="Arial" w:eastAsia="Arial" w:hAnsi="Arial"/>
          <w:sz w:val="14"/>
          <w:szCs w:val="14"/>
          <w:b w:val="1"/>
          <w:bCs w:val="1"/>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See Exhibit Index on Page </w:t>
      </w:r>
      <w:hyperlink w:anchor="page35">
        <w:r>
          <w:rPr>
            <w:rFonts w:ascii="Arial" w:cs="Arial" w:eastAsia="Arial" w:hAnsi="Arial"/>
            <w:sz w:val="18"/>
            <w:szCs w:val="18"/>
            <w:u w:val="single" w:color="auto"/>
            <w:color w:val="0000FF"/>
          </w:rPr>
          <w:t>36</w:t>
        </w:r>
      </w:hyperlink>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354" w:lineRule="exact"/>
        <w:rPr>
          <w:rFonts w:ascii="Arial" w:cs="Arial" w:eastAsia="Arial" w:hAnsi="Arial"/>
          <w:sz w:val="14"/>
          <w:szCs w:val="14"/>
          <w:b w:val="1"/>
          <w:bCs w:val="1"/>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25"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9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Date:</w:t>
        <w:tab/>
        <w:t>August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Date:</w:t>
        <w:tab/>
        <w:t>August 2, 2019</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4313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on behalf of Gentex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Kevin C.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4313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pacing w:after="0" w:line="23" w:lineRule="exact"/>
        <w:rPr>
          <w:sz w:val="20"/>
          <w:szCs w:val="20"/>
          <w:color w:val="auto"/>
        </w:rPr>
      </w:pPr>
    </w:p>
    <w:p>
      <w:pPr>
        <w:ind w:right="1480"/>
        <w:spacing w:after="0" w:line="234"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00" w:lineRule="exact"/>
        <w:rPr>
          <w:sz w:val="20"/>
          <w:szCs w:val="20"/>
          <w:color w:val="auto"/>
        </w:rPr>
      </w:pPr>
    </w:p>
    <w:p>
      <w:pPr>
        <w:sectPr>
          <w:pgSz w:w="11900" w:h="16838" w:orient="portrait"/>
          <w:cols w:equalWidth="0" w:num="2">
            <w:col w:w="2840" w:space="720"/>
            <w:col w:w="7860"/>
          </w:cols>
          <w:pgMar w:left="240" w:top="9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925"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20" w:type="dxa"/>
            <w:vAlign w:val="bottom"/>
            <w:gridSpan w:val="3"/>
          </w:tcPr>
          <w:p>
            <w:pPr>
              <w:ind w:left="2300"/>
              <w:spacing w:after="0"/>
              <w:rPr>
                <w:sz w:val="20"/>
                <w:szCs w:val="20"/>
                <w:color w:val="auto"/>
              </w:rPr>
            </w:pPr>
            <w:r>
              <w:rPr>
                <w:rFonts w:ascii="Arial" w:cs="Arial" w:eastAsia="Arial" w:hAnsi="Arial"/>
                <w:sz w:val="18"/>
                <w:szCs w:val="18"/>
                <w:b w:val="1"/>
                <w:bCs w:val="1"/>
                <w:color w:val="auto"/>
              </w:rPr>
              <w:t>EXHIBIT INDEX</w:t>
            </w:r>
          </w:p>
        </w:tc>
      </w:tr>
      <w:tr>
        <w:trPr>
          <w:trHeight w:val="384"/>
        </w:trPr>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3"/>
          </w:tcPr>
          <w:p>
            <w:pPr>
              <w:ind w:left="3200"/>
              <w:spacing w:after="0"/>
              <w:rPr>
                <w:sz w:val="20"/>
                <w:szCs w:val="20"/>
                <w:color w:val="auto"/>
              </w:rPr>
            </w:pPr>
            <w:r>
              <w:rPr>
                <w:rFonts w:ascii="Arial" w:cs="Arial" w:eastAsia="Arial" w:hAnsi="Arial"/>
                <w:sz w:val="14"/>
                <w:szCs w:val="14"/>
                <w:b w:val="1"/>
                <w:bCs w:val="1"/>
                <w:color w:val="auto"/>
              </w:rPr>
              <w:t>Description</w:t>
            </w:r>
          </w:p>
        </w:tc>
      </w:tr>
      <w:tr>
        <w:trPr>
          <w:trHeight w:val="198"/>
        </w:trPr>
        <w:tc>
          <w:tcPr>
            <w:tcW w:w="1340" w:type="dxa"/>
            <w:vAlign w:val="bottom"/>
          </w:tcPr>
          <w:p>
            <w:pPr>
              <w:ind w:left="20"/>
              <w:spacing w:after="0" w:line="199" w:lineRule="exact"/>
              <w:rPr>
                <w:sz w:val="20"/>
                <w:szCs w:val="20"/>
                <w:color w:val="auto"/>
              </w:rPr>
            </w:pPr>
            <w:r>
              <w:rPr>
                <w:rFonts w:ascii="Arial" w:cs="Arial" w:eastAsia="Arial" w:hAnsi="Arial"/>
                <w:sz w:val="18"/>
                <w:szCs w:val="18"/>
                <w:color w:val="auto"/>
              </w:rPr>
              <w:t>31.1</w:t>
            </w:r>
          </w:p>
        </w:tc>
        <w:tc>
          <w:tcPr>
            <w:tcW w:w="10040" w:type="dxa"/>
            <w:vAlign w:val="bottom"/>
            <w:gridSpan w:val="5"/>
          </w:tcPr>
          <w:p>
            <w:pPr>
              <w:spacing w:after="0" w:line="199" w:lineRule="exact"/>
              <w:rPr>
                <w:rFonts w:ascii="Arial" w:cs="Arial" w:eastAsia="Arial" w:hAnsi="Arial"/>
                <w:sz w:val="18"/>
                <w:szCs w:val="18"/>
                <w:color w:val="0000FF"/>
              </w:rPr>
            </w:pPr>
            <w:hyperlink w:anchor="page37">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56"/>
        </w:trPr>
        <w:tc>
          <w:tcPr>
            <w:tcW w:w="1340" w:type="dxa"/>
            <w:vAlign w:val="bottom"/>
          </w:tcPr>
          <w:p>
            <w:pPr>
              <w:spacing w:after="0"/>
              <w:rPr>
                <w:sz w:val="13"/>
                <w:szCs w:val="13"/>
                <w:color w:val="auto"/>
              </w:rPr>
            </w:pPr>
          </w:p>
        </w:tc>
        <w:tc>
          <w:tcPr>
            <w:tcW w:w="978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37">
              <w:r>
                <w:rPr>
                  <w:rFonts w:ascii="Arial" w:cs="Arial" w:eastAsia="Arial" w:hAnsi="Arial"/>
                  <w:sz w:val="18"/>
                  <w:szCs w:val="18"/>
                  <w:color w:val="0000FF"/>
                </w:rPr>
                <w:t>(18 U.S.C. 1350).</w:t>
              </w:r>
            </w:hyperlink>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34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40" w:type="dxa"/>
            <w:vAlign w:val="bottom"/>
            <w:gridSpan w:val="5"/>
            <w:shd w:val="clear" w:color="auto" w:fill="CCEEFF"/>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Certificate of the Chief Financial Officer of Gentex Corporation pursuant to Section 302 of the Sarbanes-Oxley Act of 2002 (18</w:t>
              </w:r>
            </w:hyperlink>
          </w:p>
        </w:tc>
      </w:tr>
      <w:tr>
        <w:trPr>
          <w:trHeight w:val="156"/>
        </w:trPr>
        <w:tc>
          <w:tcPr>
            <w:tcW w:w="134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U.S.C. 1350).</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left="1340" w:right="440" w:hanging="1314"/>
        <w:spacing w:after="0" w:line="234" w:lineRule="auto"/>
        <w:tabs>
          <w:tab w:leader="none" w:pos="1340" w:val="left"/>
        </w:tabs>
        <w:numPr>
          <w:ilvl w:val="0"/>
          <w:numId w:val="5"/>
        </w:numPr>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Sarbanes-Oxley Act of 2002 (18 U.S.C. 1350).</w:t>
        </w:r>
      </w:hyperlink>
    </w:p>
    <w:p>
      <w:pPr>
        <w:spacing w:after="0" w:line="1"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52"/>
        </w:trPr>
        <w:tc>
          <w:tcPr>
            <w:tcW w:w="1060" w:type="dxa"/>
            <w:vAlign w:val="bottom"/>
            <w:shd w:val="clear" w:color="auto" w:fill="CCEEFF"/>
          </w:tcPr>
          <w:p>
            <w:pPr>
              <w:spacing w:after="0"/>
              <w:rPr>
                <w:sz w:val="21"/>
                <w:szCs w:val="21"/>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are embedded within the Inline XBRL document</w:t>
            </w:r>
          </w:p>
        </w:tc>
      </w:tr>
      <w:tr>
        <w:trPr>
          <w:trHeight w:val="252"/>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10320" w:type="dxa"/>
            <w:vAlign w:val="bottom"/>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6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52"/>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10320" w:type="dxa"/>
            <w:vAlign w:val="bottom"/>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6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47"/>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1032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2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71" w:lineRule="auto"/>
        <w:tabs>
          <w:tab w:leader="none" w:pos="233"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0" w:lineRule="exact"/>
        <w:rPr>
          <w:rFonts w:ascii="Arial" w:cs="Arial" w:eastAsia="Arial" w:hAnsi="Arial"/>
          <w:sz w:val="18"/>
          <w:szCs w:val="18"/>
          <w:color w:val="auto"/>
        </w:rPr>
      </w:pPr>
    </w:p>
    <w:p>
      <w:pPr>
        <w:jc w:val="both"/>
        <w:ind w:left="240" w:hanging="232"/>
        <w:spacing w:after="0" w:line="271" w:lineRule="auto"/>
        <w:tabs>
          <w:tab w:leader="none" w:pos="233"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0" w:lineRule="exact"/>
        <w:rPr>
          <w:rFonts w:ascii="Arial" w:cs="Arial" w:eastAsia="Arial" w:hAnsi="Arial"/>
          <w:sz w:val="18"/>
          <w:szCs w:val="18"/>
          <w:color w:val="auto"/>
        </w:rPr>
      </w:pPr>
    </w:p>
    <w:p>
      <w:pPr>
        <w:jc w:val="both"/>
        <w:ind w:left="240" w:hanging="232"/>
        <w:spacing w:after="0" w:line="271" w:lineRule="auto"/>
        <w:tabs>
          <w:tab w:leader="none" w:pos="20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6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29"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77"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240" w:hanging="232"/>
        <w:spacing w:after="0" w:line="292" w:lineRule="auto"/>
        <w:tabs>
          <w:tab w:leader="none" w:pos="20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8"/>
          <w:szCs w:val="18"/>
          <w:color w:val="auto"/>
        </w:rPr>
      </w:pPr>
    </w:p>
    <w:p>
      <w:pPr>
        <w:ind w:left="660" w:hanging="238"/>
        <w:spacing w:after="0" w:line="292"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8"/>
          <w:szCs w:val="18"/>
          <w:color w:val="auto"/>
        </w:rPr>
      </w:pPr>
    </w:p>
    <w:p>
      <w:pPr>
        <w:ind w:left="660" w:hanging="238"/>
        <w:spacing w:after="0" w:line="292" w:lineRule="auto"/>
        <w:tabs>
          <w:tab w:leader="none" w:pos="636"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2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71" w:lineRule="auto"/>
        <w:tabs>
          <w:tab w:leader="none" w:pos="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0" w:lineRule="exact"/>
        <w:rPr>
          <w:rFonts w:ascii="Arial" w:cs="Arial" w:eastAsia="Arial" w:hAnsi="Arial"/>
          <w:sz w:val="18"/>
          <w:szCs w:val="18"/>
          <w:color w:val="auto"/>
        </w:rPr>
      </w:pPr>
    </w:p>
    <w:p>
      <w:pPr>
        <w:jc w:val="both"/>
        <w:ind w:left="240" w:hanging="232"/>
        <w:spacing w:after="0" w:line="271" w:lineRule="auto"/>
        <w:tabs>
          <w:tab w:leader="none" w:pos="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0" w:lineRule="exact"/>
        <w:rPr>
          <w:rFonts w:ascii="Arial" w:cs="Arial" w:eastAsia="Arial" w:hAnsi="Arial"/>
          <w:sz w:val="18"/>
          <w:szCs w:val="18"/>
          <w:color w:val="auto"/>
        </w:rPr>
      </w:pPr>
    </w:p>
    <w:p>
      <w:pPr>
        <w:jc w:val="both"/>
        <w:ind w:left="240" w:hanging="232"/>
        <w:spacing w:after="0" w:line="271" w:lineRule="auto"/>
        <w:tabs>
          <w:tab w:leader="none" w:pos="20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6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29"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77"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240" w:hanging="232"/>
        <w:spacing w:after="0" w:line="292" w:lineRule="auto"/>
        <w:tabs>
          <w:tab w:leader="none" w:pos="20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8"/>
          <w:szCs w:val="18"/>
          <w:color w:val="auto"/>
        </w:rPr>
      </w:pPr>
    </w:p>
    <w:p>
      <w:pPr>
        <w:ind w:left="660" w:hanging="238"/>
        <w:spacing w:after="0" w:line="292"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8"/>
          <w:szCs w:val="18"/>
          <w:color w:val="auto"/>
        </w:rPr>
      </w:pPr>
    </w:p>
    <w:p>
      <w:pPr>
        <w:ind w:left="660" w:hanging="238"/>
        <w:spacing w:after="0" w:line="292" w:lineRule="auto"/>
        <w:tabs>
          <w:tab w:leader="none" w:pos="636"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420"/>
          </w:cols>
          <w:pgMar w:left="240" w:top="925"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72" w:lineRule="exact"/>
        <w:rPr>
          <w:sz w:val="20"/>
          <w:szCs w:val="20"/>
          <w:color w:val="auto"/>
        </w:rPr>
      </w:pPr>
    </w:p>
    <w:p>
      <w:pPr>
        <w:ind w:left="240" w:hanging="232"/>
        <w:spacing w:after="0" w:line="292"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30, 2019, which this statement accompanies,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40" w:hanging="232"/>
        <w:spacing w:after="0" w:line="292" w:lineRule="auto"/>
        <w:tabs>
          <w:tab w:leader="none" w:pos="28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June 30, 2019,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420"/>
      </w:cols>
      <w:pgMar w:left="240" w:top="9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32"/>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2019-12-28T09:04:52Z</dcterms:created>
  <dcterms:modified xsi:type="dcterms:W3CDTF">2019-12-28T09:04:52Z</dcterms:modified>
</cp:coreProperties>
</file>