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XBRL</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6"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March 31, 2020 or</w:t>
      </w:r>
    </w:p>
    <w:p>
      <w:pPr>
        <w:spacing w:after="0" w:line="282"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6"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432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40" w:type="dxa"/>
            <w:vAlign w:val="bottom"/>
            <w:gridSpan w:val="2"/>
            <w:vMerge w:val="restart"/>
          </w:tcPr>
          <w:p>
            <w:pPr>
              <w:jc w:val="center"/>
              <w:ind w:right="426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54"/>
        </w:trPr>
        <w:tc>
          <w:tcPr>
            <w:tcW w:w="2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9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1900" w:type="dxa"/>
            <w:vAlign w:val="bottom"/>
            <w:gridSpan w:val="5"/>
          </w:tcPr>
          <w:p>
            <w:pPr>
              <w:jc w:val="center"/>
              <w:ind w:right="1048"/>
              <w:spacing w:after="0"/>
              <w:rPr>
                <w:sz w:val="20"/>
                <w:szCs w:val="20"/>
                <w:color w:val="auto"/>
              </w:rPr>
            </w:pPr>
            <w:r>
              <w:rPr>
                <w:rFonts w:ascii="Arial" w:cs="Arial" w:eastAsia="Arial" w:hAnsi="Arial"/>
                <w:sz w:val="18"/>
                <w:szCs w:val="18"/>
                <w:b w:val="1"/>
                <w:bCs w:val="1"/>
                <w:color w:val="auto"/>
                <w:w w:val="99"/>
              </w:rPr>
              <w:t>Michigan</w:t>
            </w:r>
          </w:p>
        </w:tc>
        <w:tc>
          <w:tcPr>
            <w:tcW w:w="2180" w:type="dxa"/>
            <w:vAlign w:val="bottom"/>
          </w:tcPr>
          <w:p>
            <w:pPr>
              <w:spacing w:after="0"/>
              <w:rPr>
                <w:sz w:val="21"/>
                <w:szCs w:val="21"/>
                <w:color w:val="auto"/>
              </w:rPr>
            </w:pPr>
          </w:p>
        </w:tc>
        <w:tc>
          <w:tcPr>
            <w:tcW w:w="476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53"/>
        </w:trPr>
        <w:tc>
          <w:tcPr>
            <w:tcW w:w="4320" w:type="dxa"/>
            <w:vAlign w:val="bottom"/>
            <w:gridSpan w:val="6"/>
          </w:tcPr>
          <w:p>
            <w:pPr>
              <w:jc w:val="center"/>
              <w:ind w:left="1205"/>
              <w:spacing w:after="0" w:line="153" w:lineRule="exact"/>
              <w:rPr>
                <w:sz w:val="20"/>
                <w:szCs w:val="20"/>
                <w:color w:val="auto"/>
              </w:rPr>
            </w:pPr>
            <w:r>
              <w:rPr>
                <w:rFonts w:ascii="Arial" w:cs="Arial" w:eastAsia="Arial" w:hAnsi="Arial"/>
                <w:sz w:val="14"/>
                <w:szCs w:val="14"/>
                <w:color w:val="auto"/>
              </w:rPr>
              <w:t>(State or other jurisdiction of</w:t>
            </w:r>
          </w:p>
        </w:tc>
        <w:tc>
          <w:tcPr>
            <w:tcW w:w="2180" w:type="dxa"/>
            <w:vAlign w:val="bottom"/>
          </w:tcPr>
          <w:p>
            <w:pPr>
              <w:spacing w:after="0"/>
              <w:rPr>
                <w:sz w:val="13"/>
                <w:szCs w:val="13"/>
                <w:color w:val="auto"/>
              </w:rPr>
            </w:pPr>
          </w:p>
        </w:tc>
        <w:tc>
          <w:tcPr>
            <w:tcW w:w="4760" w:type="dxa"/>
            <w:vAlign w:val="bottom"/>
          </w:tcPr>
          <w:p>
            <w:pPr>
              <w:jc w:val="center"/>
              <w:ind w:right="783"/>
              <w:spacing w:after="0" w:line="153"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4320" w:type="dxa"/>
            <w:vAlign w:val="bottom"/>
            <w:gridSpan w:val="6"/>
          </w:tcPr>
          <w:p>
            <w:pPr>
              <w:jc w:val="center"/>
              <w:ind w:left="1205"/>
              <w:spacing w:after="0"/>
              <w:rPr>
                <w:sz w:val="20"/>
                <w:szCs w:val="20"/>
                <w:color w:val="auto"/>
              </w:rPr>
            </w:pPr>
            <w:r>
              <w:rPr>
                <w:rFonts w:ascii="Arial" w:cs="Arial" w:eastAsia="Arial" w:hAnsi="Arial"/>
                <w:sz w:val="14"/>
                <w:szCs w:val="14"/>
                <w:color w:val="auto"/>
              </w:rPr>
              <w:t>incorporation or organization)</w:t>
            </w:r>
          </w:p>
        </w:tc>
        <w:tc>
          <w:tcPr>
            <w:tcW w:w="2180" w:type="dxa"/>
            <w:vAlign w:val="bottom"/>
          </w:tcPr>
          <w:p>
            <w:pPr>
              <w:spacing w:after="0"/>
              <w:rPr>
                <w:sz w:val="14"/>
                <w:szCs w:val="14"/>
                <w:color w:val="auto"/>
              </w:rPr>
            </w:pPr>
          </w:p>
        </w:tc>
        <w:tc>
          <w:tcPr>
            <w:tcW w:w="4760" w:type="dxa"/>
            <w:vAlign w:val="bottom"/>
          </w:tcPr>
          <w:p>
            <w:pPr>
              <w:jc w:val="center"/>
              <w:ind w:right="80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76"/>
        </w:trPr>
        <w:tc>
          <w:tcPr>
            <w:tcW w:w="4320" w:type="dxa"/>
            <w:vAlign w:val="bottom"/>
            <w:gridSpan w:val="6"/>
          </w:tcPr>
          <w:p>
            <w:pPr>
              <w:jc w:val="center"/>
              <w:ind w:left="1205"/>
              <w:spacing w:after="0"/>
              <w:rPr>
                <w:sz w:val="20"/>
                <w:szCs w:val="20"/>
                <w:color w:val="auto"/>
              </w:rPr>
            </w:pPr>
            <w:r>
              <w:rPr>
                <w:rFonts w:ascii="Arial" w:cs="Arial" w:eastAsia="Arial" w:hAnsi="Arial"/>
                <w:sz w:val="16"/>
                <w:szCs w:val="16"/>
                <w:b w:val="1"/>
                <w:bCs w:val="1"/>
                <w:color w:val="auto"/>
              </w:rPr>
              <w:t>600 N. Centennial</w:t>
            </w:r>
          </w:p>
        </w:tc>
        <w:tc>
          <w:tcPr>
            <w:tcW w:w="2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60" w:type="dxa"/>
            <w:vAlign w:val="bottom"/>
            <w:gridSpan w:val="4"/>
          </w:tcPr>
          <w:p>
            <w:pPr>
              <w:jc w:val="center"/>
              <w:ind w:right="1108"/>
              <w:spacing w:after="0"/>
              <w:rPr>
                <w:sz w:val="20"/>
                <w:szCs w:val="20"/>
                <w:color w:val="auto"/>
              </w:rPr>
            </w:pPr>
            <w:r>
              <w:rPr>
                <w:rFonts w:ascii="Arial" w:cs="Arial" w:eastAsia="Arial" w:hAnsi="Arial"/>
                <w:sz w:val="16"/>
                <w:szCs w:val="16"/>
                <w:b w:val="1"/>
                <w:bCs w:val="1"/>
                <w:color w:val="auto"/>
                <w:w w:val="99"/>
              </w:rPr>
              <w:t>Zeeland</w:t>
            </w:r>
          </w:p>
        </w:tc>
        <w:tc>
          <w:tcPr>
            <w:tcW w:w="218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20" w:type="dxa"/>
            <w:vAlign w:val="bottom"/>
          </w:tcPr>
          <w:p>
            <w:pPr>
              <w:spacing w:after="0"/>
              <w:rPr>
                <w:sz w:val="22"/>
                <w:szCs w:val="22"/>
                <w:color w:val="auto"/>
              </w:rPr>
            </w:pPr>
          </w:p>
        </w:tc>
        <w:tc>
          <w:tcPr>
            <w:tcW w:w="190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180" w:type="dxa"/>
            <w:vAlign w:val="bottom"/>
          </w:tcPr>
          <w:p>
            <w:pPr>
              <w:spacing w:after="0"/>
              <w:rPr>
                <w:sz w:val="22"/>
                <w:szCs w:val="22"/>
                <w:color w:val="auto"/>
              </w:rPr>
            </w:pPr>
          </w:p>
        </w:tc>
        <w:tc>
          <w:tcPr>
            <w:tcW w:w="4760" w:type="dxa"/>
            <w:vAlign w:val="bottom"/>
          </w:tcPr>
          <w:p>
            <w:pPr>
              <w:jc w:val="right"/>
              <w:ind w:right="248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04"/>
        </w:trPr>
        <w:tc>
          <w:tcPr>
            <w:tcW w:w="4320" w:type="dxa"/>
            <w:vAlign w:val="bottom"/>
            <w:gridSpan w:val="6"/>
          </w:tcPr>
          <w:p>
            <w:pPr>
              <w:jc w:val="center"/>
              <w:ind w:left="1225"/>
              <w:spacing w:after="0"/>
              <w:rPr>
                <w:sz w:val="20"/>
                <w:szCs w:val="20"/>
                <w:color w:val="auto"/>
              </w:rPr>
            </w:pPr>
            <w:r>
              <w:rPr>
                <w:rFonts w:ascii="Arial" w:cs="Arial" w:eastAsia="Arial" w:hAnsi="Arial"/>
                <w:sz w:val="14"/>
                <w:szCs w:val="14"/>
                <w:color w:val="auto"/>
              </w:rPr>
              <w:t>(Address of principal executive offices)</w:t>
            </w:r>
          </w:p>
        </w:tc>
        <w:tc>
          <w:tcPr>
            <w:tcW w:w="2180" w:type="dxa"/>
            <w:vAlign w:val="bottom"/>
          </w:tcPr>
          <w:p>
            <w:pPr>
              <w:spacing w:after="0"/>
              <w:rPr>
                <w:sz w:val="17"/>
                <w:szCs w:val="17"/>
                <w:color w:val="auto"/>
              </w:rPr>
            </w:pPr>
          </w:p>
        </w:tc>
        <w:tc>
          <w:tcPr>
            <w:tcW w:w="4760" w:type="dxa"/>
            <w:vAlign w:val="bottom"/>
          </w:tcPr>
          <w:p>
            <w:pPr>
              <w:jc w:val="center"/>
              <w:ind w:right="80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23"/>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jc w:val="right"/>
              <w:ind w:right="175"/>
              <w:spacing w:after="0"/>
              <w:rPr>
                <w:sz w:val="20"/>
                <w:szCs w:val="20"/>
                <w:color w:val="auto"/>
              </w:rPr>
            </w:pPr>
            <w:r>
              <w:rPr>
                <w:rFonts w:ascii="Arial" w:cs="Arial" w:eastAsia="Arial" w:hAnsi="Arial"/>
                <w:sz w:val="18"/>
                <w:szCs w:val="18"/>
                <w:b w:val="1"/>
                <w:bCs w:val="1"/>
                <w:color w:val="auto"/>
              </w:rPr>
              <w:t>(616) 772-1800</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540" w:type="dxa"/>
            <w:vAlign w:val="bottom"/>
            <w:gridSpan w:val="3"/>
          </w:tcPr>
          <w:p>
            <w:pPr>
              <w:jc w:val="center"/>
              <w:ind w:right="3643"/>
              <w:spacing w:after="0" w:line="159" w:lineRule="exact"/>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5"/>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67"/>
        </w:trPr>
        <w:tc>
          <w:tcPr>
            <w:tcW w:w="432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209"/>
        </w:trPr>
        <w:tc>
          <w:tcPr>
            <w:tcW w:w="432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167" w:lineRule="exact"/>
        <w:rPr>
          <w:sz w:val="24"/>
          <w:szCs w:val="24"/>
          <w:color w:val="auto"/>
        </w:rPr>
      </w:pPr>
    </w:p>
    <w:p>
      <w:pPr>
        <w:jc w:val="both"/>
        <w:ind w:right="120"/>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309" w:lineRule="exact"/>
        <w:rPr>
          <w:sz w:val="24"/>
          <w:szCs w:val="24"/>
          <w:color w:val="auto"/>
        </w:rPr>
      </w:pPr>
    </w:p>
    <w:p>
      <w:pPr>
        <w:ind w:right="54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36" w:lineRule="exact"/>
        <w:rPr>
          <w:sz w:val="24"/>
          <w:szCs w:val="24"/>
          <w:color w:val="auto"/>
        </w:rPr>
      </w:pPr>
    </w:p>
    <w:p>
      <w:pPr>
        <w:ind w:right="26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6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6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60" w:type="dxa"/>
            <w:vAlign w:val="bottom"/>
          </w:tcPr>
          <w:p>
            <w:pPr>
              <w:ind w:left="296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6"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4" w:lineRule="exact"/>
        <w:rPr>
          <w:sz w:val="24"/>
          <w:szCs w:val="24"/>
          <w:color w:val="auto"/>
        </w:rPr>
      </w:pPr>
    </w:p>
    <w:p>
      <w:pPr>
        <w:spacing w:after="0" w:line="161" w:lineRule="exact"/>
        <w:tabs>
          <w:tab w:leader="none" w:pos="828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63" w:lineRule="exact"/>
        <w:rPr>
          <w:sz w:val="24"/>
          <w:szCs w:val="24"/>
          <w:color w:val="auto"/>
        </w:rPr>
      </w:pPr>
    </w:p>
    <w:p>
      <w:pPr>
        <w:ind w:right="560"/>
        <w:spacing w:after="0" w:line="258"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o No: o</w:t>
      </w:r>
    </w:p>
    <w:p>
      <w:pPr>
        <w:spacing w:after="0" w:line="10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APPLICABLE ONLY TO CORPORATE ISSUERS:</w:t>
      </w:r>
      <w:r>
        <w:rPr>
          <w:rFonts w:ascii="MS PGothic" w:cs="MS PGothic" w:eastAsia="MS PGothic" w:hAnsi="MS PGothic"/>
          <w:sz w:val="14"/>
          <w:szCs w:val="14"/>
          <w:color w:val="auto"/>
        </w:rPr>
        <w:t> </w:t>
      </w:r>
      <w:r>
        <w:rPr>
          <w:rFonts w:ascii="Arial" w:cs="Arial" w:eastAsia="Arial" w:hAnsi="Arial"/>
          <w:sz w:val="14"/>
          <w:szCs w:val="14"/>
          <w:color w:val="auto"/>
        </w:rPr>
        <w:t>Indicate the number of shares outstanding of each of the issuer’s classes of common stock, as of the latest practicable date.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April 24, 2020</w:t>
            </w:r>
          </w:p>
        </w:tc>
      </w:tr>
      <w:tr>
        <w:trPr>
          <w:trHeight w:val="198"/>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244,871,910</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060" w:type="dxa"/>
            <w:vAlign w:val="bottom"/>
            <w:gridSpan w:val="4"/>
          </w:tcPr>
          <w:p>
            <w:pPr>
              <w:spacing w:after="0"/>
              <w:rPr>
                <w:sz w:val="20"/>
                <w:szCs w:val="20"/>
                <w:color w:val="auto"/>
              </w:rPr>
            </w:pPr>
            <w:r>
              <w:rPr>
                <w:rFonts w:ascii="Arial" w:cs="Arial" w:eastAsia="Arial" w:hAnsi="Arial"/>
                <w:sz w:val="22"/>
                <w:szCs w:val="22"/>
                <w:b w:val="1"/>
                <w:bCs w:val="1"/>
                <w:color w:val="auto"/>
              </w:rPr>
              <w:t>Part I - Financial Information</w:t>
            </w:r>
          </w:p>
        </w:tc>
        <w:tc>
          <w:tcPr>
            <w:tcW w:w="1460" w:type="dxa"/>
            <w:vAlign w:val="bottom"/>
          </w:tcPr>
          <w:p>
            <w:pPr>
              <w:ind w:left="960"/>
              <w:spacing w:after="0"/>
              <w:rPr>
                <w:sz w:val="20"/>
                <w:szCs w:val="20"/>
                <w:color w:val="auto"/>
              </w:rPr>
            </w:pPr>
            <w:r>
              <w:rPr>
                <w:rFonts w:ascii="Arial" w:cs="Arial" w:eastAsia="Arial" w:hAnsi="Arial"/>
                <w:sz w:val="22"/>
                <w:szCs w:val="22"/>
                <w:b w:val="1"/>
                <w:bCs w:val="1"/>
                <w:color w:val="auto"/>
                <w:w w:val="91"/>
              </w:rPr>
              <w:t>Page</w:t>
            </w:r>
          </w:p>
        </w:tc>
      </w:tr>
      <w:tr>
        <w:trPr>
          <w:trHeight w:val="233"/>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Consolidated Financial Statements</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r>
      <w:tr>
        <w:trPr>
          <w:trHeight w:val="229"/>
        </w:trPr>
        <w:tc>
          <w:tcPr>
            <w:tcW w:w="84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Condensed Consolidated Balance Sheets</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r>
      <w:tr>
        <w:trPr>
          <w:trHeight w:val="229"/>
        </w:trPr>
        <w:tc>
          <w:tcPr>
            <w:tcW w:w="84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Condensed Consolidated Statements of Income</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r>
      <w:tr>
        <w:trPr>
          <w:trHeight w:val="230"/>
        </w:trPr>
        <w:tc>
          <w:tcPr>
            <w:tcW w:w="84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Unaudited Condensed Consolidated Statements of Comprehensive Income</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5</w:t>
              </w:r>
            </w:hyperlink>
          </w:p>
        </w:tc>
      </w:tr>
      <w:tr>
        <w:trPr>
          <w:trHeight w:val="229"/>
        </w:trPr>
        <w:tc>
          <w:tcPr>
            <w:tcW w:w="84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Unaudited Condensed Consolidated Statements of Cash Flows</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r>
      <w:tr>
        <w:trPr>
          <w:trHeight w:val="229"/>
        </w:trPr>
        <w:tc>
          <w:tcPr>
            <w:tcW w:w="84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Unaudited Condensed Consolidated Financial Statements</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Management's Discussion and Analysis of Financial Condition and Results of Operations</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20">
              <w:r>
                <w:rPr>
                  <w:rFonts w:ascii="Arial" w:cs="Arial" w:eastAsia="Arial" w:hAnsi="Arial"/>
                  <w:sz w:val="18"/>
                  <w:szCs w:val="18"/>
                  <w:u w:val="single" w:color="auto"/>
                  <w:color w:val="0000FF"/>
                  <w:w w:val="99"/>
                </w:rPr>
                <w:t>21</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Quantitative and Qualitative Disclosures About Market Risk</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31">
              <w:r>
                <w:rPr>
                  <w:rFonts w:ascii="Arial" w:cs="Arial" w:eastAsia="Arial" w:hAnsi="Arial"/>
                  <w:sz w:val="18"/>
                  <w:szCs w:val="18"/>
                  <w:u w:val="single" w:color="auto"/>
                  <w:color w:val="0000FF"/>
                  <w:w w:val="99"/>
                </w:rPr>
                <w:t>31</w:t>
              </w:r>
            </w:hyperlink>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Controls and Procedures</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31">
              <w:r>
                <w:rPr>
                  <w:rFonts w:ascii="Arial" w:cs="Arial" w:eastAsia="Arial" w:hAnsi="Arial"/>
                  <w:sz w:val="18"/>
                  <w:szCs w:val="18"/>
                  <w:u w:val="single" w:color="auto"/>
                  <w:color w:val="0000FF"/>
                  <w:w w:val="99"/>
                </w:rPr>
                <w:t>31</w:t>
              </w:r>
            </w:hyperlink>
          </w:p>
        </w:tc>
      </w:tr>
      <w:tr>
        <w:trPr>
          <w:trHeight w:val="536"/>
        </w:trPr>
        <w:tc>
          <w:tcPr>
            <w:tcW w:w="9060" w:type="dxa"/>
            <w:vAlign w:val="bottom"/>
            <w:gridSpan w:val="4"/>
          </w:tcPr>
          <w:p>
            <w:pPr>
              <w:spacing w:after="0"/>
              <w:rPr>
                <w:sz w:val="20"/>
                <w:szCs w:val="20"/>
                <w:color w:val="auto"/>
              </w:rPr>
            </w:pPr>
            <w:r>
              <w:rPr>
                <w:rFonts w:ascii="Arial" w:cs="Arial" w:eastAsia="Arial" w:hAnsi="Arial"/>
                <w:sz w:val="22"/>
                <w:szCs w:val="22"/>
                <w:b w:val="1"/>
                <w:bCs w:val="1"/>
                <w:color w:val="auto"/>
              </w:rPr>
              <w:t>Part II - Other Information</w:t>
            </w:r>
          </w:p>
        </w:tc>
        <w:tc>
          <w:tcPr>
            <w:tcW w:w="1460" w:type="dxa"/>
            <w:vAlign w:val="bottom"/>
          </w:tcPr>
          <w:p>
            <w:pPr>
              <w:spacing w:after="0"/>
              <w:rPr>
                <w:sz w:val="24"/>
                <w:szCs w:val="24"/>
                <w:color w:val="auto"/>
              </w:rPr>
            </w:pPr>
          </w:p>
        </w:tc>
      </w:tr>
      <w:tr>
        <w:trPr>
          <w:trHeight w:val="233"/>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Risk Factors</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33">
              <w:r>
                <w:rPr>
                  <w:rFonts w:ascii="Arial" w:cs="Arial" w:eastAsia="Arial" w:hAnsi="Arial"/>
                  <w:sz w:val="18"/>
                  <w:szCs w:val="18"/>
                  <w:u w:val="single" w:color="auto"/>
                  <w:color w:val="0000FF"/>
                  <w:w w:val="99"/>
                </w:rPr>
                <w:t>33</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Unregistered Sales of Equity Securities and Use of Proceeds</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33">
              <w:r>
                <w:rPr>
                  <w:rFonts w:ascii="Arial" w:cs="Arial" w:eastAsia="Arial" w:hAnsi="Arial"/>
                  <w:sz w:val="18"/>
                  <w:szCs w:val="18"/>
                  <w:u w:val="single" w:color="auto"/>
                  <w:color w:val="0000FF"/>
                  <w:w w:val="99"/>
                </w:rPr>
                <w:t>33</w:t>
              </w:r>
            </w:hyperlink>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Exhibits</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34">
              <w:r>
                <w:rPr>
                  <w:rFonts w:ascii="Arial" w:cs="Arial" w:eastAsia="Arial" w:hAnsi="Arial"/>
                  <w:sz w:val="18"/>
                  <w:szCs w:val="18"/>
                  <w:u w:val="single" w:color="auto"/>
                  <w:color w:val="0000FF"/>
                  <w:w w:val="99"/>
                </w:rPr>
                <w:t>34</w:t>
              </w:r>
            </w:hyperlink>
          </w:p>
        </w:tc>
      </w:tr>
      <w:tr>
        <w:trPr>
          <w:trHeight w:val="189"/>
        </w:trPr>
        <w:tc>
          <w:tcPr>
            <w:tcW w:w="840" w:type="dxa"/>
            <w:vAlign w:val="bottom"/>
          </w:tcPr>
          <w:p>
            <w:pPr>
              <w:spacing w:after="0"/>
              <w:rPr>
                <w:sz w:val="16"/>
                <w:szCs w:val="16"/>
                <w:color w:val="auto"/>
              </w:rPr>
            </w:pPr>
          </w:p>
        </w:tc>
        <w:tc>
          <w:tcPr>
            <w:tcW w:w="8220" w:type="dxa"/>
            <w:vAlign w:val="bottom"/>
            <w:gridSpan w:val="3"/>
          </w:tcPr>
          <w:p>
            <w:pPr>
              <w:ind w:left="180"/>
              <w:spacing w:after="0" w:line="189" w:lineRule="exact"/>
              <w:rPr>
                <w:rFonts w:ascii="Arial" w:cs="Arial" w:eastAsia="Arial" w:hAnsi="Arial"/>
                <w:sz w:val="18"/>
                <w:szCs w:val="18"/>
                <w:u w:val="single" w:color="auto"/>
                <w:color w:val="0302FF"/>
              </w:rPr>
            </w:pPr>
            <w:hyperlink w:anchor="page34">
              <w:r>
                <w:rPr>
                  <w:rFonts w:ascii="Arial" w:cs="Arial" w:eastAsia="Arial" w:hAnsi="Arial"/>
                  <w:sz w:val="18"/>
                  <w:szCs w:val="18"/>
                  <w:u w:val="single" w:color="auto"/>
                  <w:color w:val="0302FF"/>
                </w:rPr>
                <w:t>Signatures</w:t>
              </w:r>
            </w:hyperlink>
          </w:p>
        </w:tc>
        <w:tc>
          <w:tcPr>
            <w:tcW w:w="1460" w:type="dxa"/>
            <w:vAlign w:val="bottom"/>
          </w:tcPr>
          <w:p>
            <w:pPr>
              <w:jc w:val="center"/>
              <w:ind w:left="849"/>
              <w:spacing w:after="0" w:line="189" w:lineRule="exact"/>
              <w:rPr>
                <w:rFonts w:ascii="Arial" w:cs="Arial" w:eastAsia="Arial" w:hAnsi="Arial"/>
                <w:sz w:val="18"/>
                <w:szCs w:val="18"/>
                <w:u w:val="single" w:color="auto"/>
                <w:color w:val="0000FF"/>
                <w:w w:val="99"/>
              </w:rPr>
            </w:pPr>
            <w:hyperlink w:anchor="page34">
              <w:r>
                <w:rPr>
                  <w:rFonts w:ascii="Arial" w:cs="Arial" w:eastAsia="Arial" w:hAnsi="Arial"/>
                  <w:sz w:val="18"/>
                  <w:szCs w:val="18"/>
                  <w:u w:val="single" w:color="auto"/>
                  <w:color w:val="0000FF"/>
                  <w:w w:val="99"/>
                </w:rPr>
                <w:t>34</w:t>
              </w:r>
            </w:hyperlink>
          </w:p>
        </w:tc>
      </w:tr>
      <w:tr>
        <w:trPr>
          <w:trHeight w:val="20"/>
        </w:trPr>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302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Exhibit Index</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34">
              <w:r>
                <w:rPr>
                  <w:rFonts w:ascii="Arial" w:cs="Arial" w:eastAsia="Arial" w:hAnsi="Arial"/>
                  <w:sz w:val="18"/>
                  <w:szCs w:val="18"/>
                  <w:u w:val="single" w:color="auto"/>
                  <w:color w:val="0000FF"/>
                  <w:w w:val="99"/>
                </w:rPr>
                <w:t>35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74930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927"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As of March 31, 2020 and December 31,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March 31, 2020 (Unaudited)</w:t>
            </w:r>
          </w:p>
        </w:tc>
        <w:tc>
          <w:tcPr>
            <w:tcW w:w="260" w:type="dxa"/>
            <w:vAlign w:val="bottom"/>
          </w:tcPr>
          <w:p>
            <w:pPr>
              <w:spacing w:after="0"/>
              <w:rPr>
                <w:sz w:val="14"/>
                <w:szCs w:val="14"/>
                <w:color w:val="auto"/>
              </w:rPr>
            </w:pPr>
          </w:p>
        </w:tc>
        <w:tc>
          <w:tcPr>
            <w:tcW w:w="188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jc w:val="right"/>
              <w:ind w:right="77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90"/>
        </w:trPr>
        <w:tc>
          <w:tcPr>
            <w:tcW w:w="130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CCEEFF"/>
            </w:tcBorders>
            <w:gridSpan w:val="3"/>
            <w:shd w:val="clear" w:color="auto" w:fill="CCEEFF"/>
          </w:tcPr>
          <w:p>
            <w:pPr>
              <w:jc w:val="center"/>
              <w:ind w:right="3060"/>
              <w:spacing w:after="0" w:line="169" w:lineRule="exact"/>
              <w:rPr>
                <w:sz w:val="20"/>
                <w:szCs w:val="20"/>
                <w:color w:val="auto"/>
              </w:rPr>
            </w:pPr>
            <w:r>
              <w:rPr>
                <w:rFonts w:ascii="Arial" w:cs="Arial" w:eastAsia="Arial" w:hAnsi="Arial"/>
                <w:sz w:val="18"/>
                <w:szCs w:val="18"/>
                <w:color w:val="auto"/>
                <w:w w:val="98"/>
              </w:rPr>
              <w:t>ASSETS</w:t>
            </w:r>
          </w:p>
        </w:tc>
        <w:tc>
          <w:tcPr>
            <w:tcW w:w="4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CURRENT ASSETS</w:t>
            </w:r>
          </w:p>
        </w:tc>
        <w:tc>
          <w:tcPr>
            <w:tcW w:w="700" w:type="dxa"/>
            <w:vAlign w:val="bottom"/>
            <w:tcBorders>
              <w:top w:val="single" w:sz="8" w:color="auto"/>
            </w:tcBorders>
          </w:tcPr>
          <w:p>
            <w:pPr>
              <w:spacing w:after="0"/>
              <w:rPr>
                <w:sz w:val="21"/>
                <w:szCs w:val="21"/>
                <w:color w:val="auto"/>
              </w:rPr>
            </w:pPr>
          </w:p>
        </w:tc>
        <w:tc>
          <w:tcPr>
            <w:tcW w:w="3060" w:type="dxa"/>
            <w:vAlign w:val="bottom"/>
            <w:tcBorders>
              <w:top w:val="single" w:sz="8" w:color="CCEEFF"/>
            </w:tcBorders>
            <w:gridSpan w:val="2"/>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278,524,928</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296,321,622</w:t>
            </w:r>
          </w:p>
        </w:tc>
        <w:tc>
          <w:tcPr>
            <w:tcW w:w="0" w:type="dxa"/>
            <w:vAlign w:val="bottom"/>
          </w:tcPr>
          <w:p>
            <w:pPr>
              <w:spacing w:after="0"/>
              <w:rPr>
                <w:sz w:val="1"/>
                <w:szCs w:val="1"/>
                <w:color w:val="auto"/>
              </w:rPr>
            </w:pPr>
          </w:p>
        </w:tc>
      </w:tr>
      <w:tr>
        <w:trPr>
          <w:trHeight w:val="250"/>
        </w:trPr>
        <w:tc>
          <w:tcPr>
            <w:tcW w:w="6820" w:type="dxa"/>
            <w:vAlign w:val="bottom"/>
            <w:gridSpan w:val="5"/>
          </w:tcPr>
          <w:p>
            <w:pPr>
              <w:ind w:left="22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131,078,039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140,384,053</w:t>
            </w: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233,578,125</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235,410,326</w:t>
            </w:r>
          </w:p>
        </w:tc>
        <w:tc>
          <w:tcPr>
            <w:tcW w:w="0" w:type="dxa"/>
            <w:vAlign w:val="bottom"/>
          </w:tcPr>
          <w:p>
            <w:pPr>
              <w:spacing w:after="0"/>
              <w:rPr>
                <w:sz w:val="1"/>
                <w:szCs w:val="1"/>
                <w:color w:val="auto"/>
              </w:rPr>
            </w:pPr>
          </w:p>
        </w:tc>
      </w:tr>
      <w:tr>
        <w:trPr>
          <w:trHeight w:val="250"/>
        </w:trPr>
        <w:tc>
          <w:tcPr>
            <w:tcW w:w="6820" w:type="dxa"/>
            <w:vAlign w:val="bottom"/>
            <w:gridSpan w:val="5"/>
          </w:tcPr>
          <w:p>
            <w:pPr>
              <w:ind w:left="22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251,006,414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248,941,855</w:t>
            </w:r>
          </w:p>
        </w:tc>
        <w:tc>
          <w:tcPr>
            <w:tcW w:w="0" w:type="dxa"/>
            <w:vAlign w:val="bottom"/>
          </w:tcPr>
          <w:p>
            <w:pPr>
              <w:spacing w:after="0"/>
              <w:rPr>
                <w:sz w:val="1"/>
                <w:szCs w:val="1"/>
                <w:color w:val="auto"/>
              </w:rPr>
            </w:pPr>
          </w:p>
        </w:tc>
      </w:tr>
      <w:tr>
        <w:trPr>
          <w:trHeight w:val="257"/>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4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16,539,990</w:t>
            </w:r>
          </w:p>
        </w:tc>
        <w:tc>
          <w:tcPr>
            <w:tcW w:w="1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29,319,036</w:t>
            </w:r>
          </w:p>
        </w:tc>
        <w:tc>
          <w:tcPr>
            <w:tcW w:w="0" w:type="dxa"/>
            <w:vAlign w:val="bottom"/>
          </w:tcPr>
          <w:p>
            <w:pPr>
              <w:spacing w:after="0"/>
              <w:rPr>
                <w:sz w:val="1"/>
                <w:szCs w:val="1"/>
                <w:color w:val="auto"/>
              </w:rPr>
            </w:pPr>
          </w:p>
        </w:tc>
      </w:tr>
      <w:tr>
        <w:trPr>
          <w:trHeight w:val="250"/>
        </w:trPr>
        <w:tc>
          <w:tcPr>
            <w:tcW w:w="6820" w:type="dxa"/>
            <w:vAlign w:val="bottom"/>
            <w:gridSpan w:val="5"/>
          </w:tcPr>
          <w:p>
            <w:pPr>
              <w:ind w:left="44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910,727,496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950,376,892</w:t>
            </w:r>
          </w:p>
        </w:tc>
        <w:tc>
          <w:tcPr>
            <w:tcW w:w="0" w:type="dxa"/>
            <w:vAlign w:val="bottom"/>
          </w:tcPr>
          <w:p>
            <w:pPr>
              <w:spacing w:after="0"/>
              <w:rPr>
                <w:sz w:val="1"/>
                <w:szCs w:val="1"/>
                <w:color w:val="auto"/>
              </w:rPr>
            </w:pPr>
          </w:p>
        </w:tc>
      </w:tr>
      <w:tr>
        <w:trPr>
          <w:trHeight w:val="236"/>
        </w:trPr>
        <w:tc>
          <w:tcPr>
            <w:tcW w:w="13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PLANT AND EQUIPMENT—NET</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493,114,501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498,316,100</w:t>
            </w:r>
          </w:p>
        </w:tc>
        <w:tc>
          <w:tcPr>
            <w:tcW w:w="0" w:type="dxa"/>
            <w:vAlign w:val="bottom"/>
          </w:tcPr>
          <w:p>
            <w:pPr>
              <w:spacing w:after="0"/>
              <w:rPr>
                <w:sz w:val="1"/>
                <w:szCs w:val="1"/>
                <w:color w:val="auto"/>
              </w:rPr>
            </w:pPr>
          </w:p>
        </w:tc>
      </w:tr>
      <w:tr>
        <w:trPr>
          <w:trHeight w:val="236"/>
        </w:trPr>
        <w:tc>
          <w:tcPr>
            <w:tcW w:w="13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307,365,845</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307,365,845</w:t>
            </w:r>
          </w:p>
        </w:tc>
        <w:tc>
          <w:tcPr>
            <w:tcW w:w="0" w:type="dxa"/>
            <w:vAlign w:val="bottom"/>
          </w:tcPr>
          <w:p>
            <w:pPr>
              <w:spacing w:after="0"/>
              <w:rPr>
                <w:sz w:val="1"/>
                <w:szCs w:val="1"/>
                <w:color w:val="auto"/>
              </w:rPr>
            </w:pPr>
          </w:p>
        </w:tc>
      </w:tr>
      <w:tr>
        <w:trPr>
          <w:trHeight w:val="250"/>
        </w:trPr>
        <w:tc>
          <w:tcPr>
            <w:tcW w:w="6820" w:type="dxa"/>
            <w:vAlign w:val="bottom"/>
            <w:gridSpan w:val="5"/>
          </w:tcPr>
          <w:p>
            <w:pPr>
              <w:ind w:left="220"/>
              <w:spacing w:after="0"/>
              <w:rPr>
                <w:sz w:val="20"/>
                <w:szCs w:val="20"/>
                <w:color w:val="auto"/>
              </w:rPr>
            </w:pPr>
            <w:r>
              <w:rPr>
                <w:rFonts w:ascii="Arial" w:cs="Arial" w:eastAsia="Arial" w:hAnsi="Arial"/>
                <w:sz w:val="18"/>
                <w:szCs w:val="18"/>
                <w:color w:val="auto"/>
              </w:rPr>
              <w:t>Long-term investments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177,794,760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139,909,323</w:t>
            </w: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4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245,550,000</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250,375,000</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Patents and other assets, net</w:t>
            </w:r>
          </w:p>
        </w:tc>
        <w:tc>
          <w:tcPr>
            <w:tcW w:w="4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23,550,490</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22,460,033</w:t>
            </w:r>
          </w:p>
        </w:tc>
        <w:tc>
          <w:tcPr>
            <w:tcW w:w="0" w:type="dxa"/>
            <w:vAlign w:val="bottom"/>
          </w:tcPr>
          <w:p>
            <w:pPr>
              <w:spacing w:after="0"/>
              <w:rPr>
                <w:sz w:val="1"/>
                <w:szCs w:val="1"/>
                <w:color w:val="auto"/>
              </w:rPr>
            </w:pPr>
          </w:p>
        </w:tc>
      </w:tr>
      <w:tr>
        <w:trPr>
          <w:trHeight w:val="256"/>
        </w:trPr>
        <w:tc>
          <w:tcPr>
            <w:tcW w:w="682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4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754,261,095</w:t>
            </w:r>
          </w:p>
        </w:tc>
        <w:tc>
          <w:tcPr>
            <w:tcW w:w="1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720,110,201</w:t>
            </w:r>
          </w:p>
        </w:tc>
        <w:tc>
          <w:tcPr>
            <w:tcW w:w="0" w:type="dxa"/>
            <w:vAlign w:val="bottom"/>
          </w:tcPr>
          <w:p>
            <w:pPr>
              <w:spacing w:after="0"/>
              <w:rPr>
                <w:sz w:val="1"/>
                <w:szCs w:val="1"/>
                <w:color w:val="auto"/>
              </w:rPr>
            </w:pPr>
          </w:p>
        </w:tc>
      </w:tr>
      <w:tr>
        <w:trPr>
          <w:trHeight w:val="244"/>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2,158,103,092</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2,168,803,193</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20" w:type="dxa"/>
            <w:vAlign w:val="bottom"/>
            <w:gridSpan w:val="5"/>
          </w:tcPr>
          <w:p>
            <w:pPr>
              <w:jc w:val="center"/>
              <w:spacing w:after="0" w:line="189" w:lineRule="exact"/>
              <w:rPr>
                <w:sz w:val="20"/>
                <w:szCs w:val="20"/>
                <w:color w:val="auto"/>
              </w:rPr>
            </w:pPr>
            <w:r>
              <w:rPr>
                <w:rFonts w:ascii="Arial" w:cs="Arial" w:eastAsia="Arial" w:hAnsi="Arial"/>
                <w:sz w:val="18"/>
                <w:szCs w:val="18"/>
                <w:color w:val="auto"/>
              </w:rPr>
              <w:t>LIABILITIES AND SHAREHOLDERS’ INVESTMENT</w:t>
            </w:r>
          </w:p>
        </w:tc>
        <w:tc>
          <w:tcPr>
            <w:tcW w:w="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100,099,191</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97,553,917</w:t>
            </w:r>
          </w:p>
        </w:tc>
        <w:tc>
          <w:tcPr>
            <w:tcW w:w="0" w:type="dxa"/>
            <w:vAlign w:val="bottom"/>
          </w:tcPr>
          <w:p>
            <w:pPr>
              <w:spacing w:after="0"/>
              <w:rPr>
                <w:sz w:val="1"/>
                <w:szCs w:val="1"/>
                <w:color w:val="auto"/>
              </w:rPr>
            </w:pPr>
          </w:p>
        </w:tc>
      </w:tr>
      <w:tr>
        <w:trPr>
          <w:trHeight w:val="250"/>
        </w:trPr>
        <w:tc>
          <w:tcPr>
            <w:tcW w:w="6820" w:type="dxa"/>
            <w:vAlign w:val="bottom"/>
            <w:gridSpan w:val="5"/>
          </w:tcPr>
          <w:p>
            <w:pPr>
              <w:ind w:left="22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75,000,000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88,858,713</w:t>
            </w:r>
          </w:p>
        </w:tc>
        <w:tc>
          <w:tcPr>
            <w:tcW w:w="1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74,292,883</w:t>
            </w:r>
          </w:p>
        </w:tc>
        <w:tc>
          <w:tcPr>
            <w:tcW w:w="0" w:type="dxa"/>
            <w:vAlign w:val="bottom"/>
          </w:tcPr>
          <w:p>
            <w:pPr>
              <w:spacing w:after="0"/>
              <w:rPr>
                <w:sz w:val="1"/>
                <w:szCs w:val="1"/>
                <w:color w:val="auto"/>
              </w:rPr>
            </w:pPr>
          </w:p>
        </w:tc>
      </w:tr>
      <w:tr>
        <w:trPr>
          <w:trHeight w:val="250"/>
        </w:trPr>
        <w:tc>
          <w:tcPr>
            <w:tcW w:w="6820" w:type="dxa"/>
            <w:vAlign w:val="bottom"/>
            <w:gridSpan w:val="5"/>
          </w:tcPr>
          <w:p>
            <w:pPr>
              <w:ind w:left="44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263,957,904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171,846,800</w:t>
            </w:r>
          </w:p>
        </w:tc>
        <w:tc>
          <w:tcPr>
            <w:tcW w:w="0" w:type="dxa"/>
            <w:vAlign w:val="bottom"/>
          </w:tcPr>
          <w:p>
            <w:pPr>
              <w:spacing w:after="0"/>
              <w:rPr>
                <w:sz w:val="1"/>
                <w:szCs w:val="1"/>
                <w:color w:val="auto"/>
              </w:rPr>
            </w:pPr>
          </w:p>
        </w:tc>
      </w:tr>
      <w:tr>
        <w:trPr>
          <w:trHeight w:val="277"/>
        </w:trPr>
        <w:tc>
          <w:tcPr>
            <w:tcW w:w="13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9,091,509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7,414,424</w:t>
            </w:r>
          </w:p>
        </w:tc>
        <w:tc>
          <w:tcPr>
            <w:tcW w:w="0" w:type="dxa"/>
            <w:vAlign w:val="bottom"/>
          </w:tcPr>
          <w:p>
            <w:pPr>
              <w:spacing w:after="0"/>
              <w:rPr>
                <w:sz w:val="1"/>
                <w:szCs w:val="1"/>
                <w:color w:val="auto"/>
              </w:rPr>
            </w:pPr>
          </w:p>
        </w:tc>
      </w:tr>
      <w:tr>
        <w:trPr>
          <w:trHeight w:val="277"/>
        </w:trPr>
        <w:tc>
          <w:tcPr>
            <w:tcW w:w="13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50,448,046</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51,454,149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323,497,459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230,715,373</w:t>
            </w:r>
          </w:p>
        </w:tc>
        <w:tc>
          <w:tcPr>
            <w:tcW w:w="0" w:type="dxa"/>
            <w:vAlign w:val="bottom"/>
          </w:tcPr>
          <w:p>
            <w:pPr>
              <w:spacing w:after="0"/>
              <w:rPr>
                <w:sz w:val="1"/>
                <w:szCs w:val="1"/>
                <w:color w:val="auto"/>
              </w:rPr>
            </w:pPr>
          </w:p>
        </w:tc>
      </w:tr>
      <w:tr>
        <w:trPr>
          <w:trHeight w:val="236"/>
        </w:trPr>
        <w:tc>
          <w:tcPr>
            <w:tcW w:w="13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SHAREHOLDERS’ INVESTMENT</w:t>
            </w: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4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14,691,939</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15,076,651</w:t>
            </w:r>
          </w:p>
        </w:tc>
        <w:tc>
          <w:tcPr>
            <w:tcW w:w="0" w:type="dxa"/>
            <w:vAlign w:val="bottom"/>
          </w:tcPr>
          <w:p>
            <w:pPr>
              <w:spacing w:after="0"/>
              <w:rPr>
                <w:sz w:val="1"/>
                <w:szCs w:val="1"/>
                <w:color w:val="auto"/>
              </w:rPr>
            </w:pPr>
          </w:p>
        </w:tc>
      </w:tr>
      <w:tr>
        <w:trPr>
          <w:trHeight w:val="250"/>
        </w:trPr>
        <w:tc>
          <w:tcPr>
            <w:tcW w:w="6820" w:type="dxa"/>
            <w:vAlign w:val="bottom"/>
            <w:gridSpan w:val="5"/>
          </w:tcPr>
          <w:p>
            <w:pPr>
              <w:ind w:left="2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801,388,454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807,928,139</w:t>
            </w: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1,018,310,446</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1,116,372,133</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214,794</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(1,289,103)</w:t>
            </w:r>
          </w:p>
        </w:tc>
        <w:tc>
          <w:tcPr>
            <w:tcW w:w="0" w:type="dxa"/>
            <w:vAlign w:val="bottom"/>
          </w:tcPr>
          <w:p>
            <w:pPr>
              <w:spacing w:after="0"/>
              <w:rPr>
                <w:sz w:val="1"/>
                <w:szCs w:val="1"/>
                <w:color w:val="auto"/>
              </w:rPr>
            </w:pPr>
          </w:p>
        </w:tc>
      </w:tr>
      <w:tr>
        <w:trPr>
          <w:trHeight w:val="256"/>
        </w:trPr>
        <w:tc>
          <w:tcPr>
            <w:tcW w:w="682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shareholders’ investment</w:t>
            </w:r>
          </w:p>
        </w:tc>
        <w:tc>
          <w:tcPr>
            <w:tcW w:w="4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1,834,605,633</w:t>
            </w:r>
          </w:p>
        </w:tc>
        <w:tc>
          <w:tcPr>
            <w:tcW w:w="1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1,938,087,820</w:t>
            </w:r>
          </w:p>
        </w:tc>
        <w:tc>
          <w:tcPr>
            <w:tcW w:w="0" w:type="dxa"/>
            <w:vAlign w:val="bottom"/>
          </w:tcPr>
          <w:p>
            <w:pPr>
              <w:spacing w:after="0"/>
              <w:rPr>
                <w:sz w:val="1"/>
                <w:szCs w:val="1"/>
                <w:color w:val="auto"/>
              </w:rPr>
            </w:pPr>
          </w:p>
        </w:tc>
      </w:tr>
      <w:tr>
        <w:trPr>
          <w:trHeight w:val="244"/>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2,158,103,092</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2,168,803,193</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right="300"/>
        <w:spacing w:after="0" w:line="242" w:lineRule="auto"/>
        <w:rPr>
          <w:sz w:val="20"/>
          <w:szCs w:val="20"/>
          <w:color w:val="auto"/>
        </w:rPr>
      </w:pPr>
      <w:r>
        <w:rPr>
          <w:rFonts w:ascii="Arial" w:cs="Arial" w:eastAsia="Arial" w:hAnsi="Arial"/>
          <w:sz w:val="13"/>
          <w:szCs w:val="13"/>
          <w:color w:val="auto"/>
        </w:rPr>
        <w:t>Note: The condensed consolidated balance sheet at December 31, 2019 has been derived from the audited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 w:name="page4"/>
    <w:bookmarkEnd w:id="3"/>
    <w:p>
      <w:pPr>
        <w:jc w:val="center"/>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Months Ended March 31, 2020 and 2019</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222"/>
        </w:trPr>
        <w:tc>
          <w:tcPr>
            <w:tcW w:w="7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453,761,726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468,588,997</w:t>
            </w:r>
          </w:p>
        </w:tc>
      </w:tr>
      <w:tr>
        <w:trPr>
          <w:trHeight w:val="230"/>
        </w:trPr>
        <w:tc>
          <w:tcPr>
            <w:tcW w:w="7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297,174,245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298,944,494</w:t>
            </w:r>
          </w:p>
        </w:tc>
      </w:tr>
      <w:tr>
        <w:trPr>
          <w:trHeight w:val="250"/>
        </w:trPr>
        <w:tc>
          <w:tcPr>
            <w:tcW w:w="786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156,587,481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169,644,503</w:t>
            </w:r>
          </w:p>
        </w:tc>
      </w:tr>
      <w:tr>
        <w:trPr>
          <w:trHeight w:val="236"/>
        </w:trPr>
        <w:tc>
          <w:tcPr>
            <w:tcW w:w="7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Engineering, research and development</w:t>
            </w: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29,615,422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28,089,181</w:t>
            </w:r>
          </w:p>
        </w:tc>
      </w:tr>
      <w:tr>
        <w:trPr>
          <w:trHeight w:val="25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Selling, general &amp; administrative</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21,944,892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19,958,991</w:t>
            </w:r>
          </w:p>
        </w:tc>
      </w:tr>
      <w:tr>
        <w:trPr>
          <w:trHeight w:val="250"/>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51,560,314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48,048,172</w:t>
            </w:r>
          </w:p>
        </w:tc>
      </w:tr>
      <w:tr>
        <w:trPr>
          <w:trHeight w:val="216"/>
        </w:trPr>
        <w:tc>
          <w:tcPr>
            <w:tcW w:w="7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7"/>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105,027,167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121,596,331</w:t>
            </w:r>
          </w:p>
        </w:tc>
      </w:tr>
      <w:tr>
        <w:trPr>
          <w:trHeight w:val="229"/>
        </w:trPr>
        <w:tc>
          <w:tcPr>
            <w:tcW w:w="7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786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3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2,446,649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3,262,741</w:t>
            </w:r>
          </w:p>
        </w:tc>
      </w:tr>
      <w:tr>
        <w:trPr>
          <w:trHeight w:val="257"/>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(loss), net</w:t>
            </w:r>
          </w:p>
        </w:tc>
        <w:tc>
          <w:tcPr>
            <w:tcW w:w="3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(199,167)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49,469</w:t>
            </w:r>
          </w:p>
        </w:tc>
      </w:tr>
      <w:tr>
        <w:trPr>
          <w:trHeight w:val="250"/>
        </w:trPr>
        <w:tc>
          <w:tcPr>
            <w:tcW w:w="78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2,247,482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3,312,210</w:t>
            </w:r>
          </w:p>
        </w:tc>
      </w:tr>
      <w:tr>
        <w:trPr>
          <w:trHeight w:val="216"/>
        </w:trPr>
        <w:tc>
          <w:tcPr>
            <w:tcW w:w="7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107,274,649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124,908,541</w:t>
            </w:r>
          </w:p>
        </w:tc>
      </w:tr>
      <w:tr>
        <w:trPr>
          <w:trHeight w:val="236"/>
        </w:trPr>
        <w:tc>
          <w:tcPr>
            <w:tcW w:w="7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17,768,848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20,628,130</w:t>
            </w:r>
          </w:p>
        </w:tc>
      </w:tr>
      <w:tr>
        <w:trPr>
          <w:trHeight w:val="236"/>
        </w:trPr>
        <w:tc>
          <w:tcPr>
            <w:tcW w:w="78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r>
      <w:tr>
        <w:trPr>
          <w:trHeight w:val="244"/>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89,505,801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104,280,411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3"/>
        </w:trPr>
        <w:tc>
          <w:tcPr>
            <w:tcW w:w="7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7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0.40</w:t>
            </w:r>
          </w:p>
        </w:tc>
      </w:tr>
      <w:tr>
        <w:trPr>
          <w:trHeight w:val="250"/>
        </w:trPr>
        <w:tc>
          <w:tcPr>
            <w:tcW w:w="786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0.40</w:t>
            </w:r>
          </w:p>
        </w:tc>
      </w:tr>
      <w:tr>
        <w:trPr>
          <w:trHeight w:val="236"/>
        </w:trPr>
        <w:tc>
          <w:tcPr>
            <w:tcW w:w="7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0.115</w:t>
            </w:r>
          </w:p>
        </w:tc>
      </w:tr>
    </w:tbl>
    <w:p>
      <w:pPr>
        <w:spacing w:after="0" w:line="267"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ind w:right="460"/>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Months Ended March 31, 2020 and 2019</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March 31,</w:t>
            </w:r>
          </w:p>
        </w:tc>
      </w:tr>
      <w:tr>
        <w:trPr>
          <w:trHeight w:val="222"/>
        </w:trPr>
        <w:tc>
          <w:tcPr>
            <w:tcW w:w="7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$89,505,801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$104,280,411</w:t>
            </w:r>
          </w:p>
        </w:tc>
      </w:tr>
      <w:tr>
        <w:trPr>
          <w:trHeight w:val="270"/>
        </w:trPr>
        <w:tc>
          <w:tcPr>
            <w:tcW w:w="7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tax:</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0"/>
        </w:trPr>
        <w:tc>
          <w:tcPr>
            <w:tcW w:w="71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(692,090)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298,999</w:t>
            </w:r>
          </w:p>
        </w:tc>
      </w:tr>
      <w:tr>
        <w:trPr>
          <w:trHeight w:val="257"/>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on debt securities, net</w:t>
            </w: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2,779,730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1,298,236</w:t>
            </w:r>
          </w:p>
        </w:tc>
      </w:tr>
      <w:tr>
        <w:trPr>
          <w:trHeight w:val="257"/>
        </w:trPr>
        <w:tc>
          <w:tcPr>
            <w:tcW w:w="7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tax</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2,087,640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1,597,235</w:t>
            </w:r>
          </w:p>
        </w:tc>
      </w:tr>
      <w:tr>
        <w:trPr>
          <w:trHeight w:val="270"/>
        </w:trPr>
        <w:tc>
          <w:tcPr>
            <w:tcW w:w="7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impact related to components of other comprehensive income</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583,743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272,631</w:t>
            </w:r>
          </w:p>
        </w:tc>
      </w:tr>
      <w:tr>
        <w:trPr>
          <w:trHeight w:val="256"/>
        </w:trPr>
        <w:tc>
          <w:tcPr>
            <w:tcW w:w="7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1,503,897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1,324,604</w:t>
            </w:r>
          </w:p>
        </w:tc>
      </w:tr>
      <w:tr>
        <w:trPr>
          <w:trHeight w:val="257"/>
        </w:trPr>
        <w:tc>
          <w:tcPr>
            <w:tcW w:w="7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91,009,698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105,605,015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1251" w:right="33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Three Months Ended March 30, 2020 and 2019</w:t>
      </w:r>
    </w:p>
    <w:p>
      <w:pPr>
        <w:sectPr>
          <w:pgSz w:w="11900" w:h="16838" w:orient="portrait"/>
          <w:cols w:equalWidth="0" w:num="1">
            <w:col w:w="11180"/>
          </w:cols>
          <w:pgMar w:left="38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2020</w:t>
      </w:r>
    </w:p>
    <w:p>
      <w:pPr>
        <w:spacing w:after="0" w:line="5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Issuance of common stock from stock plan transactions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MARCH 31, 2020</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Accumulated</w:t>
            </w:r>
          </w:p>
        </w:tc>
        <w:tc>
          <w:tcPr>
            <w:tcW w:w="1280" w:type="dxa"/>
            <w:vAlign w:val="bottom"/>
          </w:tcPr>
          <w:p>
            <w:pPr>
              <w:spacing w:after="0"/>
              <w:rPr>
                <w:sz w:val="16"/>
                <w:szCs w:val="16"/>
                <w:color w:val="auto"/>
              </w:rPr>
            </w:pPr>
          </w:p>
        </w:tc>
      </w:tr>
      <w:tr>
        <w:trPr>
          <w:trHeight w:val="189"/>
        </w:trPr>
        <w:tc>
          <w:tcPr>
            <w:tcW w:w="1180" w:type="dxa"/>
            <w:vAlign w:val="bottom"/>
          </w:tcPr>
          <w:p>
            <w:pPr>
              <w:jc w:val="center"/>
              <w:ind w:right="86"/>
              <w:spacing w:after="0"/>
              <w:rPr>
                <w:sz w:val="20"/>
                <w:szCs w:val="20"/>
                <w:color w:val="auto"/>
              </w:rPr>
            </w:pPr>
            <w:r>
              <w:rPr>
                <w:rFonts w:ascii="Arial" w:cs="Arial" w:eastAsia="Arial" w:hAnsi="Arial"/>
                <w:sz w:val="16"/>
                <w:szCs w:val="16"/>
                <w:b w:val="1"/>
                <w:bCs w:val="1"/>
                <w:color w:val="auto"/>
              </w:rPr>
              <w:t>Common</w:t>
            </w:r>
          </w:p>
        </w:tc>
        <w:tc>
          <w:tcPr>
            <w:tcW w:w="1240" w:type="dxa"/>
            <w:vAlign w:val="bottom"/>
          </w:tcPr>
          <w:p>
            <w:pPr>
              <w:jc w:val="center"/>
              <w:ind w:right="26"/>
              <w:spacing w:after="0"/>
              <w:rPr>
                <w:sz w:val="20"/>
                <w:szCs w:val="20"/>
                <w:color w:val="auto"/>
              </w:rPr>
            </w:pPr>
            <w:r>
              <w:rPr>
                <w:rFonts w:ascii="Arial" w:cs="Arial" w:eastAsia="Arial" w:hAnsi="Arial"/>
                <w:sz w:val="16"/>
                <w:szCs w:val="16"/>
                <w:b w:val="1"/>
                <w:bCs w:val="1"/>
                <w:color w:val="auto"/>
              </w:rPr>
              <w:t>Common</w:t>
            </w:r>
          </w:p>
        </w:tc>
        <w:tc>
          <w:tcPr>
            <w:tcW w:w="1340" w:type="dxa"/>
            <w:vAlign w:val="bottom"/>
          </w:tcPr>
          <w:p>
            <w:pPr>
              <w:jc w:val="right"/>
              <w:ind w:right="246"/>
              <w:spacing w:after="0"/>
              <w:rPr>
                <w:sz w:val="20"/>
                <w:szCs w:val="20"/>
                <w:color w:val="auto"/>
              </w:rPr>
            </w:pPr>
            <w:r>
              <w:rPr>
                <w:rFonts w:ascii="Arial" w:cs="Arial" w:eastAsia="Arial" w:hAnsi="Arial"/>
                <w:sz w:val="16"/>
                <w:szCs w:val="16"/>
                <w:b w:val="1"/>
                <w:bCs w:val="1"/>
                <w:color w:val="auto"/>
              </w:rPr>
              <w:t>Additional</w:t>
            </w:r>
          </w:p>
        </w:tc>
        <w:tc>
          <w:tcPr>
            <w:tcW w:w="13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Other</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r>
      <w:tr>
        <w:trPr>
          <w:trHeight w:val="189"/>
        </w:trPr>
        <w:tc>
          <w:tcPr>
            <w:tcW w:w="1180" w:type="dxa"/>
            <w:vAlign w:val="bottom"/>
          </w:tcPr>
          <w:p>
            <w:pPr>
              <w:jc w:val="center"/>
              <w:ind w:right="66"/>
              <w:spacing w:after="0"/>
              <w:rPr>
                <w:sz w:val="20"/>
                <w:szCs w:val="20"/>
                <w:color w:val="auto"/>
              </w:rPr>
            </w:pPr>
            <w:r>
              <w:rPr>
                <w:rFonts w:ascii="Arial" w:cs="Arial" w:eastAsia="Arial" w:hAnsi="Arial"/>
                <w:sz w:val="16"/>
                <w:szCs w:val="16"/>
                <w:b w:val="1"/>
                <w:bCs w:val="1"/>
                <w:color w:val="auto"/>
              </w:rPr>
              <w:t>Stock</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340" w:type="dxa"/>
            <w:vAlign w:val="bottom"/>
          </w:tcPr>
          <w:p>
            <w:pPr>
              <w:jc w:val="right"/>
              <w:ind w:right="346"/>
              <w:spacing w:after="0"/>
              <w:rPr>
                <w:sz w:val="20"/>
                <w:szCs w:val="20"/>
                <w:color w:val="auto"/>
              </w:rPr>
            </w:pPr>
            <w:r>
              <w:rPr>
                <w:rFonts w:ascii="Arial" w:cs="Arial" w:eastAsia="Arial" w:hAnsi="Arial"/>
                <w:sz w:val="16"/>
                <w:szCs w:val="16"/>
                <w:b w:val="1"/>
                <w:bCs w:val="1"/>
                <w:color w:val="auto"/>
              </w:rPr>
              <w:t>Paid-In</w:t>
            </w:r>
          </w:p>
        </w:tc>
        <w:tc>
          <w:tcPr>
            <w:tcW w:w="1320" w:type="dxa"/>
            <w:vAlign w:val="bottom"/>
          </w:tcPr>
          <w:p>
            <w:pPr>
              <w:jc w:val="right"/>
              <w:ind w:right="246"/>
              <w:spacing w:after="0"/>
              <w:rPr>
                <w:sz w:val="20"/>
                <w:szCs w:val="20"/>
                <w:color w:val="auto"/>
              </w:rPr>
            </w:pPr>
            <w:r>
              <w:rPr>
                <w:rFonts w:ascii="Arial" w:cs="Arial" w:eastAsia="Arial" w:hAnsi="Arial"/>
                <w:sz w:val="16"/>
                <w:szCs w:val="16"/>
                <w:b w:val="1"/>
                <w:bCs w:val="1"/>
                <w:color w:val="auto"/>
              </w:rPr>
              <w:t>Retained</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Comprehensive</w:t>
            </w:r>
          </w:p>
        </w:tc>
        <w:tc>
          <w:tcPr>
            <w:tcW w:w="1280" w:type="dxa"/>
            <w:vAlign w:val="bottom"/>
          </w:tcPr>
          <w:p>
            <w:pPr>
              <w:jc w:val="center"/>
              <w:ind w:left="6"/>
              <w:spacing w:after="0"/>
              <w:rPr>
                <w:sz w:val="20"/>
                <w:szCs w:val="20"/>
                <w:color w:val="auto"/>
              </w:rPr>
            </w:pPr>
            <w:r>
              <w:rPr>
                <w:rFonts w:ascii="Arial" w:cs="Arial" w:eastAsia="Arial" w:hAnsi="Arial"/>
                <w:sz w:val="16"/>
                <w:szCs w:val="16"/>
                <w:b w:val="1"/>
                <w:bCs w:val="1"/>
                <w:color w:val="auto"/>
              </w:rPr>
              <w:t>Shareholders’</w:t>
            </w:r>
          </w:p>
        </w:tc>
      </w:tr>
      <w:tr>
        <w:trPr>
          <w:trHeight w:val="215"/>
        </w:trPr>
        <w:tc>
          <w:tcPr>
            <w:tcW w:w="1180" w:type="dxa"/>
            <w:vAlign w:val="bottom"/>
          </w:tcPr>
          <w:p>
            <w:pPr>
              <w:jc w:val="center"/>
              <w:ind w:right="46"/>
              <w:spacing w:after="0"/>
              <w:rPr>
                <w:sz w:val="20"/>
                <w:szCs w:val="20"/>
                <w:color w:val="auto"/>
              </w:rPr>
            </w:pPr>
            <w:r>
              <w:rPr>
                <w:rFonts w:ascii="Arial" w:cs="Arial" w:eastAsia="Arial" w:hAnsi="Arial"/>
                <w:sz w:val="16"/>
                <w:szCs w:val="16"/>
                <w:b w:val="1"/>
                <w:bCs w:val="1"/>
                <w:color w:val="auto"/>
              </w:rPr>
              <w:t>Shares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Amount</w:t>
            </w:r>
          </w:p>
        </w:tc>
        <w:tc>
          <w:tcPr>
            <w:tcW w:w="1340" w:type="dxa"/>
            <w:vAlign w:val="bottom"/>
          </w:tcPr>
          <w:p>
            <w:pPr>
              <w:jc w:val="right"/>
              <w:ind w:right="346"/>
              <w:spacing w:after="0"/>
              <w:rPr>
                <w:sz w:val="20"/>
                <w:szCs w:val="20"/>
                <w:color w:val="auto"/>
              </w:rPr>
            </w:pPr>
            <w:r>
              <w:rPr>
                <w:rFonts w:ascii="Arial" w:cs="Arial" w:eastAsia="Arial" w:hAnsi="Arial"/>
                <w:sz w:val="16"/>
                <w:szCs w:val="16"/>
                <w:b w:val="1"/>
                <w:bCs w:val="1"/>
                <w:color w:val="auto"/>
              </w:rPr>
              <w:t>Capital</w:t>
            </w:r>
          </w:p>
        </w:tc>
        <w:tc>
          <w:tcPr>
            <w:tcW w:w="1320" w:type="dxa"/>
            <w:vAlign w:val="bottom"/>
          </w:tcPr>
          <w:p>
            <w:pPr>
              <w:jc w:val="right"/>
              <w:ind w:right="226"/>
              <w:spacing w:after="0"/>
              <w:rPr>
                <w:sz w:val="20"/>
                <w:szCs w:val="20"/>
                <w:color w:val="auto"/>
              </w:rPr>
            </w:pPr>
            <w:r>
              <w:rPr>
                <w:rFonts w:ascii="Arial" w:cs="Arial" w:eastAsia="Arial" w:hAnsi="Arial"/>
                <w:sz w:val="16"/>
                <w:szCs w:val="16"/>
                <w:b w:val="1"/>
                <w:bCs w:val="1"/>
                <w:color w:val="auto"/>
              </w:rPr>
              <w:t>Earnings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Income (Loss)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Investment</w:t>
            </w:r>
          </w:p>
        </w:tc>
      </w:tr>
      <w:tr>
        <w:trPr>
          <w:trHeight w:val="250"/>
        </w:trPr>
        <w:tc>
          <w:tcPr>
            <w:tcW w:w="1180" w:type="dxa"/>
            <w:vAlign w:val="bottom"/>
          </w:tcPr>
          <w:p>
            <w:pPr>
              <w:jc w:val="right"/>
              <w:ind w:right="186"/>
              <w:spacing w:after="0"/>
              <w:rPr>
                <w:sz w:val="20"/>
                <w:szCs w:val="20"/>
                <w:color w:val="auto"/>
              </w:rPr>
            </w:pPr>
            <w:r>
              <w:rPr>
                <w:rFonts w:ascii="Arial" w:cs="Arial" w:eastAsia="Arial" w:hAnsi="Arial"/>
                <w:sz w:val="14"/>
                <w:szCs w:val="14"/>
                <w:color w:val="auto"/>
              </w:rPr>
              <w:t>251,277,515</w:t>
            </w:r>
          </w:p>
        </w:tc>
        <w:tc>
          <w:tcPr>
            <w:tcW w:w="1240" w:type="dxa"/>
            <w:vAlign w:val="bottom"/>
          </w:tcPr>
          <w:p>
            <w:pPr>
              <w:jc w:val="right"/>
              <w:ind w:right="186"/>
              <w:spacing w:after="0"/>
              <w:rPr>
                <w:sz w:val="20"/>
                <w:szCs w:val="20"/>
                <w:color w:val="auto"/>
              </w:rPr>
            </w:pPr>
            <w:r>
              <w:rPr>
                <w:rFonts w:ascii="Arial" w:cs="Arial" w:eastAsia="Arial" w:hAnsi="Arial"/>
                <w:sz w:val="14"/>
                <w:szCs w:val="14"/>
                <w:color w:val="auto"/>
              </w:rPr>
              <w:t>15,076,651</w:t>
            </w:r>
          </w:p>
        </w:tc>
        <w:tc>
          <w:tcPr>
            <w:tcW w:w="1340" w:type="dxa"/>
            <w:vAlign w:val="bottom"/>
          </w:tcPr>
          <w:p>
            <w:pPr>
              <w:jc w:val="right"/>
              <w:ind w:right="166"/>
              <w:spacing w:after="0"/>
              <w:rPr>
                <w:sz w:val="20"/>
                <w:szCs w:val="20"/>
                <w:color w:val="auto"/>
              </w:rPr>
            </w:pPr>
            <w:r>
              <w:rPr>
                <w:rFonts w:ascii="Arial" w:cs="Arial" w:eastAsia="Arial" w:hAnsi="Arial"/>
                <w:sz w:val="14"/>
                <w:szCs w:val="14"/>
                <w:color w:val="auto"/>
              </w:rPr>
              <w:t>807,928,139</w:t>
            </w:r>
          </w:p>
        </w:tc>
        <w:tc>
          <w:tcPr>
            <w:tcW w:w="1320" w:type="dxa"/>
            <w:vAlign w:val="bottom"/>
          </w:tcPr>
          <w:p>
            <w:pPr>
              <w:jc w:val="right"/>
              <w:ind w:right="126"/>
              <w:spacing w:after="0"/>
              <w:rPr>
                <w:sz w:val="20"/>
                <w:szCs w:val="20"/>
                <w:color w:val="auto"/>
              </w:rPr>
            </w:pPr>
            <w:r>
              <w:rPr>
                <w:rFonts w:ascii="Arial" w:cs="Arial" w:eastAsia="Arial" w:hAnsi="Arial"/>
                <w:sz w:val="14"/>
                <w:szCs w:val="14"/>
                <w:color w:val="auto"/>
              </w:rPr>
              <w:t>1,116,372,133</w:t>
            </w:r>
          </w:p>
        </w:tc>
        <w:tc>
          <w:tcPr>
            <w:tcW w:w="1500" w:type="dxa"/>
            <w:vAlign w:val="bottom"/>
          </w:tcPr>
          <w:p>
            <w:pPr>
              <w:jc w:val="right"/>
              <w:ind w:right="145"/>
              <w:spacing w:after="0"/>
              <w:rPr>
                <w:sz w:val="20"/>
                <w:szCs w:val="20"/>
                <w:color w:val="auto"/>
              </w:rPr>
            </w:pPr>
            <w:r>
              <w:rPr>
                <w:rFonts w:ascii="Arial" w:cs="Arial" w:eastAsia="Arial" w:hAnsi="Arial"/>
                <w:sz w:val="14"/>
                <w:szCs w:val="14"/>
                <w:color w:val="auto"/>
              </w:rPr>
              <w:t>(1,289,103)</w:t>
            </w:r>
          </w:p>
        </w:tc>
        <w:tc>
          <w:tcPr>
            <w:tcW w:w="1280" w:type="dxa"/>
            <w:vAlign w:val="bottom"/>
          </w:tcPr>
          <w:p>
            <w:pPr>
              <w:jc w:val="right"/>
              <w:ind w:right="86"/>
              <w:spacing w:after="0"/>
              <w:rPr>
                <w:sz w:val="20"/>
                <w:szCs w:val="20"/>
                <w:color w:val="auto"/>
              </w:rPr>
            </w:pPr>
            <w:r>
              <w:rPr>
                <w:rFonts w:ascii="Arial" w:cs="Arial" w:eastAsia="Arial" w:hAnsi="Arial"/>
                <w:sz w:val="14"/>
                <w:szCs w:val="14"/>
                <w:color w:val="auto"/>
              </w:rPr>
              <w:t>1,938,087,820</w:t>
            </w:r>
          </w:p>
        </w:tc>
      </w:tr>
      <w:tr>
        <w:trPr>
          <w:trHeight w:val="432"/>
        </w:trPr>
        <w:tc>
          <w:tcPr>
            <w:tcW w:w="1180" w:type="dxa"/>
            <w:vAlign w:val="bottom"/>
          </w:tcPr>
          <w:p>
            <w:pPr>
              <w:jc w:val="right"/>
              <w:ind w:right="186"/>
              <w:spacing w:after="0"/>
              <w:rPr>
                <w:sz w:val="20"/>
                <w:szCs w:val="20"/>
                <w:color w:val="auto"/>
              </w:rPr>
            </w:pPr>
            <w:r>
              <w:rPr>
                <w:rFonts w:ascii="Arial" w:cs="Arial" w:eastAsia="Arial" w:hAnsi="Arial"/>
                <w:sz w:val="14"/>
                <w:szCs w:val="14"/>
                <w:color w:val="auto"/>
              </w:rPr>
              <w:t>607,175</w:t>
            </w:r>
          </w:p>
        </w:tc>
        <w:tc>
          <w:tcPr>
            <w:tcW w:w="1240" w:type="dxa"/>
            <w:vAlign w:val="bottom"/>
          </w:tcPr>
          <w:p>
            <w:pPr>
              <w:jc w:val="right"/>
              <w:ind w:right="186"/>
              <w:spacing w:after="0"/>
              <w:rPr>
                <w:sz w:val="20"/>
                <w:szCs w:val="20"/>
                <w:color w:val="auto"/>
              </w:rPr>
            </w:pPr>
            <w:r>
              <w:rPr>
                <w:rFonts w:ascii="Arial" w:cs="Arial" w:eastAsia="Arial" w:hAnsi="Arial"/>
                <w:sz w:val="14"/>
                <w:szCs w:val="14"/>
                <w:color w:val="auto"/>
              </w:rPr>
              <w:t>36,431</w:t>
            </w:r>
          </w:p>
        </w:tc>
        <w:tc>
          <w:tcPr>
            <w:tcW w:w="1340" w:type="dxa"/>
            <w:vAlign w:val="bottom"/>
          </w:tcPr>
          <w:p>
            <w:pPr>
              <w:jc w:val="right"/>
              <w:ind w:right="166"/>
              <w:spacing w:after="0"/>
              <w:rPr>
                <w:sz w:val="20"/>
                <w:szCs w:val="20"/>
                <w:color w:val="auto"/>
              </w:rPr>
            </w:pPr>
            <w:r>
              <w:rPr>
                <w:rFonts w:ascii="Arial" w:cs="Arial" w:eastAsia="Arial" w:hAnsi="Arial"/>
                <w:sz w:val="14"/>
                <w:szCs w:val="14"/>
                <w:color w:val="auto"/>
              </w:rPr>
              <w:t>7,319,057</w:t>
            </w:r>
          </w:p>
        </w:tc>
        <w:tc>
          <w:tcPr>
            <w:tcW w:w="1320" w:type="dxa"/>
            <w:vAlign w:val="bottom"/>
          </w:tcPr>
          <w:p>
            <w:pPr>
              <w:jc w:val="right"/>
              <w:ind w:right="126"/>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85"/>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6"/>
              <w:spacing w:after="0"/>
              <w:rPr>
                <w:sz w:val="20"/>
                <w:szCs w:val="20"/>
                <w:color w:val="auto"/>
              </w:rPr>
            </w:pPr>
            <w:r>
              <w:rPr>
                <w:rFonts w:ascii="Arial" w:cs="Arial" w:eastAsia="Arial" w:hAnsi="Arial"/>
                <w:sz w:val="14"/>
                <w:szCs w:val="14"/>
                <w:color w:val="auto"/>
              </w:rPr>
              <w:t>7,355,488</w:t>
            </w:r>
          </w:p>
        </w:tc>
      </w:tr>
      <w:tr>
        <w:trPr>
          <w:trHeight w:val="243"/>
        </w:trPr>
        <w:tc>
          <w:tcPr>
            <w:tcW w:w="1180" w:type="dxa"/>
            <w:vAlign w:val="bottom"/>
          </w:tcPr>
          <w:p>
            <w:pPr>
              <w:jc w:val="right"/>
              <w:ind w:right="146"/>
              <w:spacing w:after="0"/>
              <w:rPr>
                <w:sz w:val="20"/>
                <w:szCs w:val="20"/>
                <w:color w:val="auto"/>
              </w:rPr>
            </w:pPr>
            <w:r>
              <w:rPr>
                <w:rFonts w:ascii="Arial" w:cs="Arial" w:eastAsia="Arial" w:hAnsi="Arial"/>
                <w:sz w:val="14"/>
                <w:szCs w:val="14"/>
                <w:color w:val="auto"/>
              </w:rPr>
              <w:t>(7,019,032)</w:t>
            </w:r>
          </w:p>
        </w:tc>
        <w:tc>
          <w:tcPr>
            <w:tcW w:w="1240" w:type="dxa"/>
            <w:vAlign w:val="bottom"/>
          </w:tcPr>
          <w:p>
            <w:pPr>
              <w:jc w:val="right"/>
              <w:ind w:right="146"/>
              <w:spacing w:after="0"/>
              <w:rPr>
                <w:sz w:val="20"/>
                <w:szCs w:val="20"/>
                <w:color w:val="auto"/>
              </w:rPr>
            </w:pPr>
            <w:r>
              <w:rPr>
                <w:rFonts w:ascii="Arial" w:cs="Arial" w:eastAsia="Arial" w:hAnsi="Arial"/>
                <w:sz w:val="14"/>
                <w:szCs w:val="14"/>
                <w:color w:val="auto"/>
              </w:rPr>
              <w:t>(421,143)</w:t>
            </w:r>
          </w:p>
        </w:tc>
        <w:tc>
          <w:tcPr>
            <w:tcW w:w="1340" w:type="dxa"/>
            <w:vAlign w:val="bottom"/>
          </w:tcPr>
          <w:p>
            <w:pPr>
              <w:jc w:val="right"/>
              <w:ind w:right="126"/>
              <w:spacing w:after="0"/>
              <w:rPr>
                <w:sz w:val="20"/>
                <w:szCs w:val="20"/>
                <w:color w:val="auto"/>
              </w:rPr>
            </w:pPr>
            <w:r>
              <w:rPr>
                <w:rFonts w:ascii="Arial" w:cs="Arial" w:eastAsia="Arial" w:hAnsi="Arial"/>
                <w:sz w:val="14"/>
                <w:szCs w:val="14"/>
                <w:color w:val="auto"/>
              </w:rPr>
              <w:t>(20,214,812)</w:t>
            </w:r>
          </w:p>
        </w:tc>
        <w:tc>
          <w:tcPr>
            <w:tcW w:w="1320" w:type="dxa"/>
            <w:vAlign w:val="bottom"/>
          </w:tcPr>
          <w:p>
            <w:pPr>
              <w:jc w:val="right"/>
              <w:ind w:right="86"/>
              <w:spacing w:after="0"/>
              <w:rPr>
                <w:sz w:val="20"/>
                <w:szCs w:val="20"/>
                <w:color w:val="auto"/>
              </w:rPr>
            </w:pPr>
            <w:r>
              <w:rPr>
                <w:rFonts w:ascii="Arial" w:cs="Arial" w:eastAsia="Arial" w:hAnsi="Arial"/>
                <w:sz w:val="14"/>
                <w:szCs w:val="14"/>
                <w:color w:val="auto"/>
              </w:rPr>
              <w:t>(158,183,629)</w:t>
            </w:r>
          </w:p>
        </w:tc>
        <w:tc>
          <w:tcPr>
            <w:tcW w:w="1500" w:type="dxa"/>
            <w:vAlign w:val="bottom"/>
          </w:tcPr>
          <w:p>
            <w:pPr>
              <w:jc w:val="right"/>
              <w:ind w:right="185"/>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6"/>
              <w:spacing w:after="0"/>
              <w:rPr>
                <w:sz w:val="20"/>
                <w:szCs w:val="20"/>
                <w:color w:val="auto"/>
              </w:rPr>
            </w:pPr>
            <w:r>
              <w:rPr>
                <w:rFonts w:ascii="Arial" w:cs="Arial" w:eastAsia="Arial" w:hAnsi="Arial"/>
                <w:sz w:val="14"/>
                <w:szCs w:val="14"/>
                <w:color w:val="auto"/>
              </w:rPr>
              <w:t>(178,819,584)</w:t>
            </w:r>
          </w:p>
        </w:tc>
      </w:tr>
      <w:tr>
        <w:trPr>
          <w:trHeight w:val="621"/>
        </w:trPr>
        <w:tc>
          <w:tcPr>
            <w:tcW w:w="1180" w:type="dxa"/>
            <w:vAlign w:val="bottom"/>
          </w:tcPr>
          <w:p>
            <w:pPr>
              <w:jc w:val="right"/>
              <w:ind w:right="186"/>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6"/>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66"/>
              <w:spacing w:after="0"/>
              <w:rPr>
                <w:sz w:val="20"/>
                <w:szCs w:val="20"/>
                <w:color w:val="auto"/>
              </w:rPr>
            </w:pPr>
            <w:r>
              <w:rPr>
                <w:rFonts w:ascii="Arial" w:cs="Arial" w:eastAsia="Arial" w:hAnsi="Arial"/>
                <w:sz w:val="14"/>
                <w:szCs w:val="14"/>
                <w:color w:val="auto"/>
              </w:rPr>
              <w:t>6,356,070</w:t>
            </w:r>
          </w:p>
        </w:tc>
        <w:tc>
          <w:tcPr>
            <w:tcW w:w="1320" w:type="dxa"/>
            <w:vAlign w:val="bottom"/>
          </w:tcPr>
          <w:p>
            <w:pPr>
              <w:jc w:val="right"/>
              <w:ind w:right="126"/>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85"/>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6"/>
              <w:spacing w:after="0"/>
              <w:rPr>
                <w:sz w:val="20"/>
                <w:szCs w:val="20"/>
                <w:color w:val="auto"/>
              </w:rPr>
            </w:pPr>
            <w:r>
              <w:rPr>
                <w:rFonts w:ascii="Arial" w:cs="Arial" w:eastAsia="Arial" w:hAnsi="Arial"/>
                <w:sz w:val="14"/>
                <w:szCs w:val="14"/>
                <w:color w:val="auto"/>
              </w:rPr>
              <w:t>6,356,070</w:t>
            </w:r>
          </w:p>
        </w:tc>
      </w:tr>
      <w:tr>
        <w:trPr>
          <w:trHeight w:val="243"/>
        </w:trPr>
        <w:tc>
          <w:tcPr>
            <w:tcW w:w="1180" w:type="dxa"/>
            <w:vAlign w:val="bottom"/>
          </w:tcPr>
          <w:p>
            <w:pPr>
              <w:jc w:val="right"/>
              <w:ind w:right="186"/>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6"/>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66"/>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6"/>
              <w:spacing w:after="0"/>
              <w:rPr>
                <w:sz w:val="20"/>
                <w:szCs w:val="20"/>
                <w:color w:val="auto"/>
              </w:rPr>
            </w:pPr>
            <w:r>
              <w:rPr>
                <w:rFonts w:ascii="Arial" w:cs="Arial" w:eastAsia="Arial" w:hAnsi="Arial"/>
                <w:sz w:val="14"/>
                <w:szCs w:val="14"/>
                <w:color w:val="auto"/>
              </w:rPr>
              <w:t>(29,383,859)</w:t>
            </w:r>
          </w:p>
        </w:tc>
        <w:tc>
          <w:tcPr>
            <w:tcW w:w="1500" w:type="dxa"/>
            <w:vAlign w:val="bottom"/>
          </w:tcPr>
          <w:p>
            <w:pPr>
              <w:jc w:val="right"/>
              <w:ind w:right="185"/>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6"/>
              <w:spacing w:after="0"/>
              <w:rPr>
                <w:sz w:val="20"/>
                <w:szCs w:val="20"/>
                <w:color w:val="auto"/>
              </w:rPr>
            </w:pPr>
            <w:r>
              <w:rPr>
                <w:rFonts w:ascii="Arial" w:cs="Arial" w:eastAsia="Arial" w:hAnsi="Arial"/>
                <w:sz w:val="14"/>
                <w:szCs w:val="14"/>
                <w:color w:val="auto"/>
              </w:rPr>
              <w:t>(29,383,859)</w:t>
            </w:r>
          </w:p>
        </w:tc>
      </w:tr>
      <w:tr>
        <w:trPr>
          <w:trHeight w:val="243"/>
        </w:trPr>
        <w:tc>
          <w:tcPr>
            <w:tcW w:w="1180" w:type="dxa"/>
            <w:vAlign w:val="bottom"/>
          </w:tcPr>
          <w:p>
            <w:pPr>
              <w:jc w:val="right"/>
              <w:ind w:right="186"/>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6"/>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66"/>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26"/>
              <w:spacing w:after="0"/>
              <w:rPr>
                <w:sz w:val="20"/>
                <w:szCs w:val="20"/>
                <w:color w:val="auto"/>
              </w:rPr>
            </w:pPr>
            <w:r>
              <w:rPr>
                <w:rFonts w:ascii="Arial" w:cs="Arial" w:eastAsia="Arial" w:hAnsi="Arial"/>
                <w:sz w:val="14"/>
                <w:szCs w:val="14"/>
                <w:color w:val="auto"/>
              </w:rPr>
              <w:t>89,505,801</w:t>
            </w:r>
          </w:p>
        </w:tc>
        <w:tc>
          <w:tcPr>
            <w:tcW w:w="1500" w:type="dxa"/>
            <w:vAlign w:val="bottom"/>
          </w:tcPr>
          <w:p>
            <w:pPr>
              <w:jc w:val="right"/>
              <w:ind w:right="185"/>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6"/>
              <w:spacing w:after="0"/>
              <w:rPr>
                <w:sz w:val="20"/>
                <w:szCs w:val="20"/>
                <w:color w:val="auto"/>
              </w:rPr>
            </w:pPr>
            <w:r>
              <w:rPr>
                <w:rFonts w:ascii="Arial" w:cs="Arial" w:eastAsia="Arial" w:hAnsi="Arial"/>
                <w:sz w:val="14"/>
                <w:szCs w:val="14"/>
                <w:color w:val="auto"/>
              </w:rPr>
              <w:t>89,505,801</w:t>
            </w:r>
          </w:p>
        </w:tc>
      </w:tr>
      <w:tr>
        <w:trPr>
          <w:trHeight w:val="249"/>
        </w:trPr>
        <w:tc>
          <w:tcPr>
            <w:tcW w:w="11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color w:val="auto"/>
              </w:rPr>
              <w:t>1,503,897</w:t>
            </w: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1,503,897</w:t>
            </w:r>
          </w:p>
        </w:tc>
      </w:tr>
      <w:tr>
        <w:trPr>
          <w:trHeight w:val="209"/>
        </w:trPr>
        <w:tc>
          <w:tcPr>
            <w:tcW w:w="11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244,865,658</w:t>
            </w:r>
          </w:p>
        </w:tc>
        <w:tc>
          <w:tcPr>
            <w:tcW w:w="124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14,691,939</w:t>
            </w:r>
          </w:p>
        </w:tc>
        <w:tc>
          <w:tcPr>
            <w:tcW w:w="134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color w:val="auto"/>
              </w:rPr>
              <w:t>801,388,454</w:t>
            </w: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color w:val="auto"/>
              </w:rPr>
              <w:t>1,018,310,446</w:t>
            </w:r>
          </w:p>
        </w:tc>
        <w:tc>
          <w:tcPr>
            <w:tcW w:w="150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color w:val="auto"/>
              </w:rPr>
              <w:t>214,794</w:t>
            </w: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1,834,605,633</w:t>
            </w:r>
          </w:p>
        </w:tc>
      </w:tr>
      <w:tr>
        <w:trPr>
          <w:trHeight w:val="27"/>
        </w:trPr>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-1619250</wp:posOffset>
            </wp:positionV>
            <wp:extent cx="709803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-1191260</wp:posOffset>
            </wp:positionV>
            <wp:extent cx="709803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-642620</wp:posOffset>
            </wp:positionV>
            <wp:extent cx="709803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-334010</wp:posOffset>
            </wp:positionV>
            <wp:extent cx="709803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-16510</wp:posOffset>
            </wp:positionV>
            <wp:extent cx="70980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160"/>
            <w:col w:w="7880"/>
          </w:cols>
          <w:pgMar w:left="380" w:top="1413" w:right="3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2019</w:t>
      </w:r>
    </w:p>
    <w:p>
      <w:pPr>
        <w:spacing w:after="0" w:line="5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Issuance of common stock from stock plan transactions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($0.115 per share)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MARCH 31, 2019</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jc w:val="right"/>
              <w:ind w:right="208"/>
              <w:spacing w:after="0"/>
              <w:rPr>
                <w:sz w:val="20"/>
                <w:szCs w:val="20"/>
                <w:color w:val="auto"/>
              </w:rPr>
            </w:pPr>
            <w:r>
              <w:rPr>
                <w:rFonts w:ascii="Arial" w:cs="Arial" w:eastAsia="Arial" w:hAnsi="Arial"/>
                <w:sz w:val="14"/>
                <w:szCs w:val="14"/>
                <w:color w:val="auto"/>
              </w:rPr>
              <w:t>259,328,613</w:t>
            </w: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15,559,717</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745,324,144</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1,102,468,137</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(1,600,338)</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1,861,751,660</w:t>
            </w:r>
          </w:p>
        </w:tc>
      </w:tr>
      <w:tr>
        <w:trPr>
          <w:trHeight w:val="432"/>
        </w:trPr>
        <w:tc>
          <w:tcPr>
            <w:tcW w:w="1200" w:type="dxa"/>
            <w:vAlign w:val="bottom"/>
          </w:tcPr>
          <w:p>
            <w:pPr>
              <w:jc w:val="right"/>
              <w:ind w:right="208"/>
              <w:spacing w:after="0"/>
              <w:rPr>
                <w:sz w:val="20"/>
                <w:szCs w:val="20"/>
                <w:color w:val="auto"/>
              </w:rPr>
            </w:pPr>
            <w:r>
              <w:rPr>
                <w:rFonts w:ascii="Arial" w:cs="Arial" w:eastAsia="Arial" w:hAnsi="Arial"/>
                <w:sz w:val="14"/>
                <w:szCs w:val="14"/>
                <w:color w:val="auto"/>
              </w:rPr>
              <w:t>980,670</w:t>
            </w: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58,840</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10,455,714</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10,514,554</w:t>
            </w:r>
          </w:p>
        </w:tc>
      </w:tr>
      <w:tr>
        <w:trPr>
          <w:trHeight w:val="243"/>
        </w:trPr>
        <w:tc>
          <w:tcPr>
            <w:tcW w:w="1200" w:type="dxa"/>
            <w:vAlign w:val="bottom"/>
          </w:tcPr>
          <w:p>
            <w:pPr>
              <w:jc w:val="right"/>
              <w:ind w:right="168"/>
              <w:spacing w:after="0"/>
              <w:rPr>
                <w:sz w:val="20"/>
                <w:szCs w:val="20"/>
                <w:color w:val="auto"/>
              </w:rPr>
            </w:pPr>
            <w:r>
              <w:rPr>
                <w:rFonts w:ascii="Arial" w:cs="Arial" w:eastAsia="Arial" w:hAnsi="Arial"/>
                <w:sz w:val="14"/>
                <w:szCs w:val="14"/>
                <w:color w:val="auto"/>
              </w:rPr>
              <w:t>(4,724,938)</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(283,496)</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(12,001,344)</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(83,982,388)</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(96,267,228)</w:t>
            </w:r>
          </w:p>
        </w:tc>
      </w:tr>
      <w:tr>
        <w:trPr>
          <w:trHeight w:val="621"/>
        </w:trPr>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4,862,947</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4,862,947</w:t>
            </w:r>
          </w:p>
        </w:tc>
      </w:tr>
      <w:tr>
        <w:trPr>
          <w:trHeight w:val="243"/>
        </w:trPr>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(29,392,200)</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(29,392,200)</w:t>
            </w:r>
          </w:p>
        </w:tc>
      </w:tr>
      <w:tr>
        <w:trPr>
          <w:trHeight w:val="243"/>
        </w:trPr>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104,280,411</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104,280,411</w:t>
            </w:r>
          </w:p>
        </w:tc>
      </w:tr>
      <w:tr>
        <w:trPr>
          <w:trHeight w:val="249"/>
        </w:trPr>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1,324,604</w:t>
            </w: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1,324,604</w:t>
            </w:r>
          </w:p>
        </w:tc>
      </w:tr>
      <w:tr>
        <w:trPr>
          <w:trHeight w:val="209"/>
        </w:trPr>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255,584,345</w:t>
            </w: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15,335,061</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748,641,461</w:t>
            </w:r>
          </w:p>
        </w:tc>
        <w:tc>
          <w:tcPr>
            <w:tcW w:w="15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1,093,373,960</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(275,734)</w:t>
            </w: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1,857,074,748</w:t>
            </w:r>
          </w:p>
        </w:tc>
      </w:tr>
      <w:tr>
        <w:trPr>
          <w:trHeight w:val="27"/>
        </w:trPr>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-1465580</wp:posOffset>
            </wp:positionV>
            <wp:extent cx="709803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27432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-1036955</wp:posOffset>
            </wp:positionV>
            <wp:extent cx="709803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39433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-488315</wp:posOffset>
            </wp:positionV>
            <wp:extent cx="709803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-179705</wp:posOffset>
            </wp:positionV>
            <wp:extent cx="709803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160"/>
            <w:col w:w="7880"/>
          </w:cols>
          <w:pgMar w:left="38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0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81915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413" w:right="339" w:bottom="1440" w:gutter="0" w:footer="0" w:header="0"/>
          <w:type w:val="continuous"/>
        </w:sectPr>
      </w:pPr>
    </w:p>
    <w:bookmarkStart w:id="6" w:name="page7"/>
    <w:bookmarkEnd w:id="6"/>
    <w:p>
      <w:pPr>
        <w:jc w:val="center"/>
        <w:ind w:left="480" w:right="2200"/>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Three Months Ended March 31, 2020 and 2019</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7"/>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89,505,801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104,280,411</w:t>
            </w:r>
          </w:p>
        </w:tc>
      </w:tr>
      <w:tr>
        <w:trPr>
          <w:trHeight w:val="250"/>
        </w:trPr>
        <w:tc>
          <w:tcPr>
            <w:tcW w:w="73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26,295,146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28,098,804</w:t>
            </w:r>
          </w:p>
        </w:tc>
      </w:tr>
      <w:tr>
        <w:trPr>
          <w:trHeight w:val="250"/>
        </w:trPr>
        <w:tc>
          <w:tcPr>
            <w:tcW w:w="7320" w:type="dxa"/>
            <w:vAlign w:val="bottom"/>
          </w:tcPr>
          <w:p>
            <w:pPr>
              <w:ind w:left="540"/>
              <w:spacing w:after="0"/>
              <w:rPr>
                <w:sz w:val="20"/>
                <w:szCs w:val="20"/>
                <w:color w:val="auto"/>
              </w:rPr>
            </w:pPr>
            <w:r>
              <w:rPr>
                <w:rFonts w:ascii="Arial" w:cs="Arial" w:eastAsia="Arial" w:hAnsi="Arial"/>
                <w:sz w:val="18"/>
                <w:szCs w:val="18"/>
                <w:color w:val="auto"/>
              </w:rPr>
              <w:t>(Gain) on disposal of assets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(151,910)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(43,338)</w:t>
            </w:r>
          </w:p>
        </w:tc>
      </w:tr>
      <w:tr>
        <w:trPr>
          <w:trHeight w:val="263"/>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disposal of assets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54,279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122,296</w:t>
            </w:r>
          </w:p>
        </w:tc>
      </w:tr>
      <w:tr>
        <w:trPr>
          <w:trHeight w:val="250"/>
        </w:trPr>
        <w:tc>
          <w:tcPr>
            <w:tcW w:w="7320" w:type="dxa"/>
            <w:vAlign w:val="bottom"/>
          </w:tcPr>
          <w:p>
            <w:pPr>
              <w:ind w:left="540"/>
              <w:spacing w:after="0"/>
              <w:rPr>
                <w:sz w:val="20"/>
                <w:szCs w:val="20"/>
                <w:color w:val="auto"/>
              </w:rPr>
            </w:pPr>
            <w:r>
              <w:rPr>
                <w:rFonts w:ascii="Arial" w:cs="Arial" w:eastAsia="Arial" w:hAnsi="Arial"/>
                <w:sz w:val="18"/>
                <w:szCs w:val="18"/>
                <w:color w:val="auto"/>
              </w:rPr>
              <w:t>(Gain) on sale of investments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(42,461)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(88,576)</w:t>
            </w:r>
          </w:p>
        </w:tc>
      </w:tr>
      <w:tr>
        <w:trPr>
          <w:trHeight w:val="263"/>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sale of investments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5,487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7320" w:type="dxa"/>
            <w:vAlign w:val="bottom"/>
          </w:tcPr>
          <w:p>
            <w:pPr>
              <w:ind w:left="540"/>
              <w:spacing w:after="0"/>
              <w:rPr>
                <w:sz w:val="20"/>
                <w:szCs w:val="20"/>
                <w:color w:val="auto"/>
              </w:rPr>
            </w:pPr>
            <w:r>
              <w:rPr>
                <w:rFonts w:ascii="Arial" w:cs="Arial" w:eastAsia="Arial" w:hAnsi="Arial"/>
                <w:sz w:val="18"/>
                <w:szCs w:val="18"/>
                <w:color w:val="auto"/>
              </w:rPr>
              <w:t>Change in deferred income taxes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(1,589,855)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(1,233,853)</w:t>
            </w:r>
          </w:p>
        </w:tc>
      </w:tr>
      <w:tr>
        <w:trPr>
          <w:trHeight w:val="235"/>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 expense related to employee stock options, employee</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purchases and restricted stock</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6,356,070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4,862,947</w:t>
            </w:r>
          </w:p>
        </w:tc>
      </w:tr>
      <w:tr>
        <w:trPr>
          <w:trHeight w:val="250"/>
        </w:trPr>
        <w:tc>
          <w:tcPr>
            <w:tcW w:w="7320" w:type="dxa"/>
            <w:vAlign w:val="bottom"/>
          </w:tcPr>
          <w:p>
            <w:pPr>
              <w:ind w:left="54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1,832,201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(30,728,497)</w:t>
            </w:r>
          </w:p>
        </w:tc>
      </w:tr>
      <w:tr>
        <w:trPr>
          <w:trHeight w:val="250"/>
        </w:trPr>
        <w:tc>
          <w:tcPr>
            <w:tcW w:w="732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(2,064,558)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(21,443)</w:t>
            </w:r>
          </w:p>
        </w:tc>
      </w:tr>
      <w:tr>
        <w:trPr>
          <w:trHeight w:val="263"/>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12,779,046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10,847,705</w:t>
            </w:r>
          </w:p>
        </w:tc>
      </w:tr>
      <w:tr>
        <w:trPr>
          <w:trHeight w:val="250"/>
        </w:trPr>
        <w:tc>
          <w:tcPr>
            <w:tcW w:w="732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2,545,274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(2,692,820)</w:t>
            </w:r>
          </w:p>
        </w:tc>
      </w:tr>
      <w:tr>
        <w:trPr>
          <w:trHeight w:val="257"/>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3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15,755,950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20,436,582</w:t>
            </w:r>
          </w:p>
        </w:tc>
      </w:tr>
      <w:tr>
        <w:trPr>
          <w:trHeight w:val="250"/>
        </w:trPr>
        <w:tc>
          <w:tcPr>
            <w:tcW w:w="73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151,280,470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133,840,218</w:t>
            </w:r>
          </w:p>
        </w:tc>
      </w:tr>
      <w:tr>
        <w:trPr>
          <w:trHeight w:val="162"/>
        </w:trPr>
        <w:tc>
          <w:tcPr>
            <w:tcW w:w="7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32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3,124,008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17,139,689</w:t>
            </w:r>
          </w:p>
        </w:tc>
      </w:tr>
      <w:tr>
        <w:trPr>
          <w:trHeight w:val="26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19,720,000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3,000,000</w:t>
            </w:r>
          </w:p>
        </w:tc>
      </w:tr>
      <w:tr>
        <w:trPr>
          <w:trHeight w:val="250"/>
        </w:trPr>
        <w:tc>
          <w:tcPr>
            <w:tcW w:w="732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(48,606,718)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(18,475,158)</w:t>
            </w:r>
          </w:p>
        </w:tc>
      </w:tr>
      <w:tr>
        <w:trPr>
          <w:trHeight w:val="26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and equipment additions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(15,574,443)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(16,844,301)</w:t>
            </w:r>
          </w:p>
        </w:tc>
      </w:tr>
      <w:tr>
        <w:trPr>
          <w:trHeight w:val="250"/>
        </w:trPr>
        <w:tc>
          <w:tcPr>
            <w:tcW w:w="7320" w:type="dxa"/>
            <w:vAlign w:val="bottom"/>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165,533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117,455</w:t>
            </w:r>
          </w:p>
        </w:tc>
      </w:tr>
      <w:tr>
        <w:trPr>
          <w:trHeight w:val="257"/>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other assets</w:t>
            </w:r>
          </w:p>
        </w:tc>
        <w:tc>
          <w:tcPr>
            <w:tcW w:w="3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(2,544,554)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164,215</w:t>
            </w:r>
          </w:p>
        </w:tc>
      </w:tr>
      <w:tr>
        <w:trPr>
          <w:trHeight w:val="250"/>
        </w:trPr>
        <w:tc>
          <w:tcPr>
            <w:tcW w:w="732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(43,716,174)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(14,898,100)</w:t>
            </w:r>
          </w:p>
        </w:tc>
      </w:tr>
      <w:tr>
        <w:trPr>
          <w:trHeight w:val="203"/>
        </w:trPr>
        <w:tc>
          <w:tcPr>
            <w:tcW w:w="7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borrowings on Credit Agreement</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75,000,000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7320" w:type="dxa"/>
            <w:vAlign w:val="bottom"/>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7,355,488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10,514,554</w:t>
            </w:r>
          </w:p>
        </w:tc>
      </w:tr>
      <w:tr>
        <w:trPr>
          <w:trHeight w:val="26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paid</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(28,896,894)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(28,526,146)</w:t>
            </w:r>
          </w:p>
        </w:tc>
      </w:tr>
      <w:tr>
        <w:trPr>
          <w:trHeight w:val="250"/>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(178,819,584)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(96,267,229)</w:t>
            </w:r>
          </w:p>
        </w:tc>
      </w:tr>
      <w:tr>
        <w:trPr>
          <w:trHeight w:val="250"/>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(125,360,990)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(114,278,821)</w:t>
            </w:r>
          </w:p>
        </w:tc>
      </w:tr>
      <w:tr>
        <w:trPr>
          <w:trHeight w:val="203"/>
        </w:trPr>
        <w:tc>
          <w:tcPr>
            <w:tcW w:w="7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7"/>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(17,796,694)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4,663,297</w:t>
            </w:r>
          </w:p>
        </w:tc>
      </w:tr>
      <w:tr>
        <w:trPr>
          <w:trHeight w:val="230"/>
        </w:trPr>
        <w:tc>
          <w:tcPr>
            <w:tcW w:w="7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296,321,622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217,025,278</w:t>
            </w:r>
          </w:p>
        </w:tc>
      </w:tr>
      <w:tr>
        <w:trPr>
          <w:trHeight w:val="256"/>
        </w:trPr>
        <w:tc>
          <w:tcPr>
            <w:tcW w:w="7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278,524,928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221,688,575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52"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2019 annual report on Form 10-K. In the opinion of management, the accompanying unaudited condensed consolidated financial statements contain all adjustments, consisting of only a normal and recurring nature, necessary to present fairly the financial position of the Company as of March 31, 2020, and the results of operations and cash flows for the interim periods presented.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(2) Adoption of New Accounting Pronouncements</w:t>
      </w:r>
    </w:p>
    <w:p>
      <w:pPr>
        <w:spacing w:after="0" w:line="234" w:lineRule="exact"/>
        <w:rPr>
          <w:sz w:val="20"/>
          <w:szCs w:val="20"/>
          <w:color w:val="auto"/>
        </w:rPr>
      </w:pPr>
    </w:p>
    <w:p>
      <w:pPr>
        <w:ind w:left="660" w:right="40"/>
        <w:spacing w:after="0" w:line="253" w:lineRule="auto"/>
        <w:rPr>
          <w:sz w:val="20"/>
          <w:szCs w:val="20"/>
          <w:color w:val="auto"/>
        </w:rPr>
      </w:pPr>
      <w:r>
        <w:rPr>
          <w:rFonts w:ascii="Arial" w:cs="Arial" w:eastAsia="Arial" w:hAnsi="Arial"/>
          <w:sz w:val="18"/>
          <w:szCs w:val="18"/>
          <w:color w:val="auto"/>
        </w:rPr>
        <w:t xml:space="preserve">Effective January 1, 2020, the Company adopted Accounting Standards Update ("ASU")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w:t>
      </w:r>
      <w:r>
        <w:rPr>
          <w:rFonts w:ascii="Arial" w:cs="Arial" w:eastAsia="Arial" w:hAnsi="Arial"/>
          <w:sz w:val="18"/>
          <w:szCs w:val="18"/>
          <w:color w:val="auto"/>
        </w:rPr>
        <w:t>s. This guidance must be adopted using a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retrospective transition method through a cumulative-effect adjustment to retained earnings in the period of adoption. Based on the insignificant impact of this ASU on the Company's financial statements, a cumulative-effect adjustment to retained earnings was not deemed necessary. The standard requires a change in the measurement approach for credit losses on financial assets measured on an amortized cost basis from an incurred loss method to an expected loss method, thereby eliminating the requirement that a credit loss be considered probable to impact the valuation of a financial asset measured on an amortized cost basis. The standard requires the measurement of expected credit losses to be based on relevant information about past events, including historical experience, current conditions, and a reasonable and supportable forecast that affects the collectability of the related financial asset. It also modifies the impairment model for available-for-sale debt securities and provides a simplified accounting model for purchased financial assets with credit deterioration since their origination. The adoption of this standard did not have a material impact on the Company's consolidated balance sheet, consolidated income statement, or consolidated statement of cash flows.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(3) Goodwill and Other Intangible Assets</w:t>
      </w:r>
    </w:p>
    <w:p>
      <w:pPr>
        <w:spacing w:after="0" w:line="252" w:lineRule="exact"/>
        <w:rPr>
          <w:sz w:val="20"/>
          <w:szCs w:val="20"/>
          <w:color w:val="auto"/>
        </w:rPr>
      </w:pPr>
    </w:p>
    <w:p>
      <w:pPr>
        <w:jc w:val="both"/>
        <w:ind w:left="660"/>
        <w:spacing w:after="0" w:line="229"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The carrying value of Goodwill as of both March 31, 2020 and December 31, 2019 was $307.4 million.</w:t>
      </w:r>
    </w:p>
    <w:p>
      <w:pPr>
        <w:spacing w:after="0" w:line="244"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COVID-19 was considered in the most recently completed quarter, but did not indicate the need for interim impairment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w:t>
      </w:r>
    </w:p>
    <w:p>
      <w:pPr>
        <w:spacing w:after="0" w:line="5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Gross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Net</w:t>
            </w:r>
          </w:p>
        </w:tc>
        <w:tc>
          <w:tcPr>
            <w:tcW w:w="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5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37,496,822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(23,003,239)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14,493,583</w:t>
            </w: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tcPr>
          <w:p>
            <w:pPr>
              <w:ind w:left="12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52,000,000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60" w:type="dxa"/>
            <w:vAlign w:val="bottom"/>
          </w:tcPr>
          <w:p>
            <w:pPr>
              <w:spacing w:after="0"/>
              <w:rPr>
                <w:sz w:val="22"/>
                <w:szCs w:val="22"/>
                <w:color w:val="auto"/>
              </w:rPr>
            </w:pPr>
          </w:p>
        </w:tc>
        <w:tc>
          <w:tcPr>
            <w:tcW w:w="1120" w:type="dxa"/>
            <w:vAlign w:val="bottom"/>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180,000,000</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(97,500,000)</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50"/>
        </w:trPr>
        <w:tc>
          <w:tcPr>
            <w:tcW w:w="4080" w:type="dxa"/>
            <w:vAlign w:val="bottom"/>
          </w:tcPr>
          <w:p>
            <w:pPr>
              <w:ind w:left="220"/>
              <w:spacing w:after="0"/>
              <w:rPr>
                <w:sz w:val="20"/>
                <w:szCs w:val="20"/>
                <w:color w:val="auto"/>
              </w:rPr>
            </w:pPr>
            <w:r>
              <w:rPr>
                <w:rFonts w:ascii="Arial" w:cs="Arial" w:eastAsia="Arial" w:hAnsi="Arial"/>
                <w:sz w:val="18"/>
                <w:szCs w:val="18"/>
                <w:color w:val="auto"/>
              </w:rPr>
              <w:t>Existing Customer Platforms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43,000,000</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(27,950,000)</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15,050,000</w:t>
            </w:r>
          </w:p>
        </w:tc>
        <w:tc>
          <w:tcPr>
            <w:tcW w:w="60" w:type="dxa"/>
            <w:vAlign w:val="bottom"/>
          </w:tcPr>
          <w:p>
            <w:pPr>
              <w:spacing w:after="0"/>
              <w:rPr>
                <w:sz w:val="21"/>
                <w:szCs w:val="21"/>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Exclusive Licensing Agreement</w:t>
            </w:r>
          </w:p>
        </w:tc>
        <w:tc>
          <w:tcPr>
            <w:tcW w:w="1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96,000,000</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60" w:type="dxa"/>
            <w:vAlign w:val="bottom"/>
            <w:tcBorders>
              <w:bottom w:val="single" w:sz="8" w:color="auto"/>
            </w:tcBorders>
            <w:shd w:val="clear" w:color="auto" w:fill="CCEEFF"/>
          </w:tcPr>
          <w:p>
            <w:pPr>
              <w:spacing w:after="0"/>
              <w:rPr>
                <w:sz w:val="22"/>
                <w:szCs w:val="22"/>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371,000,000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(125,450,000)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245,550,000</w:t>
            </w:r>
          </w:p>
        </w:tc>
        <w:tc>
          <w:tcPr>
            <w:tcW w:w="60" w:type="dxa"/>
            <w:vAlign w:val="bottom"/>
            <w:tcBorders>
              <w:bottom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408,496,822</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(148,453,239)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260,043,583</w:t>
            </w:r>
          </w:p>
        </w:tc>
        <w:tc>
          <w:tcPr>
            <w:tcW w:w="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80" w:type="dxa"/>
            <w:vAlign w:val="bottom"/>
            <w:vMerge w:val="restart"/>
          </w:tcPr>
          <w:p>
            <w:pPr>
              <w:spacing w:after="0"/>
              <w:rPr>
                <w:sz w:val="20"/>
                <w:szCs w:val="20"/>
                <w:color w:val="auto"/>
              </w:rPr>
            </w:pPr>
            <w:r>
              <w:rPr>
                <w:rFonts w:ascii="Arial" w:cs="Arial" w:eastAsia="Arial" w:hAnsi="Arial"/>
                <w:sz w:val="18"/>
                <w:szCs w:val="18"/>
                <w:color w:val="auto"/>
              </w:rPr>
              <w:t>As of December 31, 2019:</w:t>
            </w: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4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8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24"/>
                <w:szCs w:val="2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24"/>
                <w:szCs w:val="24"/>
                <w:color w:val="auto"/>
              </w:rPr>
            </w:pPr>
          </w:p>
        </w:tc>
        <w:tc>
          <w:tcPr>
            <w:tcW w:w="122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75"/>
        </w:trPr>
        <w:tc>
          <w:tcPr>
            <w:tcW w:w="40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37,328,963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(22,491,010)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14,837,953</w:t>
            </w:r>
          </w:p>
        </w:tc>
        <w:tc>
          <w:tcPr>
            <w:tcW w:w="6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52,000,000</w:t>
            </w:r>
          </w:p>
        </w:tc>
        <w:tc>
          <w:tcPr>
            <w:tcW w:w="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(93,750,000)</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86,250,000</w:t>
            </w: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50"/>
        </w:trPr>
        <w:tc>
          <w:tcPr>
            <w:tcW w:w="4080" w:type="dxa"/>
            <w:vAlign w:val="bottom"/>
          </w:tcPr>
          <w:p>
            <w:pPr>
              <w:ind w:left="220"/>
              <w:spacing w:after="0"/>
              <w:rPr>
                <w:sz w:val="20"/>
                <w:szCs w:val="20"/>
                <w:color w:val="auto"/>
              </w:rPr>
            </w:pPr>
            <w:r>
              <w:rPr>
                <w:rFonts w:ascii="Arial" w:cs="Arial" w:eastAsia="Arial" w:hAnsi="Arial"/>
                <w:sz w:val="18"/>
                <w:szCs w:val="18"/>
                <w:color w:val="auto"/>
              </w:rPr>
              <w:t>Existing Customer Platforms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43,000,000</w:t>
            </w:r>
          </w:p>
        </w:tc>
        <w:tc>
          <w:tcPr>
            <w:tcW w:w="3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(26,875,000)</w:t>
            </w:r>
          </w:p>
        </w:tc>
        <w:tc>
          <w:tcPr>
            <w:tcW w:w="24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16,125,000</w:t>
            </w:r>
          </w:p>
        </w:tc>
        <w:tc>
          <w:tcPr>
            <w:tcW w:w="60" w:type="dxa"/>
            <w:vAlign w:val="bottom"/>
          </w:tcPr>
          <w:p>
            <w:pPr>
              <w:spacing w:after="0"/>
              <w:rPr>
                <w:sz w:val="21"/>
                <w:szCs w:val="21"/>
                <w:color w:val="auto"/>
              </w:rPr>
            </w:pPr>
          </w:p>
        </w:tc>
        <w:tc>
          <w:tcPr>
            <w:tcW w:w="1120" w:type="dxa"/>
            <w:vAlign w:val="bottom"/>
          </w:tcPr>
          <w:p>
            <w:pPr>
              <w:ind w:left="18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96,000,000</w:t>
            </w: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371,000,000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(120,625,000)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250,375,000</w:t>
            </w: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408,328,963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(143,116,010)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265,212,953</w:t>
            </w: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Amortization expense on patents and intangible assets was approximately $5.6 million during the three months ended March 31, 2020, compared to approximately $5.6 million for the same quarter ended March 31, 2019.</w:t>
      </w:r>
    </w:p>
    <w:p>
      <w:pPr>
        <w:spacing w:after="0" w:line="22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Excluding the impact of any future acquisitions, the Company estimates amortization expense for each of the years ended December 31, 2020 and 2021 to be approximately $22 million annually, for the year ended December 31, 2022 to be approximately $21 million, for the year ended December 31, 2023 to be approximately $19 million, and for the year ended December 31, 2024 to be approximately $16 million.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(4) Investments</w:t>
      </w:r>
    </w:p>
    <w:p>
      <w:pPr>
        <w:spacing w:after="0" w:line="140"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also periodically makes technology investments in certain non-consolidated third-parties.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Equity investments that do not have readily determinable fair values, and where the Company has not identified any observable events that would cause adjustment of the valuation to date, such equity investments are held at cost. These technology investments totaled approximately $9.0 million as of March 31, 2020 and December 31, 2019. These investments are classified within Long-Term Investments in the consolidated balance sheet.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March 31, 2020 and December 31, 2019:</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7"/>
          </w:tcPr>
          <w:p>
            <w:pPr>
              <w:jc w:val="center"/>
              <w:ind w:right="7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5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tcPr>
          <w:p>
            <w:pPr>
              <w:jc w:val="center"/>
              <w:ind w:right="135"/>
              <w:spacing w:after="0" w:line="148"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1"/>
                <w:szCs w:val="11"/>
                <w:color w:val="auto"/>
              </w:rPr>
            </w:pPr>
          </w:p>
        </w:tc>
        <w:tc>
          <w:tcPr>
            <w:tcW w:w="15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6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1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278,524,928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278,524,928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50,099,795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50,099,795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29,122,402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29,122,402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46,903,815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46,903,815</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2,084,121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2,084,121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2,867,906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2,867,906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Backed Securities</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43,628,702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43,628,702</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spacing w:after="0"/>
              <w:rPr>
                <w:sz w:val="21"/>
                <w:szCs w:val="21"/>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5,086,858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5,086,858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20,397,525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20,397,525</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40" w:type="dxa"/>
            <w:vAlign w:val="bottom"/>
          </w:tcPr>
          <w:p>
            <w:pPr>
              <w:spacing w:after="0"/>
              <w:rPr>
                <w:sz w:val="21"/>
                <w:szCs w:val="21"/>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7,308,584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7,308,584</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92,358,822</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92,358,822</w:t>
            </w:r>
          </w:p>
        </w:tc>
        <w:tc>
          <w:tcPr>
            <w:tcW w:w="1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578,383,458</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336,579,487</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241,803,971</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81915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type w:val="continuous"/>
        </w:sectPr>
      </w:pPr>
    </w:p>
    <w:bookmarkStart w:id="10" w:name="page11"/>
    <w:bookmarkEnd w:id="1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40" w:type="dxa"/>
            <w:vAlign w:val="bottom"/>
          </w:tcPr>
          <w:p>
            <w:pPr>
              <w:jc w:val="center"/>
              <w:ind w:right="115"/>
              <w:spacing w:after="0" w:line="148"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4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296,321,622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296,321,622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50,099,795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50,099,795</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29,219,685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29,219,685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58,432,823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58,432,823</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2,631,750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2,631,750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25,791,029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25,791,029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3,557,798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3,557,798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22,815,998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22,815,998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Governmental Securities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6,088,190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6,088,190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72,638,690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72,638,690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1"/>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567,597,380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352,610,965</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214,986,415</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market value of investment securities are shown as of March 31, 2020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3"/>
        </w:trPr>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5"/>
                <w:szCs w:val="15"/>
                <w:color w:val="auto"/>
              </w:rPr>
            </w:pPr>
          </w:p>
        </w:tc>
        <w:tc>
          <w:tcPr>
            <w:tcW w:w="148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50"/>
        </w:trPr>
        <w:tc>
          <w:tcPr>
            <w:tcW w:w="338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50,099,795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50,099,795</w:t>
            </w:r>
          </w:p>
        </w:tc>
      </w:tr>
      <w:tr>
        <w:trPr>
          <w:trHeight w:val="263"/>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29,047,745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84,838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(10,181)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29,122,402</w:t>
            </w:r>
          </w:p>
        </w:tc>
      </w:tr>
      <w:tr>
        <w:trPr>
          <w:trHeight w:val="250"/>
        </w:trPr>
        <w:tc>
          <w:tcPr>
            <w:tcW w:w="338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46,564,204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339,611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46,903,815</w:t>
            </w:r>
          </w:p>
        </w:tc>
      </w:tr>
      <w:tr>
        <w:trPr>
          <w:trHeight w:val="263"/>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2,079,998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4,123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2,084,121</w:t>
            </w:r>
          </w:p>
        </w:tc>
      </w:tr>
      <w:tr>
        <w:trPr>
          <w:trHeight w:val="250"/>
        </w:trPr>
        <w:tc>
          <w:tcPr>
            <w:tcW w:w="3380" w:type="dxa"/>
            <w:vAlign w:val="bottom"/>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2,867,906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2,867,906</w:t>
            </w:r>
          </w:p>
        </w:tc>
      </w:tr>
      <w:tr>
        <w:trPr>
          <w:trHeight w:val="26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3380" w:type="dxa"/>
            <w:vAlign w:val="bottom"/>
          </w:tcPr>
          <w:p>
            <w:pPr>
              <w:ind w:left="220"/>
              <w:spacing w:after="0"/>
              <w:rPr>
                <w:sz w:val="20"/>
                <w:szCs w:val="20"/>
                <w:color w:val="auto"/>
              </w:rPr>
            </w:pPr>
            <w:r>
              <w:rPr>
                <w:rFonts w:ascii="Arial" w:cs="Arial" w:eastAsia="Arial" w:hAnsi="Arial"/>
                <w:sz w:val="18"/>
                <w:szCs w:val="18"/>
                <w:color w:val="auto"/>
              </w:rPr>
              <w:t>Asset Backed Securities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43,046,638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988,808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(406,744)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43,628,702</w:t>
            </w:r>
          </w:p>
        </w:tc>
      </w:tr>
      <w:tr>
        <w:trPr>
          <w:trHeight w:val="263"/>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5,007,454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87,617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5,086,858</w:t>
            </w:r>
          </w:p>
        </w:tc>
      </w:tr>
      <w:tr>
        <w:trPr>
          <w:trHeight w:val="250"/>
        </w:trPr>
        <w:tc>
          <w:tcPr>
            <w:tcW w:w="33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20,271,904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330,691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(205,070)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20,397,525</w:t>
            </w:r>
          </w:p>
        </w:tc>
      </w:tr>
      <w:tr>
        <w:trPr>
          <w:trHeight w:val="263"/>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7,150,365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158,219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7,308,584</w:t>
            </w:r>
          </w:p>
        </w:tc>
      </w:tr>
      <w:tr>
        <w:trPr>
          <w:trHeight w:val="250"/>
        </w:trPr>
        <w:tc>
          <w:tcPr>
            <w:tcW w:w="3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Municipal Bonds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89,556,097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2,905,405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(102,680)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92,358,822</w:t>
            </w:r>
          </w:p>
        </w:tc>
      </w:tr>
      <w:tr>
        <w:trPr>
          <w:trHeight w:val="281"/>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295,692,106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4,899,312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(732,888)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299,858,530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81915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type w:val="continuous"/>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4"/>
                <w:szCs w:val="14"/>
                <w:b w:val="1"/>
                <w:bCs w:val="1"/>
                <w:color w:val="auto"/>
              </w:rPr>
              <w:t>Market Value</w:t>
            </w:r>
          </w:p>
        </w:tc>
      </w:tr>
      <w:tr>
        <w:trPr>
          <w:trHeight w:val="21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50"/>
        </w:trPr>
        <w:tc>
          <w:tcPr>
            <w:tcW w:w="376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50,099,795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50,099,795</w:t>
            </w:r>
          </w:p>
        </w:tc>
      </w:tr>
      <w:tr>
        <w:trPr>
          <w:trHeight w:val="263"/>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29,025,624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194,061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29,219,685</w:t>
            </w:r>
          </w:p>
        </w:tc>
      </w:tr>
      <w:tr>
        <w:trPr>
          <w:trHeight w:val="250"/>
        </w:trPr>
        <w:tc>
          <w:tcPr>
            <w:tcW w:w="376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58,343,911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99,917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58,432,823</w:t>
            </w:r>
          </w:p>
        </w:tc>
      </w:tr>
      <w:tr>
        <w:trPr>
          <w:trHeight w:val="263"/>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2,631,750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2,631,750</w:t>
            </w:r>
          </w:p>
        </w:tc>
      </w:tr>
      <w:tr>
        <w:trPr>
          <w:trHeight w:val="250"/>
        </w:trPr>
        <w:tc>
          <w:tcPr>
            <w:tcW w:w="37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25,971,156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(180,127)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25,791,029</w:t>
            </w:r>
          </w:p>
        </w:tc>
      </w:tr>
      <w:tr>
        <w:trPr>
          <w:trHeight w:val="250"/>
        </w:trPr>
        <w:tc>
          <w:tcPr>
            <w:tcW w:w="376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58,808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3,557,798</w:t>
            </w:r>
          </w:p>
        </w:tc>
      </w:tr>
      <w:tr>
        <w:trPr>
          <w:trHeight w:val="263"/>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22,306,130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509,868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22,815,998</w:t>
            </w:r>
          </w:p>
        </w:tc>
      </w:tr>
      <w:tr>
        <w:trPr>
          <w:trHeight w:val="250"/>
        </w:trPr>
        <w:tc>
          <w:tcPr>
            <w:tcW w:w="376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6,012,705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75,485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6,088,190</w:t>
            </w:r>
          </w:p>
        </w:tc>
      </w:tr>
      <w:tr>
        <w:trPr>
          <w:trHeight w:val="257"/>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71,997,996</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1,036,116</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(395,422)</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72,638,690</w:t>
            </w:r>
          </w:p>
        </w:tc>
      </w:tr>
      <w:tr>
        <w:trPr>
          <w:trHeight w:val="257"/>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269,889,067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1,974,255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(587,564)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271,275,758</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March 31, 2020,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200" w:type="dxa"/>
            <w:vAlign w:val="bottom"/>
          </w:tcPr>
          <w:p>
            <w:pPr>
              <w:spacing w:after="0"/>
              <w:rPr>
                <w:sz w:val="17"/>
                <w:szCs w:val="17"/>
                <w:color w:val="auto"/>
              </w:rPr>
            </w:pPr>
          </w:p>
        </w:tc>
        <w:tc>
          <w:tcPr>
            <w:tcW w:w="1760" w:type="dxa"/>
            <w:vAlign w:val="bottom"/>
          </w:tcPr>
          <w:p>
            <w:pPr>
              <w:jc w:val="right"/>
              <w:ind w:right="175"/>
              <w:spacing w:after="0"/>
              <w:rPr>
                <w:sz w:val="20"/>
                <w:szCs w:val="20"/>
                <w:color w:val="auto"/>
              </w:rPr>
            </w:pPr>
            <w:r>
              <w:rPr>
                <w:rFonts w:ascii="Arial" w:cs="Arial" w:eastAsia="Arial" w:hAnsi="Arial"/>
                <w:sz w:val="14"/>
                <w:szCs w:val="14"/>
                <w:b w:val="1"/>
                <w:bCs w:val="1"/>
                <w:color w:val="auto"/>
              </w:rPr>
              <w:t>Aggregate Fair Value</w:t>
            </w:r>
          </w:p>
        </w:tc>
      </w:tr>
      <w:tr>
        <w:trPr>
          <w:trHeight w:val="25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732,888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36,159,819</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8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60" w:type="dxa"/>
            <w:vAlign w:val="bottom"/>
          </w:tcPr>
          <w:p>
            <w:pPr>
              <w:jc w:val="right"/>
              <w:ind w:right="55"/>
              <w:spacing w:after="0"/>
              <w:rPr>
                <w:sz w:val="20"/>
                <w:szCs w:val="20"/>
                <w:color w:val="auto"/>
              </w:rPr>
            </w:pPr>
            <w:r>
              <w:rPr>
                <w:rFonts w:ascii="Arial" w:cs="Arial" w:eastAsia="Arial" w:hAnsi="Arial"/>
                <w:sz w:val="18"/>
                <w:szCs w:val="18"/>
                <w:color w:val="auto"/>
              </w:rPr>
              <w:t>—</w:t>
            </w:r>
          </w:p>
        </w:tc>
      </w:tr>
      <w:tr>
        <w:trPr>
          <w:trHeight w:val="275"/>
        </w:trPr>
        <w:tc>
          <w:tcPr>
            <w:tcW w:w="5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732,888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36,159,819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2019,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200" w:type="dxa"/>
            <w:vAlign w:val="bottom"/>
          </w:tcPr>
          <w:p>
            <w:pPr>
              <w:spacing w:after="0"/>
              <w:rPr>
                <w:sz w:val="16"/>
                <w:szCs w:val="16"/>
                <w:color w:val="auto"/>
              </w:rPr>
            </w:pPr>
          </w:p>
        </w:tc>
        <w:tc>
          <w:tcPr>
            <w:tcW w:w="1760" w:type="dxa"/>
            <w:vAlign w:val="bottom"/>
          </w:tcPr>
          <w:p>
            <w:pPr>
              <w:jc w:val="right"/>
              <w:ind w:right="175"/>
              <w:spacing w:after="0"/>
              <w:rPr>
                <w:sz w:val="20"/>
                <w:szCs w:val="20"/>
                <w:color w:val="auto"/>
              </w:rPr>
            </w:pPr>
            <w:r>
              <w:rPr>
                <w:rFonts w:ascii="Arial" w:cs="Arial" w:eastAsia="Arial" w:hAnsi="Arial"/>
                <w:sz w:val="14"/>
                <w:szCs w:val="14"/>
                <w:b w:val="1"/>
                <w:bCs w:val="1"/>
                <w:color w:val="auto"/>
              </w:rPr>
              <w:t>Aggregate Fair Value</w:t>
            </w:r>
          </w:p>
        </w:tc>
      </w:tr>
      <w:tr>
        <w:trPr>
          <w:trHeight w:val="25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587,564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90,721,081</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8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60" w:type="dxa"/>
            <w:vAlign w:val="bottom"/>
          </w:tcPr>
          <w:p>
            <w:pPr>
              <w:jc w:val="right"/>
              <w:ind w:right="55"/>
              <w:spacing w:after="0"/>
              <w:rPr>
                <w:sz w:val="20"/>
                <w:szCs w:val="20"/>
                <w:color w:val="auto"/>
              </w:rPr>
            </w:pPr>
            <w:r>
              <w:rPr>
                <w:rFonts w:ascii="Arial" w:cs="Arial" w:eastAsia="Arial" w:hAnsi="Arial"/>
                <w:sz w:val="18"/>
                <w:szCs w:val="18"/>
                <w:color w:val="auto"/>
              </w:rPr>
              <w:t>—</w:t>
            </w:r>
          </w:p>
        </w:tc>
      </w:tr>
      <w:tr>
        <w:trPr>
          <w:trHeight w:val="275"/>
        </w:trPr>
        <w:tc>
          <w:tcPr>
            <w:tcW w:w="5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587,564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90,721,081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Effective January 1, 2020, the Company adopted Accounting Standards Update ("ASU")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w:t>
      </w:r>
      <w:r>
        <w:rPr>
          <w:rFonts w:ascii="Arial" w:cs="Arial" w:eastAsia="Arial" w:hAnsi="Arial"/>
          <w:sz w:val="18"/>
          <w:szCs w:val="18"/>
          <w:color w:val="auto"/>
        </w:rPr>
        <w:t>s. The guidance modifies the impairment model for</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available-for-sale debt securities and 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the amortized cost basis has been recovered.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Fixed income securities as of March 31, 2020 have contractual maturities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128,210,132</w:t>
            </w:r>
          </w:p>
        </w:tc>
      </w:tr>
      <w:tr>
        <w:trPr>
          <w:trHeight w:val="250"/>
        </w:trPr>
        <w:tc>
          <w:tcPr>
            <w:tcW w:w="7900" w:type="dxa"/>
            <w:vAlign w:val="bottom"/>
          </w:tcPr>
          <w:p>
            <w:pPr>
              <w:ind w:left="20"/>
              <w:spacing w:after="0"/>
              <w:rPr>
                <w:sz w:val="20"/>
                <w:szCs w:val="20"/>
                <w:color w:val="auto"/>
              </w:rPr>
            </w:pPr>
            <w:r>
              <w:rPr>
                <w:rFonts w:ascii="Arial" w:cs="Arial" w:eastAsia="Arial" w:hAnsi="Arial"/>
                <w:sz w:val="18"/>
                <w:szCs w:val="18"/>
                <w:color w:val="auto"/>
              </w:rPr>
              <w:t>Due between one and five years</w:t>
            </w:r>
          </w:p>
        </w:tc>
        <w:tc>
          <w:tcPr>
            <w:tcW w:w="4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52,232,126</w:t>
            </w:r>
          </w:p>
        </w:tc>
      </w:tr>
      <w:tr>
        <w:trPr>
          <w:trHeight w:val="257"/>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4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116,548,364</w:t>
            </w:r>
          </w:p>
        </w:tc>
      </w:tr>
      <w:tr>
        <w:trPr>
          <w:trHeight w:val="250"/>
        </w:trPr>
        <w:tc>
          <w:tcPr>
            <w:tcW w:w="79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296,990,622</w:t>
            </w:r>
          </w:p>
        </w:tc>
      </w:tr>
      <w:tr>
        <w:trPr>
          <w:trHeight w:val="27"/>
        </w:trPr>
        <w:tc>
          <w:tcPr>
            <w:tcW w:w="79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580"/>
          </w:cols>
          <w:pgMar w:left="98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81915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(5) Inventories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7"/>
                <w:szCs w:val="17"/>
                <w:color w:val="auto"/>
              </w:rPr>
            </w:pPr>
          </w:p>
        </w:tc>
        <w:tc>
          <w:tcPr>
            <w:tcW w:w="1520" w:type="dxa"/>
            <w:vAlign w:val="bottom"/>
          </w:tcPr>
          <w:p>
            <w:pPr>
              <w:jc w:val="right"/>
              <w:ind w:right="94"/>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BFE4FF"/>
          </w:tcPr>
          <w:p>
            <w:pPr>
              <w:jc w:val="right"/>
              <w:ind w:right="54"/>
              <w:spacing w:after="0"/>
              <w:rPr>
                <w:sz w:val="20"/>
                <w:szCs w:val="20"/>
                <w:color w:val="auto"/>
              </w:rPr>
            </w:pPr>
            <w:r>
              <w:rPr>
                <w:rFonts w:ascii="Arial" w:cs="Arial" w:eastAsia="Arial" w:hAnsi="Arial"/>
                <w:sz w:val="18"/>
                <w:szCs w:val="18"/>
                <w:color w:val="auto"/>
              </w:rPr>
              <w:t>170,585,611</w:t>
            </w:r>
          </w:p>
        </w:tc>
        <w:tc>
          <w:tcPr>
            <w:tcW w:w="12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ind w:right="54"/>
              <w:spacing w:after="0"/>
              <w:rPr>
                <w:sz w:val="20"/>
                <w:szCs w:val="20"/>
                <w:color w:val="auto"/>
              </w:rPr>
            </w:pPr>
            <w:r>
              <w:rPr>
                <w:rFonts w:ascii="Arial" w:cs="Arial" w:eastAsia="Arial" w:hAnsi="Arial"/>
                <w:sz w:val="18"/>
                <w:szCs w:val="18"/>
                <w:color w:val="auto"/>
              </w:rPr>
              <w:t>164,974,553</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33,033,321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33,069,255</w:t>
            </w:r>
          </w:p>
        </w:tc>
      </w:tr>
      <w:tr>
        <w:trPr>
          <w:trHeight w:val="26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47,387,482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50,898,047</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251,006,414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248,941,855</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(6) Earnings Per Share</w:t>
      </w:r>
    </w:p>
    <w:p>
      <w:pPr>
        <w:spacing w:after="0" w:line="25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pacing w:after="0" w:line="235"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months ended March 31, 2020 and March 31, 2019, respectively:</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20" w:type="dxa"/>
            <w:vAlign w:val="bottom"/>
            <w:gridSpan w:val="4"/>
          </w:tcPr>
          <w:p>
            <w:pPr>
              <w:jc w:val="right"/>
              <w:ind w:right="1051"/>
              <w:spacing w:after="0"/>
              <w:rPr>
                <w:sz w:val="20"/>
                <w:szCs w:val="20"/>
                <w:color w:val="auto"/>
              </w:rPr>
            </w:pPr>
            <w:r>
              <w:rPr>
                <w:rFonts w:ascii="Arial" w:cs="Arial" w:eastAsia="Arial" w:hAnsi="Arial"/>
                <w:sz w:val="14"/>
                <w:szCs w:val="14"/>
                <w:b w:val="1"/>
                <w:bCs w:val="1"/>
                <w:color w:val="auto"/>
              </w:rPr>
              <w:t>Three Months Ended March 31,</w:t>
            </w:r>
          </w:p>
        </w:tc>
      </w:tr>
      <w:tr>
        <w:trPr>
          <w:trHeight w:val="222"/>
        </w:trPr>
        <w:tc>
          <w:tcPr>
            <w:tcW w:w="5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ind w:right="79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ind w:right="791"/>
              <w:spacing w:after="0"/>
              <w:rPr>
                <w:sz w:val="20"/>
                <w:szCs w:val="20"/>
                <w:color w:val="auto"/>
              </w:rPr>
            </w:pPr>
            <w:r>
              <w:rPr>
                <w:rFonts w:ascii="Arial" w:cs="Arial" w:eastAsia="Arial" w:hAnsi="Arial"/>
                <w:sz w:val="14"/>
                <w:szCs w:val="14"/>
                <w:b w:val="1"/>
                <w:bCs w:val="1"/>
                <w:color w:val="auto"/>
              </w:rPr>
              <w:t>2019</w:t>
            </w:r>
          </w:p>
        </w:tc>
      </w:tr>
      <w:tr>
        <w:trPr>
          <w:trHeight w:val="24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50"/>
        </w:trPr>
        <w:tc>
          <w:tcPr>
            <w:tcW w:w="54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89,505,801</w:t>
            </w:r>
          </w:p>
        </w:tc>
        <w:tc>
          <w:tcPr>
            <w:tcW w:w="26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104,280,411</w:t>
            </w:r>
          </w:p>
        </w:tc>
      </w:tr>
      <w:tr>
        <w:trPr>
          <w:trHeight w:val="263"/>
        </w:trPr>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Allocated to participating securities</w:t>
            </w:r>
          </w:p>
        </w:tc>
        <w:tc>
          <w:tcPr>
            <w:tcW w:w="5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1,221,016</w:t>
            </w:r>
          </w:p>
        </w:tc>
        <w:tc>
          <w:tcPr>
            <w:tcW w:w="26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1,081,933</w:t>
            </w:r>
          </w:p>
        </w:tc>
      </w:tr>
      <w:tr>
        <w:trPr>
          <w:trHeight w:val="243"/>
        </w:trPr>
        <w:tc>
          <w:tcPr>
            <w:tcW w:w="5480" w:type="dxa"/>
            <w:vAlign w:val="bottom"/>
          </w:tcPr>
          <w:p>
            <w:pPr>
              <w:ind w:left="220"/>
              <w:spacing w:after="0"/>
              <w:rPr>
                <w:sz w:val="20"/>
                <w:szCs w:val="20"/>
                <w:color w:val="auto"/>
              </w:rPr>
            </w:pPr>
            <w:r>
              <w:rPr>
                <w:rFonts w:ascii="Arial" w:cs="Arial" w:eastAsia="Arial" w:hAnsi="Arial"/>
                <w:sz w:val="18"/>
                <w:szCs w:val="18"/>
                <w:color w:val="auto"/>
              </w:rPr>
              <w:t>Net Income available to common shareholders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88,284,785</w:t>
            </w:r>
          </w:p>
        </w:tc>
        <w:tc>
          <w:tcPr>
            <w:tcW w:w="26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103,198,478</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0"/>
        </w:trPr>
        <w:tc>
          <w:tcPr>
            <w:tcW w:w="5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50"/>
        </w:trPr>
        <w:tc>
          <w:tcPr>
            <w:tcW w:w="548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500" w:type="dxa"/>
            <w:vAlign w:val="bottom"/>
          </w:tcPr>
          <w:p>
            <w:pPr>
              <w:spacing w:after="0"/>
              <w:rPr>
                <w:sz w:val="21"/>
                <w:szCs w:val="21"/>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246,309,869</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257,822,836</w:t>
            </w:r>
          </w:p>
        </w:tc>
      </w:tr>
      <w:tr>
        <w:trPr>
          <w:trHeight w:val="263"/>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per share - Basic</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0.36</w:t>
            </w: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0.40</w:t>
            </w:r>
          </w:p>
        </w:tc>
      </w:tr>
      <w:tr>
        <w:trPr>
          <w:trHeight w:val="257"/>
        </w:trPr>
        <w:tc>
          <w:tcPr>
            <w:tcW w:w="5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50"/>
        </w:trPr>
        <w:tc>
          <w:tcPr>
            <w:tcW w:w="5480" w:type="dxa"/>
            <w:vAlign w:val="bottom"/>
          </w:tcPr>
          <w:p>
            <w:pPr>
              <w:ind w:left="220"/>
              <w:spacing w:after="0"/>
              <w:rPr>
                <w:sz w:val="20"/>
                <w:szCs w:val="20"/>
                <w:color w:val="auto"/>
              </w:rPr>
            </w:pPr>
            <w:r>
              <w:rPr>
                <w:rFonts w:ascii="Arial" w:cs="Arial" w:eastAsia="Arial" w:hAnsi="Arial"/>
                <w:sz w:val="18"/>
                <w:szCs w:val="18"/>
                <w:color w:val="auto"/>
              </w:rPr>
              <w:t>Allocation of Net Income used in basic computation</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88,284,785</w:t>
            </w:r>
          </w:p>
        </w:tc>
        <w:tc>
          <w:tcPr>
            <w:tcW w:w="26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103,198,478</w:t>
            </w:r>
          </w:p>
        </w:tc>
      </w:tr>
      <w:tr>
        <w:trPr>
          <w:trHeight w:val="257"/>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Reallocation of undistributed earnings</w:t>
            </w:r>
          </w:p>
        </w:tc>
        <w:tc>
          <w:tcPr>
            <w:tcW w:w="5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4,184</w:t>
            </w:r>
          </w:p>
        </w:tc>
        <w:tc>
          <w:tcPr>
            <w:tcW w:w="26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3,813</w:t>
            </w:r>
          </w:p>
        </w:tc>
      </w:tr>
      <w:tr>
        <w:trPr>
          <w:trHeight w:val="250"/>
        </w:trPr>
        <w:tc>
          <w:tcPr>
            <w:tcW w:w="5480" w:type="dxa"/>
            <w:vAlign w:val="bottom"/>
          </w:tcPr>
          <w:p>
            <w:pPr>
              <w:ind w:left="220"/>
              <w:spacing w:after="0"/>
              <w:rPr>
                <w:sz w:val="20"/>
                <w:szCs w:val="20"/>
                <w:color w:val="auto"/>
              </w:rPr>
            </w:pPr>
            <w:r>
              <w:rPr>
                <w:rFonts w:ascii="Arial" w:cs="Arial" w:eastAsia="Arial" w:hAnsi="Arial"/>
                <w:sz w:val="18"/>
                <w:szCs w:val="18"/>
                <w:color w:val="auto"/>
              </w:rPr>
              <w:t>Net Income available to common shareholders - 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88,288,969</w:t>
            </w:r>
          </w:p>
        </w:tc>
        <w:tc>
          <w:tcPr>
            <w:tcW w:w="26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103,202,291</w:t>
            </w:r>
          </w:p>
        </w:tc>
      </w:tr>
      <w:tr>
        <w:trPr>
          <w:trHeight w:val="101"/>
        </w:trPr>
        <w:tc>
          <w:tcPr>
            <w:tcW w:w="54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r>
      <w:tr>
        <w:trPr>
          <w:trHeight w:val="250"/>
        </w:trPr>
        <w:tc>
          <w:tcPr>
            <w:tcW w:w="5480" w:type="dxa"/>
            <w:vAlign w:val="bottom"/>
          </w:tcPr>
          <w:p>
            <w:pPr>
              <w:ind w:left="220"/>
              <w:spacing w:after="0"/>
              <w:rPr>
                <w:sz w:val="20"/>
                <w:szCs w:val="20"/>
                <w:color w:val="auto"/>
              </w:rPr>
            </w:pPr>
            <w:r>
              <w:rPr>
                <w:rFonts w:ascii="Arial" w:cs="Arial" w:eastAsia="Arial" w:hAnsi="Arial"/>
                <w:sz w:val="18"/>
                <w:szCs w:val="18"/>
                <w:color w:val="auto"/>
              </w:rPr>
              <w:t>Number of shares used in basic computation</w:t>
            </w:r>
          </w:p>
        </w:tc>
        <w:tc>
          <w:tcPr>
            <w:tcW w:w="500" w:type="dxa"/>
            <w:vAlign w:val="bottom"/>
          </w:tcPr>
          <w:p>
            <w:pPr>
              <w:spacing w:after="0"/>
              <w:rPr>
                <w:sz w:val="21"/>
                <w:szCs w:val="21"/>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246,309,869</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257,822,836</w:t>
            </w:r>
          </w:p>
        </w:tc>
      </w:tr>
      <w:tr>
        <w:trPr>
          <w:trHeight w:val="257"/>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weighted average dilutive common stock equivalents</w:t>
            </w:r>
          </w:p>
        </w:tc>
        <w:tc>
          <w:tcPr>
            <w:tcW w:w="5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1,306,574</w:t>
            </w:r>
          </w:p>
        </w:tc>
        <w:tc>
          <w:tcPr>
            <w:tcW w:w="2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1,282,396</w:t>
            </w:r>
          </w:p>
        </w:tc>
      </w:tr>
      <w:tr>
        <w:trPr>
          <w:trHeight w:val="257"/>
        </w:trPr>
        <w:tc>
          <w:tcPr>
            <w:tcW w:w="5480" w:type="dxa"/>
            <w:vAlign w:val="bottom"/>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247,616,443</w:t>
            </w:r>
          </w:p>
        </w:tc>
        <w:tc>
          <w:tcPr>
            <w:tcW w:w="2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259,105,232</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50"/>
        </w:trPr>
        <w:tc>
          <w:tcPr>
            <w:tcW w:w="5480" w:type="dxa"/>
            <w:vAlign w:val="bottom"/>
          </w:tcPr>
          <w:p>
            <w:pPr>
              <w:ind w:left="220"/>
              <w:spacing w:after="0"/>
              <w:rPr>
                <w:sz w:val="20"/>
                <w:szCs w:val="20"/>
                <w:color w:val="auto"/>
              </w:rPr>
            </w:pPr>
            <w:r>
              <w:rPr>
                <w:rFonts w:ascii="Arial" w:cs="Arial" w:eastAsia="Arial" w:hAnsi="Arial"/>
                <w:sz w:val="18"/>
                <w:szCs w:val="18"/>
                <w:color w:val="auto"/>
              </w:rPr>
              <w:t>Net income per share - 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0.36</w:t>
            </w:r>
          </w:p>
        </w:tc>
        <w:tc>
          <w:tcPr>
            <w:tcW w:w="26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0.40</w:t>
            </w:r>
          </w:p>
        </w:tc>
      </w:tr>
      <w:tr>
        <w:trPr>
          <w:trHeight w:val="263"/>
        </w:trPr>
        <w:tc>
          <w:tcPr>
            <w:tcW w:w="54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Shares related to stock plans not included in diluted average</w:t>
            </w: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common shares outstanding because their effect would be anti-</w:t>
            </w:r>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7"/>
        </w:trPr>
        <w:tc>
          <w:tcPr>
            <w:tcW w:w="5480" w:type="dxa"/>
            <w:vAlign w:val="bottom"/>
          </w:tcPr>
          <w:p>
            <w:pPr>
              <w:ind w:left="20"/>
              <w:spacing w:after="0"/>
              <w:rPr>
                <w:sz w:val="20"/>
                <w:szCs w:val="20"/>
                <w:color w:val="auto"/>
              </w:rPr>
            </w:pPr>
            <w:r>
              <w:rPr>
                <w:rFonts w:ascii="Arial" w:cs="Arial" w:eastAsia="Arial" w:hAnsi="Arial"/>
                <w:sz w:val="18"/>
                <w:szCs w:val="18"/>
                <w:color w:val="auto"/>
              </w:rPr>
              <w:t>dilutive</w:t>
            </w:r>
          </w:p>
        </w:tc>
        <w:tc>
          <w:tcPr>
            <w:tcW w:w="50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177,966</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1,799,477</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(7) Stock-Based Compensation Plans</w:t>
      </w:r>
    </w:p>
    <w:p>
      <w:pPr>
        <w:spacing w:after="0" w:line="15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As of March 31, 2020,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21"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including those made to non-officers in the first quarter of 2019, remain outstanding in accordance with their terms and are governed by the Prior Plans as applicable.</w:t>
      </w:r>
    </w:p>
    <w:p>
      <w:pPr>
        <w:spacing w:after="0" w:line="127"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2019, for additional information related to the Prior Plans.</w:t>
      </w:r>
    </w:p>
    <w:p>
      <w:pPr>
        <w:spacing w:after="0" w:line="13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recognized compensation expense for share-based payments of $6,356,070 for the three months ended March 31, 2020, and $4,786,794 for the three months ended March 31, 2019. A portion of the compensation cost for share based payment awards is capitalized as part of inventory.</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2019 Omnibus Incentive Plan</w:t>
      </w:r>
    </w:p>
    <w:p>
      <w:pPr>
        <w:spacing w:after="0" w:line="27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2019 Omnibus Incentive Plan covers 45,000,000 shares of common stock. The purpose of the 2019 Omnibus Incentive Plan is to attract and retain employees, officers, and directors of the Company and its subsidiaries and to motivate and provide such persons incentives and rewards for performance. As of March 31, 2020, 6,748,255 shares (net of shares from canceled/expired options) have been issued under the 2019 Omnibus Plan, which includes stock options (at a set conversion rate), restricted shares, and performance share awards.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Employee Stock Options</w:t>
      </w:r>
    </w:p>
    <w:p>
      <w:pPr>
        <w:spacing w:after="0" w:line="15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March 31, 2020, there was $6,999,332 of unearned compensation cost associated with stock options granted under the 2019 Omnibus Incentive Plan and the Employee Stock Option Plan, which is expected to be recognized over the remaining vesting periods.</w:t>
      </w:r>
    </w:p>
    <w:p>
      <w:pPr>
        <w:spacing w:after="0" w:line="123" w:lineRule="exact"/>
        <w:rPr>
          <w:sz w:val="20"/>
          <w:szCs w:val="20"/>
          <w:color w:val="auto"/>
        </w:rPr>
      </w:pPr>
    </w:p>
    <w:p>
      <w:pPr>
        <w:ind w:left="660" w:right="740"/>
        <w:spacing w:after="0" w:line="261"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p>
      <w:pPr>
        <w:ind w:left="680"/>
        <w:spacing w:after="0" w:line="232" w:lineRule="auto"/>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p>
      <w:pPr>
        <w:ind w:left="680"/>
        <w:spacing w:after="0" w:line="233" w:lineRule="auto"/>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p>
      <w:pPr>
        <w:ind w:left="680"/>
        <w:spacing w:after="0" w:line="218" w:lineRule="auto"/>
        <w:rPr>
          <w:sz w:val="20"/>
          <w:szCs w:val="20"/>
          <w:color w:val="auto"/>
        </w:rPr>
      </w:pPr>
      <w:r>
        <w:rPr>
          <w:rFonts w:ascii="Arial" w:cs="Arial" w:eastAsia="Arial" w:hAnsi="Arial"/>
          <w:sz w:val="17"/>
          <w:szCs w:val="17"/>
          <w:color w:val="auto"/>
        </w:rPr>
        <w:t xml:space="preserve">Expected term of options (years) </w:t>
      </w:r>
      <w:r>
        <w:rPr>
          <w:rFonts w:ascii="Arial" w:cs="Arial" w:eastAsia="Arial" w:hAnsi="Arial"/>
          <w:sz w:val="22"/>
          <w:szCs w:val="22"/>
          <w:color w:val="auto"/>
          <w:vertAlign w:val="superscript"/>
        </w:rPr>
        <w:t>(4)</w:t>
      </w:r>
    </w:p>
    <w:p>
      <w:pPr>
        <w:ind w:left="680"/>
        <w:spacing w:after="0"/>
        <w:rPr>
          <w:sz w:val="20"/>
          <w:szCs w:val="20"/>
          <w:color w:val="auto"/>
        </w:rPr>
      </w:pPr>
      <w:r>
        <w:rPr>
          <w:rFonts w:ascii="Arial" w:cs="Arial" w:eastAsia="Arial" w:hAnsi="Arial"/>
          <w:sz w:val="17"/>
          <w:szCs w:val="17"/>
          <w:color w:val="auto"/>
        </w:rPr>
        <w:t>Weighted-avg. grant date fair value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26035</wp:posOffset>
            </wp:positionV>
            <wp:extent cx="28803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9" w:lineRule="exact"/>
        <w:rPr>
          <w:sz w:val="20"/>
          <w:szCs w:val="20"/>
          <w:color w:val="auto"/>
        </w:rPr>
      </w:pPr>
    </w:p>
    <w:p>
      <w:pPr>
        <w:spacing w:after="0"/>
        <w:tabs>
          <w:tab w:leader="none" w:pos="23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26035</wp:posOffset>
            </wp:positionV>
            <wp:extent cx="599186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91860" cy="171450"/>
                    </a:xfrm>
                    <a:prstGeom prst="rect">
                      <a:avLst/>
                    </a:prstGeom>
                    <a:noFill/>
                  </pic:spPr>
                </pic:pic>
              </a:graphicData>
            </a:graphic>
          </wp:anchor>
        </w:drawing>
      </w:r>
    </w:p>
    <w:p>
      <w:pPr>
        <w:spacing w:after="0" w:line="61" w:lineRule="exact"/>
        <w:rPr>
          <w:sz w:val="20"/>
          <w:szCs w:val="20"/>
          <w:color w:val="auto"/>
        </w:rPr>
      </w:pPr>
    </w:p>
    <w:p>
      <w:pPr>
        <w:jc w:val="right"/>
        <w:ind w:right="1160"/>
        <w:spacing w:after="0"/>
        <w:tabs>
          <w:tab w:leader="none" w:pos="580" w:val="left"/>
        </w:tabs>
        <w:rPr>
          <w:sz w:val="20"/>
          <w:szCs w:val="20"/>
          <w:color w:val="auto"/>
        </w:rPr>
      </w:pPr>
      <w:r>
        <w:rPr>
          <w:rFonts w:ascii="Arial" w:cs="Arial" w:eastAsia="Arial" w:hAnsi="Arial"/>
          <w:sz w:val="18"/>
          <w:szCs w:val="18"/>
          <w:color w:val="auto"/>
        </w:rPr>
        <w:t>2.00 %</w:t>
      </w:r>
      <w:r>
        <w:rPr>
          <w:sz w:val="20"/>
          <w:szCs w:val="20"/>
          <w:color w:val="auto"/>
        </w:rPr>
        <w:tab/>
      </w:r>
      <w:r>
        <w:rPr>
          <w:rFonts w:ascii="Arial" w:cs="Arial" w:eastAsia="Arial" w:hAnsi="Arial"/>
          <w:sz w:val="18"/>
          <w:szCs w:val="18"/>
          <w:color w:val="auto"/>
        </w:rPr>
        <w:t>2.03 %</w:t>
      </w:r>
    </w:p>
    <w:p>
      <w:pPr>
        <w:spacing w:after="0" w:line="50" w:lineRule="exact"/>
        <w:rPr>
          <w:sz w:val="20"/>
          <w:szCs w:val="20"/>
          <w:color w:val="auto"/>
        </w:rPr>
      </w:pPr>
    </w:p>
    <w:p>
      <w:pPr>
        <w:jc w:val="right"/>
        <w:ind w:right="1160"/>
        <w:spacing w:after="0"/>
        <w:tabs>
          <w:tab w:leader="none" w:pos="680" w:val="left"/>
        </w:tabs>
        <w:rPr>
          <w:sz w:val="20"/>
          <w:szCs w:val="20"/>
          <w:color w:val="auto"/>
        </w:rPr>
      </w:pPr>
      <w:r>
        <w:rPr>
          <w:rFonts w:ascii="Arial" w:cs="Arial" w:eastAsia="Arial" w:hAnsi="Arial"/>
          <w:sz w:val="18"/>
          <w:szCs w:val="18"/>
          <w:color w:val="auto"/>
        </w:rPr>
        <w:t>26.52 %</w:t>
      </w:r>
      <w:r>
        <w:rPr>
          <w:sz w:val="20"/>
          <w:szCs w:val="20"/>
          <w:color w:val="auto"/>
        </w:rPr>
        <w:tab/>
      </w:r>
      <w:r>
        <w:rPr>
          <w:rFonts w:ascii="Arial" w:cs="Arial" w:eastAsia="Arial" w:hAnsi="Arial"/>
          <w:sz w:val="18"/>
          <w:szCs w:val="18"/>
          <w:color w:val="auto"/>
        </w:rPr>
        <w:t>23.56 %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14605</wp:posOffset>
            </wp:positionV>
            <wp:extent cx="599186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91860" cy="163195"/>
                    </a:xfrm>
                    <a:prstGeom prst="rect">
                      <a:avLst/>
                    </a:prstGeom>
                    <a:noFill/>
                  </pic:spPr>
                </pic:pic>
              </a:graphicData>
            </a:graphic>
          </wp:anchor>
        </w:drawing>
      </w:r>
    </w:p>
    <w:p>
      <w:pPr>
        <w:spacing w:after="0" w:line="30" w:lineRule="exact"/>
        <w:rPr>
          <w:sz w:val="20"/>
          <w:szCs w:val="20"/>
          <w:color w:val="auto"/>
        </w:rPr>
      </w:pPr>
    </w:p>
    <w:p>
      <w:pPr>
        <w:jc w:val="right"/>
        <w:ind w:right="1160"/>
        <w:spacing w:after="0"/>
        <w:tabs>
          <w:tab w:leader="none" w:pos="580" w:val="left"/>
        </w:tabs>
        <w:rPr>
          <w:sz w:val="20"/>
          <w:szCs w:val="20"/>
          <w:color w:val="auto"/>
        </w:rPr>
      </w:pPr>
      <w:r>
        <w:rPr>
          <w:rFonts w:ascii="Arial" w:cs="Arial" w:eastAsia="Arial" w:hAnsi="Arial"/>
          <w:sz w:val="18"/>
          <w:szCs w:val="18"/>
          <w:color w:val="auto"/>
        </w:rPr>
        <w:t>0.37 %</w:t>
      </w:r>
      <w:r>
        <w:rPr>
          <w:sz w:val="20"/>
          <w:szCs w:val="20"/>
          <w:color w:val="auto"/>
        </w:rPr>
        <w:tab/>
      </w:r>
      <w:r>
        <w:rPr>
          <w:rFonts w:ascii="Arial" w:cs="Arial" w:eastAsia="Arial" w:hAnsi="Arial"/>
          <w:sz w:val="18"/>
          <w:szCs w:val="18"/>
          <w:color w:val="auto"/>
        </w:rPr>
        <w:t>2.23 %</w:t>
      </w:r>
    </w:p>
    <w:p>
      <w:pPr>
        <w:spacing w:after="0" w:line="50" w:lineRule="exact"/>
        <w:rPr>
          <w:sz w:val="20"/>
          <w:szCs w:val="20"/>
          <w:color w:val="auto"/>
        </w:rPr>
      </w:pPr>
    </w:p>
    <w:p>
      <w:pPr>
        <w:jc w:val="right"/>
        <w:ind w:right="1160"/>
        <w:spacing w:after="0"/>
        <w:tabs>
          <w:tab w:leader="none" w:pos="34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14605</wp:posOffset>
            </wp:positionV>
            <wp:extent cx="599186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91860" cy="163195"/>
                    </a:xfrm>
                    <a:prstGeom prst="rect">
                      <a:avLst/>
                    </a:prstGeom>
                    <a:noFill/>
                  </pic:spPr>
                </pic:pic>
              </a:graphicData>
            </a:graphic>
          </wp:anchor>
        </w:drawing>
      </w:r>
    </w:p>
    <w:p>
      <w:pPr>
        <w:spacing w:after="0" w:line="30" w:lineRule="exact"/>
        <w:rPr>
          <w:sz w:val="20"/>
          <w:szCs w:val="20"/>
          <w:color w:val="auto"/>
        </w:rPr>
      </w:pPr>
    </w:p>
    <w:p>
      <w:pPr>
        <w:jc w:val="right"/>
        <w:ind w:right="1160"/>
        <w:spacing w:after="0"/>
        <w:tabs>
          <w:tab w:leader="none" w:pos="4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$3.69</w:t>
      </w:r>
    </w:p>
    <w:p>
      <w:pPr>
        <w:spacing w:after="0" w:line="80" w:lineRule="exact"/>
        <w:rPr>
          <w:sz w:val="20"/>
          <w:szCs w:val="20"/>
          <w:color w:val="auto"/>
        </w:rPr>
      </w:pPr>
    </w:p>
    <w:p>
      <w:pPr>
        <w:sectPr>
          <w:pgSz w:w="11900" w:h="16838" w:orient="portrait"/>
          <w:cols w:equalWidth="0" w:num="2">
            <w:col w:w="5780" w:space="720"/>
            <w:col w:w="4740"/>
          </w:cols>
          <w:pgMar w:left="320" w:top="360" w:right="339" w:bottom="1440" w:gutter="0" w:footer="0" w:header="0"/>
          <w:type w:val="continuous"/>
        </w:sectPr>
      </w:pPr>
    </w:p>
    <w:p>
      <w:pPr>
        <w:ind w:left="980" w:hanging="324"/>
        <w:spacing w:after="0"/>
        <w:tabs>
          <w:tab w:leader="none" w:pos="9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estimated cash dividend yield over the expected term of option grant.</w:t>
      </w:r>
    </w:p>
    <w:p>
      <w:pPr>
        <w:ind w:left="980" w:right="260" w:hanging="324"/>
        <w:spacing w:after="0" w:line="204" w:lineRule="auto"/>
        <w:tabs>
          <w:tab w:leader="none" w:pos="977"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980" w:hanging="324"/>
        <w:spacing w:after="0" w:line="187" w:lineRule="auto"/>
        <w:tabs>
          <w:tab w:leader="none" w:pos="98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980" w:right="20" w:hanging="324"/>
        <w:spacing w:after="0" w:line="211" w:lineRule="auto"/>
        <w:tabs>
          <w:tab w:leader="none" w:pos="977"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March 31, 2020, the Company had unearned stock-based compensation of $46,788,371 associated with the restricted stock grants issued under the 2019 Omnibus Plan and the prior plan. The unearned stock-based compensation related to these grants is being amortized to compensation expense over the applicable restriction periods. Amortization expense from restricted stock grants in the three months ended March 31, 2020 was $4,362,318, and for the three months ended March 31, 2019 was $2,723,579.</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3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As of March 31, 2020, the Company had unearned stock-based compensation of $5,486,425 associated with these performance share grants. The unearned stock-based compensation related to these grants is being amortized to compensation expense over the applicable performance periods. Amortization expense from performance share grants in the three months ended March 31, 2020 was $393,777. No amortization expense for performance share grants was incurred in 2018, as no such awards were issued and outstanding.</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7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The Company has an employee stock purchase plan covering 2,000,000 shares of common stock.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15% discounted value is recognized as compensation expense. As of March 31, 2020, the Company has issued 1,232,705 shares under this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(8) Comprehensive Income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foreign currency translation adjustments, and derivatives.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(loss) by component (all amounts shown are net of tax):</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Three Months Ended March 31,</w:t>
            </w:r>
          </w:p>
        </w:tc>
      </w:tr>
      <w:tr>
        <w:trPr>
          <w:trHeight w:val="222"/>
        </w:trPr>
        <w:tc>
          <w:tcPr>
            <w:tcW w:w="7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50"/>
        </w:trPr>
        <w:tc>
          <w:tcPr>
            <w:tcW w:w="7300" w:type="dxa"/>
            <w:vAlign w:val="bottom"/>
          </w:tcPr>
          <w:p>
            <w:pPr>
              <w:ind w:left="22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(2,384,589)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(1,674,887)</w:t>
            </w:r>
          </w:p>
        </w:tc>
      </w:tr>
      <w:tr>
        <w:trPr>
          <w:trHeight w:val="263"/>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income before reclassifications</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(692,090)</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298,999</w:t>
            </w:r>
          </w:p>
        </w:tc>
      </w:tr>
      <w:tr>
        <w:trPr>
          <w:trHeight w:val="243"/>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current-period change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(692,090)</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298,999</w:t>
            </w:r>
          </w:p>
        </w:tc>
      </w:tr>
      <w:tr>
        <w:trPr>
          <w:trHeight w:val="257"/>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(3,076,679)</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(1,375,888)</w:t>
            </w:r>
          </w:p>
        </w:tc>
      </w:tr>
      <w:tr>
        <w:trPr>
          <w:trHeight w:val="250"/>
        </w:trPr>
        <w:tc>
          <w:tcPr>
            <w:tcW w:w="7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7"/>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 securities:</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6"/>
        </w:trPr>
        <w:tc>
          <w:tcPr>
            <w:tcW w:w="730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1,095,486</w:t>
            </w:r>
          </w:p>
        </w:tc>
        <w:tc>
          <w:tcPr>
            <w:tcW w:w="32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74,549</w:t>
            </w:r>
          </w:p>
        </w:tc>
      </w:tr>
      <w:tr>
        <w:trPr>
          <w:trHeight w:val="257"/>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2,225,196</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1,095,581</w:t>
            </w:r>
          </w:p>
        </w:tc>
      </w:tr>
      <w:tr>
        <w:trPr>
          <w:trHeight w:val="257"/>
        </w:trPr>
        <w:tc>
          <w:tcPr>
            <w:tcW w:w="7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(29,209)</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(69,976)</w:t>
            </w:r>
          </w:p>
        </w:tc>
      </w:tr>
      <w:tr>
        <w:trPr>
          <w:trHeight w:val="250"/>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2,195,987</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1,025,605</w:t>
            </w:r>
          </w:p>
        </w:tc>
      </w:tr>
      <w:tr>
        <w:trPr>
          <w:trHeight w:val="250"/>
        </w:trPr>
        <w:tc>
          <w:tcPr>
            <w:tcW w:w="7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3,291,473</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1,100,154</w:t>
            </w:r>
          </w:p>
        </w:tc>
      </w:tr>
      <w:tr>
        <w:trPr>
          <w:trHeight w:val="88"/>
        </w:trPr>
        <w:tc>
          <w:tcPr>
            <w:tcW w:w="7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56"/>
        </w:trPr>
        <w:tc>
          <w:tcPr>
            <w:tcW w:w="7300" w:type="dxa"/>
            <w:vAlign w:val="bottom"/>
          </w:tcPr>
          <w:p>
            <w:pPr>
              <w:ind w:left="20"/>
              <w:spacing w:after="0"/>
              <w:rPr>
                <w:sz w:val="20"/>
                <w:szCs w:val="20"/>
                <w:color w:val="auto"/>
              </w:rPr>
            </w:pPr>
            <w:r>
              <w:rPr>
                <w:rFonts w:ascii="Arial" w:cs="Arial" w:eastAsia="Arial" w:hAnsi="Arial"/>
                <w:sz w:val="18"/>
                <w:szCs w:val="18"/>
                <w:color w:val="auto"/>
              </w:rPr>
              <w:t>Accumulated other comprehensive gain (loss),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214,794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(275,734)</w:t>
            </w:r>
          </w:p>
        </w:tc>
      </w:tr>
      <w:tr>
        <w:trPr>
          <w:trHeight w:val="21"/>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right="120"/>
        <w:spacing w:after="0" w:line="261" w:lineRule="auto"/>
        <w:rPr>
          <w:sz w:val="20"/>
          <w:szCs w:val="20"/>
          <w:color w:val="auto"/>
        </w:rPr>
      </w:pPr>
      <w:r>
        <w:rPr>
          <w:rFonts w:ascii="Arial" w:cs="Arial" w:eastAsia="Arial" w:hAnsi="Arial"/>
          <w:sz w:val="18"/>
          <w:szCs w:val="18"/>
          <w:color w:val="auto"/>
        </w:rPr>
        <w:t>The following table presents details of reclassifications out of accumulated other comprehensive income for the three months ended March 31, 2020 and 2019.</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Affected Line item in the</w:t>
            </w:r>
          </w:p>
        </w:tc>
      </w:tr>
      <w:tr>
        <w:trPr>
          <w:trHeight w:val="189"/>
        </w:trPr>
        <w:tc>
          <w:tcPr>
            <w:tcW w:w="4080" w:type="dxa"/>
            <w:vAlign w:val="bottom"/>
            <w:gridSpan w:val="2"/>
          </w:tcPr>
          <w:p>
            <w:pPr>
              <w:ind w:left="80"/>
              <w:spacing w:after="0"/>
              <w:rPr>
                <w:sz w:val="20"/>
                <w:szCs w:val="20"/>
                <w:color w:val="auto"/>
              </w:rPr>
            </w:pPr>
            <w:r>
              <w:rPr>
                <w:rFonts w:ascii="Arial" w:cs="Arial" w:eastAsia="Arial" w:hAnsi="Arial"/>
                <w:sz w:val="16"/>
                <w:szCs w:val="16"/>
                <w:b w:val="1"/>
                <w:bCs w:val="1"/>
                <w:color w:val="auto"/>
              </w:rPr>
              <w:t>Details about Accumulated Other Comprehensive</w:t>
            </w:r>
          </w:p>
        </w:tc>
        <w:tc>
          <w:tcPr>
            <w:tcW w:w="240" w:type="dxa"/>
            <w:vAlign w:val="bottom"/>
          </w:tcPr>
          <w:p>
            <w:pPr>
              <w:spacing w:after="0"/>
              <w:rPr>
                <w:sz w:val="16"/>
                <w:szCs w:val="16"/>
                <w:color w:val="auto"/>
              </w:rPr>
            </w:pPr>
          </w:p>
        </w:tc>
        <w:tc>
          <w:tcPr>
            <w:tcW w:w="3060" w:type="dxa"/>
            <w:vAlign w:val="bottom"/>
            <w:gridSpan w:val="4"/>
          </w:tcPr>
          <w:p>
            <w:pPr>
              <w:jc w:val="center"/>
              <w:ind w:right="161"/>
              <w:spacing w:after="0"/>
              <w:rPr>
                <w:sz w:val="20"/>
                <w:szCs w:val="20"/>
                <w:color w:val="auto"/>
              </w:rPr>
            </w:pPr>
            <w:r>
              <w:rPr>
                <w:rFonts w:ascii="Arial" w:cs="Arial" w:eastAsia="Arial" w:hAnsi="Arial"/>
                <w:sz w:val="16"/>
                <w:szCs w:val="16"/>
                <w:b w:val="1"/>
                <w:bCs w:val="1"/>
                <w:color w:val="auto"/>
              </w:rPr>
              <w:t>Amounts Reclassified from Other</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Statement of Consolidated</w:t>
            </w:r>
          </w:p>
        </w:tc>
      </w:tr>
      <w:tr>
        <w:trPr>
          <w:trHeight w:val="228"/>
        </w:trPr>
        <w:tc>
          <w:tcPr>
            <w:tcW w:w="4080" w:type="dxa"/>
            <w:vAlign w:val="bottom"/>
            <w:gridSpan w:val="2"/>
          </w:tcPr>
          <w:p>
            <w:pPr>
              <w:ind w:left="1180"/>
              <w:spacing w:after="0"/>
              <w:rPr>
                <w:sz w:val="20"/>
                <w:szCs w:val="20"/>
                <w:color w:val="auto"/>
              </w:rPr>
            </w:pPr>
            <w:r>
              <w:rPr>
                <w:rFonts w:ascii="Arial" w:cs="Arial" w:eastAsia="Arial" w:hAnsi="Arial"/>
                <w:sz w:val="16"/>
                <w:szCs w:val="16"/>
                <w:b w:val="1"/>
                <w:bCs w:val="1"/>
                <w:color w:val="auto"/>
              </w:rPr>
              <w:t>Income Components</w:t>
            </w:r>
          </w:p>
        </w:tc>
        <w:tc>
          <w:tcPr>
            <w:tcW w:w="240" w:type="dxa"/>
            <w:vAlign w:val="bottom"/>
          </w:tcPr>
          <w:p>
            <w:pPr>
              <w:spacing w:after="0"/>
              <w:rPr>
                <w:sz w:val="19"/>
                <w:szCs w:val="19"/>
                <w:color w:val="auto"/>
              </w:rPr>
            </w:pPr>
          </w:p>
        </w:tc>
        <w:tc>
          <w:tcPr>
            <w:tcW w:w="3060" w:type="dxa"/>
            <w:vAlign w:val="bottom"/>
            <w:gridSpan w:val="4"/>
          </w:tcPr>
          <w:p>
            <w:pPr>
              <w:jc w:val="center"/>
              <w:ind w:right="161"/>
              <w:spacing w:after="0"/>
              <w:rPr>
                <w:sz w:val="20"/>
                <w:szCs w:val="20"/>
                <w:color w:val="auto"/>
              </w:rPr>
            </w:pPr>
            <w:r>
              <w:rPr>
                <w:rFonts w:ascii="Arial" w:cs="Arial" w:eastAsia="Arial" w:hAnsi="Arial"/>
                <w:sz w:val="16"/>
                <w:szCs w:val="16"/>
                <w:b w:val="1"/>
                <w:bCs w:val="1"/>
                <w:color w:val="auto"/>
              </w:rPr>
              <w:t>Comprehensive Income</w:t>
            </w: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Income</w:t>
            </w:r>
          </w:p>
        </w:tc>
      </w:tr>
      <w:tr>
        <w:trPr>
          <w:trHeight w:val="190"/>
        </w:trPr>
        <w:tc>
          <w:tcPr>
            <w:tcW w:w="3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gridSpan w:val="4"/>
          </w:tcPr>
          <w:p>
            <w:pPr>
              <w:jc w:val="center"/>
              <w:ind w:right="16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r>
      <w:tr>
        <w:trPr>
          <w:trHeight w:val="208"/>
        </w:trPr>
        <w:tc>
          <w:tcPr>
            <w:tcW w:w="3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20" w:type="dxa"/>
            <w:vAlign w:val="bottom"/>
            <w:tcBorders>
              <w:bottom w:val="single" w:sz="8" w:color="CCEEFF"/>
            </w:tcBorders>
          </w:tcPr>
          <w:p>
            <w:pPr>
              <w:spacing w:after="0"/>
              <w:rPr>
                <w:sz w:val="18"/>
                <w:szCs w:val="18"/>
                <w:color w:val="auto"/>
              </w:rPr>
            </w:pPr>
          </w:p>
        </w:tc>
      </w:tr>
      <w:tr>
        <w:trPr>
          <w:trHeight w:val="215"/>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Realized gain on sale</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24"/>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of securities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36,974</w:t>
            </w:r>
          </w:p>
        </w:tc>
        <w:tc>
          <w:tcPr>
            <w:tcW w:w="1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center"/>
              <w:ind w:left="381"/>
              <w:spacing w:after="0"/>
              <w:rPr>
                <w:sz w:val="20"/>
                <w:szCs w:val="20"/>
                <w:color w:val="auto"/>
              </w:rPr>
            </w:pPr>
            <w:r>
              <w:rPr>
                <w:rFonts w:ascii="Arial" w:cs="Arial" w:eastAsia="Arial" w:hAnsi="Arial"/>
                <w:sz w:val="16"/>
                <w:szCs w:val="16"/>
                <w:color w:val="auto"/>
              </w:rPr>
              <w:t>88,576</w:t>
            </w:r>
          </w:p>
        </w:tc>
        <w:tc>
          <w:tcPr>
            <w:tcW w:w="1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Other income (loss), net</w:t>
            </w:r>
          </w:p>
        </w:tc>
      </w:tr>
      <w:tr>
        <w:trPr>
          <w:trHeight w:val="257"/>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(7,765)</w:t>
            </w:r>
          </w:p>
        </w:tc>
        <w:tc>
          <w:tcPr>
            <w:tcW w:w="1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ind w:left="361"/>
              <w:spacing w:after="0"/>
              <w:rPr>
                <w:sz w:val="20"/>
                <w:szCs w:val="20"/>
                <w:color w:val="auto"/>
              </w:rPr>
            </w:pPr>
            <w:r>
              <w:rPr>
                <w:rFonts w:ascii="Arial" w:cs="Arial" w:eastAsia="Arial" w:hAnsi="Arial"/>
                <w:sz w:val="16"/>
                <w:szCs w:val="16"/>
                <w:color w:val="auto"/>
              </w:rPr>
              <w:t>(18,600)</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29,209</w:t>
            </w:r>
          </w:p>
        </w:tc>
        <w:tc>
          <w:tcPr>
            <w:tcW w:w="16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rPr>
              <w:t>69,976</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(9) Debt and Financing Arrangements</w:t>
      </w:r>
    </w:p>
    <w:p>
      <w:pPr>
        <w:spacing w:after="0" w:line="25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On October 15, 2018, the Company entered into a Credit Agreement (“Credit Agreement”) with PNC as the administrative agent and sole lender.</w:t>
      </w:r>
    </w:p>
    <w:p>
      <w:pPr>
        <w:spacing w:after="0" w:line="225"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As of March 31, 2020, there was an outstanding balance of $75 million on the Revolver. In the next twelve months, the Company has the ability and intent to repay the full outstanding balance using cash; therefore, this balance has been classified as a current liability. The Revolver expires on October 15, 2023.</w:t>
      </w:r>
    </w:p>
    <w:p>
      <w:pPr>
        <w:spacing w:after="0" w:line="229" w:lineRule="exact"/>
        <w:rPr>
          <w:sz w:val="20"/>
          <w:szCs w:val="20"/>
          <w:color w:val="auto"/>
        </w:rPr>
      </w:pPr>
    </w:p>
    <w:p>
      <w:pPr>
        <w:jc w:val="both"/>
        <w:ind w:left="660"/>
        <w:spacing w:after="0" w:line="237" w:lineRule="auto"/>
        <w:rPr>
          <w:rFonts w:ascii="Arial" w:cs="Arial" w:eastAsia="Arial" w:hAnsi="Arial"/>
          <w:sz w:val="18"/>
          <w:szCs w:val="18"/>
          <w:color w:val="0000FF"/>
        </w:rPr>
      </w:pPr>
      <w:r>
        <w:rPr>
          <w:rFonts w:ascii="Arial" w:cs="Arial" w:eastAsia="Arial" w:hAnsi="Arial"/>
          <w:sz w:val="18"/>
          <w:szCs w:val="18"/>
          <w:color w:val="auto"/>
        </w:rPr>
        <w:t xml:space="preserve">As of March 31, 2020, the borrowing rate on its Revolver is derived from the one month LIBOR, and based on the Company's leverage ratio as of March 31, 2020, the interest rate on its borrowings is equal to 1.81%. During the three months ended March 31, </w:t>
      </w:r>
      <w:hyperlink w:anchor="page3">
        <w:r>
          <w:rPr>
            <w:rFonts w:ascii="Arial" w:cs="Arial" w:eastAsia="Arial" w:hAnsi="Arial"/>
            <w:sz w:val="18"/>
            <w:szCs w:val="18"/>
            <w:color w:val="auto"/>
          </w:rPr>
          <w:t xml:space="preserve">2020, interest expense was less than $0.1 million, which was netted with the "Other income (loss), net" section of the </w:t>
        </w:r>
        <w:r>
          <w:rPr>
            <w:rFonts w:ascii="Arial" w:cs="Arial" w:eastAsia="Arial" w:hAnsi="Arial"/>
            <w:sz w:val="18"/>
            <w:szCs w:val="18"/>
            <w:u w:val="single" w:color="auto"/>
            <w:color w:val="0000FF"/>
          </w:rPr>
          <w:t>Unaudited</w:t>
        </w:r>
      </w:hyperlink>
      <w:r>
        <w:rPr>
          <w:rFonts w:ascii="Arial" w:cs="Arial" w:eastAsia="Arial" w:hAnsi="Arial"/>
          <w:sz w:val="18"/>
          <w:szCs w:val="18"/>
          <w:color w:val="auto"/>
        </w:rPr>
        <w:t xml:space="preserve"> </w:t>
      </w:r>
      <w:hyperlink w:anchor="page3">
        <w:r>
          <w:rPr>
            <w:rFonts w:ascii="Arial" w:cs="Arial" w:eastAsia="Arial" w:hAnsi="Arial"/>
            <w:sz w:val="18"/>
            <w:szCs w:val="18"/>
            <w:u w:val="single" w:color="auto"/>
            <w:color w:val="0000FF"/>
          </w:rPr>
          <w:t>Consolidated Statements of Income</w:t>
        </w:r>
        <w:r>
          <w:rPr>
            <w:rFonts w:ascii="Arial" w:cs="Arial" w:eastAsia="Arial" w:hAnsi="Arial"/>
            <w:sz w:val="18"/>
            <w:szCs w:val="18"/>
            <w:color w:val="000000"/>
          </w:rPr>
          <w:t>. Based on loan balances as of March 31, 2020, a one percent increase in the Company's</w:t>
        </w:r>
      </w:hyperlink>
      <w:r>
        <w:rPr>
          <w:rFonts w:ascii="Arial" w:cs="Arial" w:eastAsia="Arial" w:hAnsi="Arial"/>
          <w:sz w:val="18"/>
          <w:szCs w:val="18"/>
          <w:color w:val="0000FF"/>
        </w:rPr>
        <w:t xml:space="preserve"> </w:t>
      </w:r>
      <w:r>
        <w:rPr>
          <w:rFonts w:ascii="Arial" w:cs="Arial" w:eastAsia="Arial" w:hAnsi="Arial"/>
          <w:sz w:val="18"/>
          <w:szCs w:val="18"/>
          <w:color w:val="000000"/>
        </w:rPr>
        <w:t>borrowing rate would increase net interest expense paid by the Company on its borrowings by approximately $0.8 million dollars on an annual basis.</w:t>
      </w:r>
    </w:p>
    <w:p>
      <w:pPr>
        <w:spacing w:after="0" w:line="23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the Company is in compliance with its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 Equity</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decrease in common stock during the three months ended March 31, 2020, was primarily due to the repurchases of 7.0 million shares, partially offset by the issuance of 0.6 million shares of the Company’s common stock under the Company’s stock-based compensation plans. The total net decrease was 6.4 million shares.</w:t>
      </w:r>
    </w:p>
    <w:p>
      <w:pPr>
        <w:spacing w:after="0" w:line="229"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announced a $0.005 (1/2 cent) per share increase in its quarterly cash dividend rate during the first quarter of 2020. As such, the Company recorded a cash dividend of $0.120 per share during the first quarter of 2020 as compared to a cash dividend of $ 0.115 per share during the first quarter of 2019. The first quarter 2020 dividend of $29.4 million was declared on March 9, 2020, and was paid on April 22, 2020.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(11) Contingencies</w:t>
      </w:r>
    </w:p>
    <w:p>
      <w:pPr>
        <w:spacing w:after="0" w:line="15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 Segment Reporting</w:t>
      </w:r>
    </w:p>
    <w:p>
      <w:pPr>
        <w:spacing w:after="0" w:line="252"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for the aerospace industry and fire protection products for the commercial construction industry, which are combined into the "Other" segment shown below.</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Three Months Ended March 31,</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1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2019</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50"/>
        </w:trPr>
        <w:tc>
          <w:tcPr>
            <w:tcW w:w="518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439,855,587</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455,798,643</w:t>
            </w:r>
          </w:p>
        </w:tc>
      </w:tr>
      <w:tr>
        <w:trPr>
          <w:trHeight w:val="257"/>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13,906,139</w:t>
            </w:r>
          </w:p>
        </w:tc>
        <w:tc>
          <w:tcPr>
            <w:tcW w:w="6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12,790,354</w:t>
            </w:r>
          </w:p>
        </w:tc>
      </w:tr>
      <w:tr>
        <w:trPr>
          <w:trHeight w:val="257"/>
        </w:trPr>
        <w:tc>
          <w:tcPr>
            <w:tcW w:w="5180" w:type="dxa"/>
            <w:vAlign w:val="bottom"/>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453,761,726</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468,588,997</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50"/>
        </w:trPr>
        <w:tc>
          <w:tcPr>
            <w:tcW w:w="518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100,775,544</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116,952,700</w:t>
            </w:r>
          </w:p>
        </w:tc>
      </w:tr>
      <w:tr>
        <w:trPr>
          <w:trHeight w:val="257"/>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4,251,623</w:t>
            </w:r>
          </w:p>
        </w:tc>
        <w:tc>
          <w:tcPr>
            <w:tcW w:w="6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4,643,631</w:t>
            </w:r>
          </w:p>
        </w:tc>
      </w:tr>
      <w:tr>
        <w:trPr>
          <w:trHeight w:val="257"/>
        </w:trPr>
        <w:tc>
          <w:tcPr>
            <w:tcW w:w="5180" w:type="dxa"/>
            <w:vAlign w:val="bottom"/>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105,027,167</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121,596,331</w:t>
            </w:r>
          </w:p>
        </w:tc>
      </w:tr>
      <w:tr>
        <w:trPr>
          <w:trHeight w:val="21"/>
        </w:trPr>
        <w:tc>
          <w:tcPr>
            <w:tcW w:w="5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(13) Income Taxes</w:t>
      </w:r>
    </w:p>
    <w:p>
      <w:pPr>
        <w:spacing w:after="0" w:line="158" w:lineRule="exact"/>
        <w:rPr>
          <w:sz w:val="20"/>
          <w:szCs w:val="20"/>
          <w:color w:val="auto"/>
        </w:rPr>
      </w:pPr>
    </w:p>
    <w:p>
      <w:pPr>
        <w:jc w:val="both"/>
        <w:ind w:left="660"/>
        <w:spacing w:after="0" w:line="221" w:lineRule="exact"/>
        <w:rPr>
          <w:sz w:val="20"/>
          <w:szCs w:val="20"/>
          <w:color w:val="auto"/>
        </w:rPr>
      </w:pPr>
      <w:r>
        <w:rPr>
          <w:rFonts w:ascii="Arial" w:cs="Arial" w:eastAsia="Arial" w:hAnsi="Arial"/>
          <w:sz w:val="18"/>
          <w:szCs w:val="18"/>
          <w:color w:val="auto"/>
        </w:rPr>
        <w:t xml:space="preserve">The effective tax rate was 16.6% in the three months ended March 31, 2020 compared to 16.5% for the same period in 2019. Generally, effective tax rates for these periods differ from statutory federal income tax rates, due to provisions for state and local income taxes, permanent tax differences, and the foreign-derived intangible income tax deduction and research and development tax credits. </w:t>
      </w:r>
      <w:r>
        <w:rPr>
          <w:rFonts w:ascii="MS PGothic" w:cs="MS PGothic" w:eastAsia="MS PGothic" w:hAnsi="MS PGothic"/>
          <w:sz w:val="18"/>
          <w:szCs w:val="18"/>
          <w:color w:val="auto"/>
        </w:rPr>
        <w:t> </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(14) Revenue</w:t>
      </w:r>
    </w:p>
    <w:p>
      <w:pPr>
        <w:spacing w:after="0" w:line="25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month periods ended March 31, 2020 and March 31, 2019:</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right"/>
              <w:ind w:right="34"/>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2280" w:type="dxa"/>
            <w:vAlign w:val="bottom"/>
          </w:tcPr>
          <w:p>
            <w:pPr>
              <w:jc w:val="right"/>
              <w:ind w:right="54"/>
              <w:spacing w:after="0"/>
              <w:rPr>
                <w:sz w:val="20"/>
                <w:szCs w:val="20"/>
                <w:color w:val="auto"/>
              </w:rPr>
            </w:pPr>
            <w:r>
              <w:rPr>
                <w:rFonts w:ascii="Arial" w:cs="Arial" w:eastAsia="Arial" w:hAnsi="Arial"/>
                <w:sz w:val="14"/>
                <w:szCs w:val="14"/>
                <w:b w:val="1"/>
                <w:bCs w:val="1"/>
                <w:color w:val="auto"/>
              </w:rPr>
              <w:t>Three Months Ended March 31,</w:t>
            </w:r>
          </w:p>
        </w:tc>
      </w:tr>
      <w:tr>
        <w:trPr>
          <w:trHeight w:val="202"/>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2019</w:t>
            </w:r>
          </w:p>
        </w:tc>
      </w:tr>
      <w:tr>
        <w:trPr>
          <w:trHeight w:val="250"/>
        </w:trPr>
        <w:tc>
          <w:tcPr>
            <w:tcW w:w="4460" w:type="dxa"/>
            <w:vAlign w:val="bottom"/>
            <w:shd w:val="clear" w:color="auto" w:fill="BFE4FF"/>
          </w:tcPr>
          <w:p>
            <w:pPr>
              <w:ind w:left="20"/>
              <w:spacing w:after="0"/>
              <w:rPr>
                <w:sz w:val="20"/>
                <w:szCs w:val="20"/>
                <w:color w:val="auto"/>
              </w:rPr>
            </w:pPr>
            <w:r>
              <w:rPr>
                <w:rFonts w:ascii="Arial" w:cs="Arial" w:eastAsia="Arial" w:hAnsi="Arial"/>
                <w:sz w:val="18"/>
                <w:szCs w:val="18"/>
                <w:color w:val="auto"/>
              </w:rPr>
              <w:t>Automotive Products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r>
      <w:tr>
        <w:trPr>
          <w:trHeight w:val="256"/>
        </w:trPr>
        <w:tc>
          <w:tcPr>
            <w:tcW w:w="4460" w:type="dxa"/>
            <w:vAlign w:val="bottom"/>
          </w:tcPr>
          <w:p>
            <w:pPr>
              <w:ind w:left="120"/>
              <w:spacing w:after="0"/>
              <w:rPr>
                <w:sz w:val="20"/>
                <w:szCs w:val="20"/>
                <w:color w:val="auto"/>
              </w:rPr>
            </w:pPr>
            <w:r>
              <w:rPr>
                <w:rFonts w:ascii="Arial" w:cs="Arial" w:eastAsia="Arial" w:hAnsi="Arial"/>
                <w:sz w:val="18"/>
                <w:szCs w:val="18"/>
                <w:color w:val="auto"/>
              </w:rPr>
              <w:t>U.S.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54"/>
              <w:spacing w:after="0"/>
              <w:rPr>
                <w:sz w:val="20"/>
                <w:szCs w:val="20"/>
                <w:color w:val="auto"/>
              </w:rPr>
            </w:pPr>
            <w:r>
              <w:rPr>
                <w:rFonts w:ascii="Arial" w:cs="Arial" w:eastAsia="Arial" w:hAnsi="Arial"/>
                <w:sz w:val="18"/>
                <w:szCs w:val="18"/>
                <w:color w:val="auto"/>
              </w:rPr>
              <w:t>135,581,918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74"/>
              <w:spacing w:after="0"/>
              <w:rPr>
                <w:sz w:val="20"/>
                <w:szCs w:val="20"/>
                <w:color w:val="auto"/>
              </w:rPr>
            </w:pPr>
            <w:r>
              <w:rPr>
                <w:rFonts w:ascii="Arial" w:cs="Arial" w:eastAsia="Arial" w:hAnsi="Arial"/>
                <w:sz w:val="18"/>
                <w:szCs w:val="18"/>
                <w:color w:val="auto"/>
              </w:rPr>
              <w:t>141,383,064</w:t>
            </w:r>
          </w:p>
        </w:tc>
      </w:tr>
      <w:tr>
        <w:trPr>
          <w:trHeight w:val="257"/>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72,785,724</w:t>
            </w:r>
          </w:p>
        </w:tc>
        <w:tc>
          <w:tcPr>
            <w:tcW w:w="120" w:type="dxa"/>
            <w:vAlign w:val="bottom"/>
            <w:shd w:val="clear" w:color="auto" w:fill="CCEEFF"/>
          </w:tcPr>
          <w:p>
            <w:pPr>
              <w:spacing w:after="0"/>
              <w:rPr>
                <w:sz w:val="22"/>
                <w:szCs w:val="22"/>
                <w:color w:val="auto"/>
              </w:rPr>
            </w:pPr>
          </w:p>
        </w:tc>
        <w:tc>
          <w:tcPr>
            <w:tcW w:w="2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78,449,927</w:t>
            </w:r>
          </w:p>
        </w:tc>
      </w:tr>
      <w:tr>
        <w:trPr>
          <w:trHeight w:val="250"/>
        </w:trPr>
        <w:tc>
          <w:tcPr>
            <w:tcW w:w="4460" w:type="dxa"/>
            <w:vAlign w:val="bottom"/>
          </w:tcPr>
          <w:p>
            <w:pPr>
              <w:ind w:left="12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51,136,933</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56,333,694</w:t>
            </w:r>
          </w:p>
        </w:tc>
      </w:tr>
      <w:tr>
        <w:trPr>
          <w:trHeight w:val="263"/>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Mexico</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45,950,481</w:t>
            </w:r>
          </w:p>
        </w:tc>
        <w:tc>
          <w:tcPr>
            <w:tcW w:w="120" w:type="dxa"/>
            <w:vAlign w:val="bottom"/>
            <w:shd w:val="clear" w:color="auto" w:fill="CCEEFF"/>
          </w:tcPr>
          <w:p>
            <w:pPr>
              <w:spacing w:after="0"/>
              <w:rPr>
                <w:sz w:val="22"/>
                <w:szCs w:val="22"/>
                <w:color w:val="auto"/>
              </w:rPr>
            </w:pPr>
          </w:p>
        </w:tc>
        <w:tc>
          <w:tcPr>
            <w:tcW w:w="2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44,410,388</w:t>
            </w:r>
          </w:p>
        </w:tc>
      </w:tr>
      <w:tr>
        <w:trPr>
          <w:trHeight w:val="250"/>
        </w:trPr>
        <w:tc>
          <w:tcPr>
            <w:tcW w:w="4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134,400,531</w:t>
            </w:r>
          </w:p>
        </w:tc>
        <w:tc>
          <w:tcPr>
            <w:tcW w:w="1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135,221,570</w:t>
            </w:r>
          </w:p>
        </w:tc>
      </w:tr>
      <w:tr>
        <w:trPr>
          <w:trHeight w:val="25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439,855,587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455,798,643</w:t>
            </w:r>
          </w:p>
        </w:tc>
      </w:tr>
      <w:tr>
        <w:trPr>
          <w:trHeight w:val="250"/>
        </w:trPr>
        <w:tc>
          <w:tcPr>
            <w:tcW w:w="44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Products (U.S.)</w:t>
            </w:r>
          </w:p>
        </w:tc>
        <w:tc>
          <w:tcPr>
            <w:tcW w:w="200" w:type="dxa"/>
            <w:vAlign w:val="bottom"/>
            <w:tcBorders>
              <w:bottom w:val="single" w:sz="8" w:color="BFE4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13,906,139</w:t>
            </w:r>
          </w:p>
        </w:tc>
        <w:tc>
          <w:tcPr>
            <w:tcW w:w="1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12,790,354</w:t>
            </w:r>
          </w:p>
        </w:tc>
      </w:tr>
      <w:tr>
        <w:trPr>
          <w:trHeight w:val="277"/>
        </w:trPr>
        <w:tc>
          <w:tcPr>
            <w:tcW w:w="446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BFE4FF"/>
          </w:tcPr>
          <w:p>
            <w:pPr>
              <w:jc w:val="right"/>
              <w:ind w:right="54"/>
              <w:spacing w:after="0"/>
              <w:rPr>
                <w:sz w:val="20"/>
                <w:szCs w:val="20"/>
                <w:color w:val="auto"/>
              </w:rPr>
            </w:pPr>
            <w:r>
              <w:rPr>
                <w:rFonts w:ascii="Arial" w:cs="Arial" w:eastAsia="Arial" w:hAnsi="Arial"/>
                <w:sz w:val="18"/>
                <w:szCs w:val="18"/>
                <w:color w:val="auto"/>
              </w:rPr>
              <w:t>453,761,726</w:t>
            </w:r>
          </w:p>
        </w:tc>
        <w:tc>
          <w:tcPr>
            <w:tcW w:w="12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468,588,997</w:t>
            </w:r>
          </w:p>
        </w:tc>
      </w:tr>
      <w:tr>
        <w:trPr>
          <w:trHeight w:val="20"/>
        </w:trPr>
        <w:tc>
          <w:tcPr>
            <w:tcW w:w="446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a pandemic;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month periods ended March 31, 2020 and March 31, 2019:</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5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shd w:val="clear" w:color="auto" w:fill="CCEEFF"/>
          </w:tcPr>
          <w:p>
            <w:pPr>
              <w:spacing w:after="0"/>
              <w:rPr>
                <w:sz w:val="15"/>
                <w:szCs w:val="15"/>
                <w:color w:val="auto"/>
              </w:rPr>
            </w:pPr>
          </w:p>
        </w:tc>
        <w:tc>
          <w:tcPr>
            <w:tcW w:w="2260" w:type="dxa"/>
            <w:vAlign w:val="bottom"/>
            <w:shd w:val="clear" w:color="auto" w:fill="CCEEFF"/>
          </w:tcPr>
          <w:p>
            <w:pPr>
              <w:jc w:val="right"/>
              <w:ind w:right="55"/>
              <w:spacing w:after="0"/>
              <w:rPr>
                <w:sz w:val="20"/>
                <w:szCs w:val="20"/>
                <w:color w:val="auto"/>
              </w:rPr>
            </w:pPr>
            <w:r>
              <w:rPr>
                <w:rFonts w:ascii="Arial" w:cs="Arial" w:eastAsia="Arial" w:hAnsi="Arial"/>
                <w:sz w:val="14"/>
                <w:szCs w:val="14"/>
                <w:b w:val="1"/>
                <w:bCs w:val="1"/>
                <w:color w:val="auto"/>
              </w:rPr>
              <w:t>Three Months Ended March 31,</w:t>
            </w:r>
          </w:p>
        </w:tc>
      </w:tr>
      <w:tr>
        <w:trPr>
          <w:trHeight w:val="202"/>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4"/>
                <w:szCs w:val="14"/>
                <w:b w:val="1"/>
                <w:bCs w:val="1"/>
                <w:color w:val="auto"/>
              </w:rPr>
              <w:t>2019</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Automotive Segment</w:t>
            </w: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57"/>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Automotive Mirrors &amp; Electronics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401,085,314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408,971,666</w:t>
            </w:r>
          </w:p>
        </w:tc>
      </w:tr>
      <w:tr>
        <w:trPr>
          <w:trHeight w:val="257"/>
        </w:trPr>
        <w:tc>
          <w:tcPr>
            <w:tcW w:w="5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HomeLink Modules*</w:t>
            </w:r>
          </w:p>
        </w:tc>
        <w:tc>
          <w:tcPr>
            <w:tcW w:w="1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38,770,273</w:t>
            </w:r>
          </w:p>
        </w:tc>
        <w:tc>
          <w:tcPr>
            <w:tcW w:w="18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46,826,977</w:t>
            </w:r>
          </w:p>
        </w:tc>
      </w:tr>
      <w:tr>
        <w:trPr>
          <w:trHeight w:val="27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439,855,587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455,798,643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50"/>
        </w:trPr>
        <w:tc>
          <w:tcPr>
            <w:tcW w:w="5000" w:type="dxa"/>
            <w:vAlign w:val="bottom"/>
          </w:tcPr>
          <w:p>
            <w:pPr>
              <w:ind w:left="220"/>
              <w:spacing w:after="0"/>
              <w:rPr>
                <w:sz w:val="20"/>
                <w:szCs w:val="20"/>
                <w:color w:val="auto"/>
              </w:rPr>
            </w:pPr>
            <w:r>
              <w:rPr>
                <w:rFonts w:ascii="Arial" w:cs="Arial" w:eastAsia="Arial" w:hAnsi="Arial"/>
                <w:sz w:val="18"/>
                <w:szCs w:val="18"/>
                <w:color w:val="auto"/>
              </w:rPr>
              <w:t>Fire Protection Products</w:t>
            </w:r>
          </w:p>
        </w:tc>
        <w:tc>
          <w:tcPr>
            <w:tcW w:w="120" w:type="dxa"/>
            <w:vAlign w:val="bottom"/>
          </w:tcPr>
          <w:p>
            <w:pPr>
              <w:spacing w:after="0"/>
              <w:rPr>
                <w:sz w:val="21"/>
                <w:szCs w:val="21"/>
                <w:color w:val="auto"/>
              </w:rPr>
            </w:pPr>
          </w:p>
        </w:tc>
        <w:tc>
          <w:tcPr>
            <w:tcW w:w="2200" w:type="dxa"/>
            <w:vAlign w:val="bottom"/>
          </w:tcPr>
          <w:p>
            <w:pPr>
              <w:jc w:val="right"/>
              <w:ind w:right="15"/>
              <w:spacing w:after="0"/>
              <w:rPr>
                <w:sz w:val="20"/>
                <w:szCs w:val="20"/>
                <w:color w:val="auto"/>
              </w:rPr>
            </w:pPr>
            <w:r>
              <w:rPr>
                <w:rFonts w:ascii="Arial" w:cs="Arial" w:eastAsia="Arial" w:hAnsi="Arial"/>
                <w:sz w:val="18"/>
                <w:szCs w:val="18"/>
                <w:color w:val="auto"/>
              </w:rPr>
              <w:t>6,168,751</w:t>
            </w:r>
          </w:p>
        </w:tc>
        <w:tc>
          <w:tcPr>
            <w:tcW w:w="180" w:type="dxa"/>
            <w:vAlign w:val="bottom"/>
          </w:tcPr>
          <w:p>
            <w:pPr>
              <w:spacing w:after="0"/>
              <w:rPr>
                <w:sz w:val="21"/>
                <w:szCs w:val="21"/>
                <w:color w:val="auto"/>
              </w:rPr>
            </w:pPr>
          </w:p>
        </w:tc>
        <w:tc>
          <w:tcPr>
            <w:tcW w:w="2260" w:type="dxa"/>
            <w:vAlign w:val="bottom"/>
          </w:tcPr>
          <w:p>
            <w:pPr>
              <w:jc w:val="right"/>
              <w:ind w:right="55"/>
              <w:spacing w:after="0"/>
              <w:rPr>
                <w:sz w:val="20"/>
                <w:szCs w:val="20"/>
                <w:color w:val="auto"/>
              </w:rPr>
            </w:pPr>
            <w:r>
              <w:rPr>
                <w:rFonts w:ascii="Arial" w:cs="Arial" w:eastAsia="Arial" w:hAnsi="Arial"/>
                <w:sz w:val="18"/>
                <w:szCs w:val="18"/>
                <w:color w:val="auto"/>
              </w:rPr>
              <w:t>5,852,232</w:t>
            </w:r>
          </w:p>
        </w:tc>
      </w:tr>
      <w:tr>
        <w:trPr>
          <w:trHeight w:val="257"/>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Windows Products</w:t>
            </w:r>
          </w:p>
        </w:tc>
        <w:tc>
          <w:tcPr>
            <w:tcW w:w="120" w:type="dxa"/>
            <w:vAlign w:val="bottom"/>
            <w:tcBorders>
              <w:bottom w:val="single" w:sz="8" w:color="auto"/>
            </w:tcBorders>
            <w:shd w:val="clear" w:color="auto" w:fill="CCEEFF"/>
          </w:tcPr>
          <w:p>
            <w:pPr>
              <w:spacing w:after="0"/>
              <w:rPr>
                <w:sz w:val="22"/>
                <w:szCs w:val="22"/>
                <w:color w:val="auto"/>
              </w:rPr>
            </w:pPr>
          </w:p>
        </w:tc>
        <w:tc>
          <w:tcPr>
            <w:tcW w:w="2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7,737,388</w:t>
            </w:r>
          </w:p>
        </w:tc>
        <w:tc>
          <w:tcPr>
            <w:tcW w:w="18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6,938,122</w:t>
            </w:r>
          </w:p>
        </w:tc>
      </w:tr>
      <w:tr>
        <w:trPr>
          <w:trHeight w:val="257"/>
        </w:trPr>
        <w:tc>
          <w:tcPr>
            <w:tcW w:w="5000" w:type="dxa"/>
            <w:vAlign w:val="bottom"/>
          </w:tcPr>
          <w:p>
            <w:pPr>
              <w:ind w:left="20"/>
              <w:spacing w:after="0"/>
              <w:rPr>
                <w:sz w:val="20"/>
                <w:szCs w:val="20"/>
                <w:color w:val="auto"/>
              </w:rPr>
            </w:pPr>
            <w:r>
              <w:rPr>
                <w:rFonts w:ascii="Arial" w:cs="Arial" w:eastAsia="Arial" w:hAnsi="Arial"/>
                <w:sz w:val="18"/>
                <w:szCs w:val="18"/>
                <w:color w:val="auto"/>
              </w:rPr>
              <w:t>Total Other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13,906,139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12,790,354</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37"/>
        </w:trPr>
        <w:tc>
          <w:tcPr>
            <w:tcW w:w="5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r>
    </w:tbl>
    <w:p>
      <w:pPr>
        <w:spacing w:after="0" w:line="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(15) Leases</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has operating leases for corporate offices, warehouses, vehicles, and other equipment, which are included within "Plant and Equipment - Net" section of the Condensed Consolidated Balance Sheets. The leases have remaining lease terms of 1 year to 6 years. The weighted average remaining lease term for operating leases as of March 31, 2020 was 2 years, with a weighted average discount rate of 1.9%.</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March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177800</wp:posOffset>
            </wp:positionV>
            <wp:extent cx="615505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5055" cy="137160"/>
                    </a:xfrm>
                    <a:prstGeom prst="rect">
                      <a:avLst/>
                    </a:prstGeom>
                    <a:noFill/>
                  </pic:spPr>
                </pic:pic>
              </a:graphicData>
            </a:graphic>
          </wp:anchor>
        </w:drawing>
      </w: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1550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55055" cy="8890"/>
                    </a:xfrm>
                    <a:prstGeom prst="rect">
                      <a:avLst/>
                    </a:prstGeom>
                    <a:noFill/>
                  </pic:spPr>
                </pic:pic>
              </a:graphicData>
            </a:graphic>
          </wp:anchor>
        </w:drawing>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(excluding the three months ended March 31, 2020)</w:t>
            </w:r>
          </w:p>
        </w:tc>
        <w:tc>
          <w:tcPr>
            <w:tcW w:w="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712,710</w:t>
            </w:r>
          </w:p>
        </w:tc>
      </w:tr>
      <w:tr>
        <w:trPr>
          <w:trHeight w:val="250"/>
        </w:trPr>
        <w:tc>
          <w:tcPr>
            <w:tcW w:w="7420" w:type="dxa"/>
            <w:vAlign w:val="bottom"/>
          </w:tcPr>
          <w:p>
            <w:pPr>
              <w:ind w:left="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615,756</w:t>
            </w:r>
          </w:p>
        </w:tc>
      </w:tr>
      <w:tr>
        <w:trPr>
          <w:trHeight w:val="26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401,144</w:t>
            </w:r>
          </w:p>
        </w:tc>
      </w:tr>
      <w:tr>
        <w:trPr>
          <w:trHeight w:val="250"/>
        </w:trPr>
        <w:tc>
          <w:tcPr>
            <w:tcW w:w="7420" w:type="dxa"/>
            <w:vAlign w:val="bottom"/>
          </w:tcPr>
          <w:p>
            <w:pPr>
              <w:ind w:left="2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159,027</w:t>
            </w:r>
          </w:p>
        </w:tc>
      </w:tr>
      <w:tr>
        <w:trPr>
          <w:trHeight w:val="26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12,438</w:t>
            </w:r>
          </w:p>
        </w:tc>
      </w:tr>
      <w:tr>
        <w:trPr>
          <w:trHeight w:val="25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2,668</w:t>
            </w:r>
          </w:p>
        </w:tc>
      </w:tr>
      <w:tr>
        <w:trPr>
          <w:trHeight w:val="256"/>
        </w:trPr>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1,903,743</w:t>
            </w:r>
          </w:p>
        </w:tc>
      </w:tr>
      <w:tr>
        <w:trPr>
          <w:trHeight w:val="25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(91,048)</w:t>
            </w:r>
          </w:p>
        </w:tc>
      </w:tr>
      <w:tr>
        <w:trPr>
          <w:trHeight w:val="250"/>
        </w:trPr>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1,812,695</w:t>
            </w:r>
          </w:p>
        </w:tc>
      </w:tr>
      <w:tr>
        <w:trPr>
          <w:trHeight w:val="621"/>
        </w:trPr>
        <w:tc>
          <w:tcPr>
            <w:tcW w:w="7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10"/>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March 31, 2020</w:t>
            </w: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r>
      <w:tr>
        <w:trPr>
          <w:trHeight w:val="256"/>
        </w:trPr>
        <w:tc>
          <w:tcPr>
            <w:tcW w:w="7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844,330</w:t>
            </w:r>
          </w:p>
        </w:tc>
      </w:tr>
      <w:tr>
        <w:trPr>
          <w:trHeight w:val="25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968,365</w:t>
            </w:r>
          </w:p>
        </w:tc>
      </w:tr>
      <w:tr>
        <w:trPr>
          <w:trHeight w:val="250"/>
        </w:trPr>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1,812,695</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(16) Subsequent Event</w:t>
      </w:r>
    </w:p>
    <w:p>
      <w:pPr>
        <w:spacing w:after="0" w:line="252"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On April 8, 2020, the Company acquired Vaporsens, Inc (“Vaporsens”) for $10.5 million, which was in addition to the previous $3.0 million equity investment by the Company in Vaporsens. The Company funded the acquisition with $7.1 million in cash payments, with the remaining $ 3.4 million of consideration paid with restricted common stock of the Company. Vaporsens specializes in nanofiber chemical sensing research and development, which the Company anticipates using to complement and expand its product offerings. Vaporsens is now a 100% owned subsidiary of the Company, and will be classified within the “Other” segment.</w:t>
      </w:r>
    </w:p>
    <w:p>
      <w:pPr>
        <w:spacing w:after="0" w:line="23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The Company is in the process of gathering relevant information needed to complete the initial accounting of the acquisition. As a result, the initial accounting for the acquisition is incomplete, and therefore the Company is unable to disclose the information required by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Such information will be included in the Company’s quarterly Report on Form 10-Q for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COVID-19 on the Company's Business</w:t>
      </w:r>
    </w:p>
    <w:p>
      <w:pPr>
        <w:spacing w:after="0" w:line="274"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The present COVID-19 pandemic began to materially impact the Company's operations late in the first quarter of 2020 and is likely to continue to affect its business, financial condition, and/or results of operations given the negative impact of the pandemic on the global economy and the industries in which the Company operates. In addition, various governmental authorities have imposed mandatory closures, work-from-home orders and social distancing protocols, as well as seeking voluntary facility closures and other restrictions, all of which have negatively impacted the Company. While some of the Company's facilities have been able to continue to operate in a limited way, many of the Company's customers' and suppliers' locations have been closed or operated at a meaningfully diminished capacity, negatively impacting sales at the end of the first quarter of fiscal 2020, during the second quarter of 2020 to date, and likely beyond. COVID-19 has negatively impacted and will likely continue to negatively impact the mix of business resulting from a decrease in sales of certain advance feature products, which typically have higher gross margins and could therefore result in lower overall margins for the Company until the impacts of COVID-19 starts to moderate. As the duration and scope of the COVID-19 pandemic are currently unpredictable, the overall negative financial impact to the Company's business, results of operations, and/or financial condition is not fully known, but is material and may last for an extended period of time.</w:t>
      </w:r>
    </w:p>
    <w:p>
      <w:pPr>
        <w:spacing w:after="0" w:line="237"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Results of the COVID-19 response that have negatively impacted, and may continue to negatively impact, sales and gross margin in the future include, but are not limited to: limitations on the ability of suppliers to manufacture, or procure from manufacturers, the materials and products the Company purchases, or to meet delivery requirements and commitments; limitations on the ability of the Company's employees to perform their work due to illness caused by the pandemic or local, state, or federal orders requiring employees to remain at home; limitations on the ability of carriers to deliver the Company's products to customers; limitations on the ability of the Company's customers to conduct their business and purchase products and services; limitations on the ability of the Company's customers to pay on a timely basis; and long-term economic impact that could change demand for vehicles or the Company's products.</w:t>
      </w:r>
    </w:p>
    <w:p>
      <w:pPr>
        <w:spacing w:after="0" w:line="232"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While the Company is experiencing business disruptions, the Company remains in a good liquidity position, and is confident that the business can continue to operate during this uncertain time given the relative strength of the balance sheet. The Company is continuing to evaluate and take action as appropriate to reduce costs and spending across the organization. Such evaluations and actions include reducing hiring activities, head count reductions, adjusting pay programs, offering early retirement incentives, reducing unnecessary travel, and limiting discretionary spending. The Company has already reduced and will continue to reduce anticipated spending on capital projects. The Company will continue to actively monitor the situation and may take further actions that alter business operations as may be required by federal, state or local authorities or that the Company determines are in the best interests of its employees, customers, suppliers and shareholders. While the Company is unable to determine or predict the nature, duration or scope of the overall negative impact that the COVID-19 pandemic will ultimately have on the Company's business, results of operations, and/or financial condition, the Company believes that it is important to share how the Company's response to COVID-19 is progressing and how its operations and financial condition may change as the fight against COVID-19 progresses.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THREE MONTHS ENDED MARCH 31, 2020 VERSUS THREE MONTHS ENDED MARCH 31, 2019</w:t>
      </w:r>
    </w:p>
    <w:p>
      <w:pPr>
        <w:spacing w:after="0" w:line="16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three months ended March 31, 2020 decreased by $14.8 million or 3%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2019.</w:t>
      </w:r>
    </w:p>
    <w:p>
      <w:pPr>
        <w:spacing w:after="0" w:line="12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Automotive net sales for the first three months of 2020 were $439.9 million, down 3% compared with automotive net sales of $455.8 million for the first three months of 2019, driven by a 3% period over period decrease in automotive mirror unit shipments. North American automotive mirror shipments in the three months ended March 31, 2020 decreased 6% to 3.3 million units compared with the same period in 2019,</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1" w:name="page22"/>
    <w:bookmarkEnd w:id="21"/>
    <w:p>
      <w:pPr>
        <w:jc w:val="both"/>
        <w:spacing w:after="0" w:line="261" w:lineRule="auto"/>
        <w:rPr>
          <w:sz w:val="20"/>
          <w:szCs w:val="20"/>
          <w:color w:val="auto"/>
        </w:rPr>
      </w:pPr>
      <w:r>
        <w:rPr>
          <w:rFonts w:ascii="Arial" w:cs="Arial" w:eastAsia="Arial" w:hAnsi="Arial"/>
          <w:sz w:val="18"/>
          <w:szCs w:val="18"/>
          <w:color w:val="auto"/>
        </w:rPr>
        <w:t>primarily due to a period over period decrease of 9% for North American unit shipments of the Company's interior auto-dimming mirrors.</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months ended March 31, 2020, and 2019 </w:t>
      </w: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37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Borders>
              <w:bottom w:val="single" w:sz="8" w:color="auto"/>
            </w:tcBorders>
          </w:tcPr>
          <w:p>
            <w:pPr>
              <w:spacing w:after="0"/>
              <w:rPr>
                <w:sz w:val="17"/>
                <w:szCs w:val="17"/>
                <w:color w:val="auto"/>
              </w:rPr>
            </w:pPr>
          </w:p>
        </w:tc>
      </w:tr>
      <w:tr>
        <w:trPr>
          <w:trHeight w:val="209"/>
        </w:trPr>
        <w:tc>
          <w:tcPr>
            <w:tcW w:w="466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c>
          <w:tcPr>
            <w:tcW w:w="1780" w:type="dxa"/>
            <w:vAlign w:val="bottom"/>
            <w:tcBorders>
              <w:bottom w:val="single" w:sz="8" w:color="auto"/>
            </w:tcBorders>
          </w:tcPr>
          <w:p>
            <w:pPr>
              <w:jc w:val="right"/>
              <w:ind w:right="932"/>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r>
      <w:tr>
        <w:trPr>
          <w:trHeight w:val="25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9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2,019</w:t>
            </w:r>
          </w:p>
        </w:tc>
        <w:tc>
          <w:tcPr>
            <w:tcW w:w="17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2,227</w:t>
            </w:r>
          </w:p>
        </w:tc>
        <w:tc>
          <w:tcPr>
            <w:tcW w:w="12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(9)%</w:t>
            </w:r>
          </w:p>
        </w:tc>
      </w:tr>
      <w:tr>
        <w:trPr>
          <w:trHeight w:val="25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9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1,234</w:t>
            </w:r>
          </w:p>
        </w:tc>
        <w:tc>
          <w:tcPr>
            <w:tcW w:w="17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1,229</w:t>
            </w:r>
          </w:p>
        </w:tc>
        <w:tc>
          <w:tcPr>
            <w:tcW w:w="122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99"/>
              </w:rPr>
              <w:t>—%</w:t>
            </w:r>
          </w:p>
        </w:tc>
      </w:tr>
      <w:tr>
        <w:trPr>
          <w:trHeight w:val="257"/>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North American Mirror Units</w:t>
            </w:r>
          </w:p>
        </w:tc>
        <w:tc>
          <w:tcPr>
            <w:tcW w:w="19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3,253</w:t>
            </w:r>
          </w:p>
        </w:tc>
        <w:tc>
          <w:tcPr>
            <w:tcW w:w="17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3,455</w:t>
            </w:r>
          </w:p>
        </w:tc>
        <w:tc>
          <w:tcPr>
            <w:tcW w:w="12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(6)%</w:t>
            </w:r>
          </w:p>
        </w:tc>
      </w:tr>
      <w:tr>
        <w:trPr>
          <w:trHeight w:val="270"/>
        </w:trPr>
        <w:tc>
          <w:tcPr>
            <w:tcW w:w="46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9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5,032</w:t>
            </w:r>
          </w:p>
        </w:tc>
        <w:tc>
          <w:tcPr>
            <w:tcW w:w="17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5,256</w:t>
            </w:r>
          </w:p>
        </w:tc>
        <w:tc>
          <w:tcPr>
            <w:tcW w:w="12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(4)%</w:t>
            </w:r>
          </w:p>
        </w:tc>
      </w:tr>
      <w:tr>
        <w:trPr>
          <w:trHeight w:val="25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9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2,108</w:t>
            </w:r>
          </w:p>
        </w:tc>
        <w:tc>
          <w:tcPr>
            <w:tcW w:w="17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1,971</w:t>
            </w:r>
          </w:p>
        </w:tc>
        <w:tc>
          <w:tcPr>
            <w:tcW w:w="122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99"/>
              </w:rPr>
              <w:t>7%</w:t>
            </w:r>
          </w:p>
        </w:tc>
      </w:tr>
      <w:tr>
        <w:trPr>
          <w:trHeight w:val="257"/>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 Mirror Units</w:t>
            </w:r>
          </w:p>
        </w:tc>
        <w:tc>
          <w:tcPr>
            <w:tcW w:w="19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7,141</w:t>
            </w:r>
          </w:p>
        </w:tc>
        <w:tc>
          <w:tcPr>
            <w:tcW w:w="17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7,227</w:t>
            </w:r>
          </w:p>
        </w:tc>
        <w:tc>
          <w:tcPr>
            <w:tcW w:w="12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(1)%</w:t>
            </w:r>
          </w:p>
        </w:tc>
      </w:tr>
      <w:tr>
        <w:trPr>
          <w:trHeight w:val="270"/>
        </w:trPr>
        <w:tc>
          <w:tcPr>
            <w:tcW w:w="46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9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7,051</w:t>
            </w:r>
          </w:p>
        </w:tc>
        <w:tc>
          <w:tcPr>
            <w:tcW w:w="17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7,483</w:t>
            </w:r>
          </w:p>
        </w:tc>
        <w:tc>
          <w:tcPr>
            <w:tcW w:w="12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(6)%</w:t>
            </w:r>
          </w:p>
        </w:tc>
      </w:tr>
      <w:tr>
        <w:trPr>
          <w:trHeight w:val="25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9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3,343</w:t>
            </w:r>
          </w:p>
        </w:tc>
        <w:tc>
          <w:tcPr>
            <w:tcW w:w="17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3,199</w:t>
            </w:r>
          </w:p>
        </w:tc>
        <w:tc>
          <w:tcPr>
            <w:tcW w:w="122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99"/>
              </w:rPr>
              <w:t>5%</w:t>
            </w:r>
          </w:p>
        </w:tc>
      </w:tr>
      <w:tr>
        <w:trPr>
          <w:trHeight w:val="282"/>
        </w:trPr>
        <w:tc>
          <w:tcPr>
            <w:tcW w:w="46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Auto-Dimming Mirror Units</w:t>
            </w:r>
          </w:p>
        </w:tc>
        <w:tc>
          <w:tcPr>
            <w:tcW w:w="19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10,394</w:t>
            </w:r>
          </w:p>
        </w:tc>
        <w:tc>
          <w:tcPr>
            <w:tcW w:w="17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10,682</w:t>
            </w:r>
          </w:p>
        </w:tc>
        <w:tc>
          <w:tcPr>
            <w:tcW w:w="1220" w:type="dxa"/>
            <w:vAlign w:val="bottom"/>
            <w:tcBorders>
              <w:bottom w:val="single" w:sz="8" w:color="auto"/>
            </w:tcBorders>
            <w:shd w:val="clear" w:color="auto" w:fill="CCEEFF"/>
          </w:tcPr>
          <w:p>
            <w:pPr>
              <w:jc w:val="center"/>
              <w:ind w:right="232"/>
              <w:spacing w:after="0"/>
              <w:rPr>
                <w:sz w:val="20"/>
                <w:szCs w:val="20"/>
                <w:color w:val="auto"/>
              </w:rPr>
            </w:pPr>
            <w:r>
              <w:rPr>
                <w:rFonts w:ascii="Arial" w:cs="Arial" w:eastAsia="Arial" w:hAnsi="Arial"/>
                <w:sz w:val="18"/>
                <w:szCs w:val="18"/>
                <w:color w:val="auto"/>
                <w:w w:val="99"/>
              </w:rPr>
              <w:t>(3)%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00" w:lineRule="exact"/>
        <w:rPr>
          <w:sz w:val="20"/>
          <w:szCs w:val="20"/>
          <w:color w:val="auto"/>
        </w:rPr>
      </w:pPr>
    </w:p>
    <w:p>
      <w:pPr>
        <w:spacing w:after="0" w:line="20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65.5% for the first three months of 2020,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63.8% in the same quarter last year. The quarter over quarter decrease in the gross profit margin was primarily the result of annual customer price reductions and the Company's inability to leverage fixed overhead as a result of COVID-19 related shutdowns and decreases in demand, which were partially offset by improvements in product mix related to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purchasing cost reductions. On a quarter over quarter basis, annual customer price reductions had a negative impact of approximately 150 - 200 basis points and the inability to leverage fixed overhead had a negative impact of approximately 50 - 100 basis points. Purchasing cost reductions and product mix improvements each independently had a positive impact on a quarter over quarter basis of approximately 50 - 100 basis points.</w:t>
      </w:r>
      <w:r>
        <w:rPr>
          <w:rFonts w:ascii="MS PGothic" w:cs="MS PGothic" w:eastAsia="MS PGothic" w:hAnsi="MS PGothic"/>
          <w:sz w:val="18"/>
          <w:szCs w:val="18"/>
          <w:color w:val="auto"/>
        </w:rPr>
        <w:t> </w:t>
      </w:r>
    </w:p>
    <w:p>
      <w:pPr>
        <w:spacing w:after="0" w:line="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three months ended March 31, 2020 increased 5% or $1.5 million when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same quarter last year, primarily due to increased staffing levels related to development and launch of new business.</w:t>
      </w:r>
    </w:p>
    <w:p>
      <w:pPr>
        <w:spacing w:after="0" w:line="130"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S, G &amp; A expenses for the first three months of 2020 increased 10% or $2.0 million when compared with the same quarter last year, primarily due to increases in staffing levels and benefits, other resources associated with mitigation of the impacts of the global COVID-19 pandemic, increased legal and professional fees associated with an acquisition of new technology described in </w:t>
      </w:r>
      <w:hyperlink w:anchor="page20">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 and ongoing focus on tax planning.</w:t>
      </w:r>
    </w:p>
    <w:p>
      <w:pPr>
        <w:spacing w:after="0" w:line="13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i w:val="1"/>
          <w:iCs w:val="1"/>
          <w:u w:val="single" w:color="auto"/>
          <w:color w:val="auto"/>
        </w:rPr>
        <w:t>Total Other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Total other income for the three months ended March 31, 2020 decreased by $1.1 million when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quarter last year, primarily due to lower quarter over quarter investment income compared to the first three months of 2019.</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16.6% for the three months ended March 31, 2020 compared to 16.5%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quarter of 2019. The increase in the effective tax rate for the three months ended March 31, 2020 compared to the same quarter of 2019 was primarily due to a decrease in discrete tax benefits related to equity compensation in the first quarter of 2020.</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three months ended March 31, 2020 decreased by $14.8 million or 14% to $89.5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$104.3 million in the same quarter last year, due to the lower net sales and the corresponding decrease in gross margin, as well as the increases in operating expenses described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097" w:right="3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The Company's cash and cash equivalents as of March 31, 2020 were $278.5 million, which decreased $17.8 million compared to $296.3 million as of December 31, 2019. The decrease was primarily due to share repurchases, dividend payments and capital expenditures, which were partially offset by cash flows from operations and the draw-down of $75 million on the Company's line of credit during the three months ended March 31, 2020.</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Short-term investments as of March 31, 2020 were $131.1 million, down from $140.4 million as of December 31, 2019, and Long-term investments were $177.8 million as of March 31, 2020, compared to $139.9 million as of December 31, 2019. Changes in the investments balances were primarily driven by changes in fixed income investment maturities within the investment portfolio.</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Accounts receivable as of March 31, 2020 decreased approximately $1.8 million compared to December 31, 2019, primarily due to the decrease in sales during the most recently completed quarter, as well as timing of sales within each of the comparative quarters.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March 31, 2020 were $251.0 million, compared to $248.9 million as of December 31, 2019.</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Accounts payable as of March 31, 2020 increased approximately $2.5 million to $100.1 million when compared to December 31, 2019.</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Accrued liabilities as of March 31, 2020 increased approximately $14.6 million compared to December 31, 2019, primarily due to an increase in accrued salaries and wages and tax liabilities due to timing of certain wage and tax payments.</w:t>
      </w:r>
    </w:p>
    <w:p>
      <w:pPr>
        <w:spacing w:after="0" w:line="130"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current portion of long-term debt as of March 31, 2020 increased $75.0 million compared to December 31, 2019 as a result of the draw-down of $75.0 million on the Company's $150 million line of credit as is further detailed in </w:t>
      </w:r>
      <w:hyperlink w:anchor="page16">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 from operating activities for the three months ended March 31, 2020 increased $17.4 million to $151.3 million, compared with $ 133.8 million during the same three month period last year, primarily due to changes in working capital, which were partially offset by lower net income.</w:t>
      </w:r>
    </w:p>
    <w:p>
      <w:pPr>
        <w:spacing w:after="0" w:line="1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Capital expenditures for the three months ended March 31, 2020 were approximately $15.6 million, compared with approximately $16.8 million for the same three month period last year.</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mirror units annually and approximately 14 - 17 million exterior mirror units annually, based on current product mix. The Company evaluates equipment capacity on an ongoing basis and adds equipment as needed.</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646,769,592</w:t>
            </w: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778,530,092</w:t>
            </w:r>
          </w:p>
        </w:tc>
      </w:tr>
      <w:tr>
        <w:trPr>
          <w:trHeight w:val="25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177,794,760</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139,909,323</w:t>
            </w:r>
          </w:p>
        </w:tc>
      </w:tr>
      <w:tr>
        <w:trPr>
          <w:trHeight w:val="27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824,564,352</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918,439,415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decrease in working capital as of March 31, 2020 is primarily due to share repurchases, dividend payments and capital expenditures. In order to continue to maintain maximum flexibility and liquidity, in the first quarter of 2020 the Company drew-down $75 million on its line of credit, which is classified as short-term debt as discussed in </w:t>
      </w:r>
      <w:hyperlink w:anchor="page16">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 The Company believes it has the ability and has the intent to repay the full balance in the next twelve months.</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097" w:right="339" w:bottom="1440" w:gutter="0" w:footer="0" w:header="0"/>
        </w:sectPr>
      </w:pPr>
    </w:p>
    <w:bookmarkStart w:id="23" w:name="page24"/>
    <w:bookmarkEnd w:id="23"/>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As previously disclosed, the Company intends to continue to repurchase additional shares of common stock in the future in support of the capital allocation strategy, but share repurchases may vary from time to time and will take into account macroeconomic events, market trends, and other factors the Company deems appropriate (including the market price of the stock, anti-dilutive effect of repurchases, and available cash). During the three months ended March 31, 2020, the Company repurchased 7,019,032 shares. The Company has 13,046,287 shares remaining under the plan as of March 31, 2020, as is further detailed in </w:t>
      </w:r>
      <w:hyperlink w:anchor="page33">
        <w:r>
          <w:rPr>
            <w:rFonts w:ascii="Arial" w:cs="Arial" w:eastAsia="Arial" w:hAnsi="Arial"/>
            <w:sz w:val="18"/>
            <w:szCs w:val="18"/>
            <w:u w:val="single" w:color="auto"/>
            <w:color w:val="0000FF"/>
          </w:rPr>
          <w:t>Part II, Item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the first quarter of 2020, the Company reported net sales of $453.8 million, which was a decrease of 3% compared to net sales of $468.6 million in the first quarter of 2019. The impact of the COVID-19 pandemic and the resulting shut downs in the automotive industry in various parts of Asia, Europe, and North America, resulted in an estimated negative impact on net sales of approximately $40 million dollars for the first quarter of 2020. The Company’s decrease of 3% in sales was in comparison to global light vehicle production levels that dropped 24% for the first quarter of 2020 when compared to the first quarter of 2019. The Company's overall revenue out-performance was largely due to the success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as well as exterior electrochromic mirror unit growth.</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Interior and exterior auto-dimming mirrors and advanced electronic features were launched on 12 new vehicle models during the first quarter of 2020. Despite challenging economic conditions created by the COVID-19 pandemic, the Company's net launch rate for inside auto-dimming mirrors and advanced features was the highest first quarter launch rate of the last 3 years. The base inside auto-dimming mirror launches included new models in all of major markets despite the COVID-19 pandemic, while advanced feature launches were led by new models for both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7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4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the first quarter of 2020, the Company announced Aston Martin at CES and began shipping for Mitsubishi as two additional OEMs for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As of the first quarter of 2020,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six automaker customers, which are General Motors, Subaru, Toyota, Nissan, Jaguar Land Rover, and Mitsubishi, and expects to begin shipping for Aston Martin around mid-year in 2020. The Company is currently shipping on 38 nameplates. The Company continues to see interest from other automotive customers and is negotiating with other customers on an on-going basis. The Company remains confident that on-going discussions with certain other customers, in the future, may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2017, the Company introduced a new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92" w:right="339" w:bottom="1440" w:gutter="0" w:footer="0" w:header="0"/>
        </w:sectPr>
      </w:pPr>
    </w:p>
    <w:bookmarkStart w:id="24" w:name="page25"/>
    <w:bookmarkEnd w:id="24"/>
    <w:p>
      <w:pPr>
        <w:jc w:val="both"/>
        <w:spacing w:after="0" w:line="246" w:lineRule="auto"/>
        <w:rPr>
          <w:sz w:val="20"/>
          <w:szCs w:val="20"/>
          <w:color w:val="auto"/>
        </w:rPr>
      </w:pPr>
      <w:r>
        <w:rPr>
          <w:rFonts w:ascii="Arial" w:cs="Arial" w:eastAsia="Arial" w:hAnsi="Arial"/>
          <w:sz w:val="18"/>
          <w:szCs w:val="18"/>
          <w:color w:val="auto"/>
        </w:rPr>
        <w:t>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 In January 2020, the Company announced a collaboration with Aston Martin to bring CMS to future Aston Martin vehicles.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("NHTSA") to allow automakers to use cameras as an option to replace conventional rearview mirrors within the United States.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18, 2019, a petition for temporary exemption from FMVSS 111 submitted by Audi of America was published requesting NHTSA to grant a two-year exemption to sell up to 2,500 vehicles for each twelve month period (up to 5,000 vehicles) that are equipped with camera monitoring systems and do not include FMVSS 111 compliant outside mirrors.</w:t>
      </w:r>
    </w:p>
    <w:p>
      <w:pPr>
        <w:spacing w:after="0" w:line="1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is currently in production with a rear vision camera system that streams rear video to a rearview-mirror-integrated display using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Company's CMS solution uses three cameras to provide a comprehensive view of the sides and rear of the vehicle. The Company also continues development in the areas of imager performance, camera dynamic range, lens design, image processing from the camera to the display, and camera lens cleaning. The Company acknowledges that as</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25" w:name="page26"/>
    <w:bookmarkEnd w:id="25"/>
    <w:p>
      <w:pPr>
        <w:jc w:val="both"/>
        <w:spacing w:after="0" w:line="261" w:lineRule="auto"/>
        <w:rPr>
          <w:sz w:val="20"/>
          <w:szCs w:val="20"/>
          <w:color w:val="auto"/>
        </w:rPr>
      </w:pPr>
      <w:r>
        <w:rPr>
          <w:rFonts w:ascii="Arial" w:cs="Arial" w:eastAsia="Arial" w:hAnsi="Arial"/>
          <w:sz w:val="18"/>
          <w:szCs w:val="18"/>
          <w:color w:val="auto"/>
        </w:rPr>
        <w:t>such technology evolves over time, such as cameras replacing mirrors and/or autonomous driving, there could be increased competition.</w:t>
      </w:r>
    </w:p>
    <w:p>
      <w:pPr>
        <w:spacing w:after="0" w:line="11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uses both RF and wireless cloud-based connectivity to deliver complete vehicle-to-home automation.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via Bluetooth Low Energy. The app contains predefined, user-programmed actions, from single device operations to entire home automation scenes. The app, in turn, communicates to the home’s smart hub over the cloud server network and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the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 markets like China. The unique attributes of the China market allow for potential new use cases of these products and offer what the Company believes to be a real opportunity for growth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Company signed an exclusive agreement, in the ordinary course of business, to integrate TransCore's toll module technology into the Company's rearview mirrors. In January 2017, the Company signed an extension of its agreement in the ordinary course of business, which enables the Company to offer the Integrated Toll Module system in Canada and Mexico. In September 2019, the Company signed a new agreement with TransCore in the ordinary course of business which extended the term</w:t>
      </w:r>
    </w:p>
    <w:p>
      <w:pPr>
        <w:spacing w:after="0" w:line="14"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of the partnership.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 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In the first quarter of 2019, the Company began its first volume shipments of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to Audi. During the second quarter of 2019, the first consumers began registering their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systems online to activate the device and began using the system for normal tolling use. The Company will monitor and assess feedback from consumers, dealers, and the OEM in order to help others understand the use case and acceptance of this product. Over the next 18 months,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as well as the initial launch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 two additional OEMs. These OEM launches are targeted to begin production shipments in the 2020 or 2021 time periods. In April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which recognizes automotive suppliers for superior innovation, technological advancement, and business performance.</w:t>
      </w:r>
    </w:p>
    <w:p>
      <w:pPr>
        <w:spacing w:after="0" w:line="23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097" w:right="339" w:bottom="1440" w:gutter="0" w:footer="0" w:header="0"/>
        </w:sectPr>
      </w:pPr>
    </w:p>
    <w:bookmarkStart w:id="26" w:name="page27"/>
    <w:bookmarkEnd w:id="26"/>
    <w:p>
      <w:pPr>
        <w:jc w:val="both"/>
        <w:spacing w:after="0" w:line="230" w:lineRule="auto"/>
        <w:rPr>
          <w:sz w:val="20"/>
          <w:szCs w:val="20"/>
          <w:color w:val="auto"/>
        </w:rPr>
      </w:pPr>
      <w:r>
        <w:rPr>
          <w:rFonts w:ascii="Arial" w:cs="Arial" w:eastAsia="Arial" w:hAnsi="Arial"/>
          <w:sz w:val="18"/>
          <w:szCs w:val="18"/>
          <w:color w:val="auto"/>
        </w:rPr>
        <w:t>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16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January 2018, the Company also announced that an agreement had been signed, in the ordinary course of business, to participate in a round of financing with Yonomi, the Company's partner in home automation technology. The Company is working with Yonomi as a home automation aggregation partner and the Company has developed an app and cloud infrastructure known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As discussed above,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home automation app that pairs with the vehicle and allows drivers to operate home automation devices from the vehicle's center console display. Drivers of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has had the effect of replacing, and could potentially continue replacing,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14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In March 2020, HR 6256 was introduced, which would require NHTSA to update NCAP.</w:t>
      </w:r>
    </w:p>
    <w:p>
      <w:pPr>
        <w:spacing w:after="0" w:line="23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38" w:right="339" w:bottom="1440" w:gutter="0" w:footer="0" w:header="0"/>
        </w:sectPr>
      </w:pPr>
    </w:p>
    <w:bookmarkStart w:id="27" w:name="page28"/>
    <w:bookmarkEnd w:id="27"/>
    <w:p>
      <w:pPr>
        <w:jc w:val="both"/>
        <w:spacing w:after="0" w:line="218" w:lineRule="auto"/>
        <w:rPr>
          <w:sz w:val="20"/>
          <w:szCs w:val="20"/>
          <w:color w:val="auto"/>
        </w:rPr>
      </w:pPr>
      <w:r>
        <w:rPr>
          <w:rFonts w:ascii="Arial" w:cs="Arial" w:eastAsia="Arial" w:hAnsi="Arial"/>
          <w:sz w:val="18"/>
          <w:szCs w:val="18"/>
          <w:color w:val="auto"/>
        </w:rPr>
        <w:t>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In January 2020, the Company announced that Airbus will also be offering the Company's dimmable aircraft windows on its aircraft with production starting in late 2020.</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2020, the Company will be continuing to work on the intelligent medical lighting system in preparation for clinical trials in order to assess system performance and work toward obtaining any necessary approvals. The Company estimates that it could take 18 to 24 months to complete these trials, before a system could be available for commercial applications.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Automotive revenues represent approximately 97% - 98% of the Company's total revenue, consisting of interior and exterior electrochromic automatic-dimming rearview mirrors and automotive electronics.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does continue to experience pricing pressure from its automotive customers and competitors, which will continue to cause downward pressure on its sales and profit margins. The Company works continuously to offset these price reductions with engineering and purchasing cost reductions, productivity improvements, and increases in unit sales volume, but there is no assurance the Company will be able to do so in the future.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The Company has been likewise affected by the COVID-19 pandemic.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and other electronic features that it offers in vehicles and the aerospace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3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forecasts for light vehicle production for the second quarter and full year of 2020 are based on IHS Markit's mid-April 2020 forecasts for light vehicle production in North America, Europe, China, and Japan and Korea. The Company's forecast also takes into account the fact that many of our OEM customers remain in full or partial shutdown, with certain customers not scheduled to resume operations until mid-May or later. Based on this information, global light vehicle production for calendar year 2020 in the Company's primary regions is expected to decline 20% compared to 2019 as detailed below:</w:t>
      </w:r>
    </w:p>
    <w:p>
      <w:pPr>
        <w:spacing w:after="0" w:line="259"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color w:val="auto"/>
        </w:rPr>
        <w:t>Light Vehicle Production (per IHS Markit Automotive mid-April light vehicle production forecast)</w:t>
      </w:r>
    </w:p>
    <w:p>
      <w:pPr>
        <w:spacing w:after="0" w:line="31"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i w:val="1"/>
          <w:iCs w:val="1"/>
          <w:color w:val="auto"/>
        </w:rPr>
        <w:t>(in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35"/>
              <w:spacing w:after="0"/>
              <w:rPr>
                <w:sz w:val="20"/>
                <w:szCs w:val="20"/>
                <w:color w:val="auto"/>
              </w:rPr>
            </w:pPr>
            <w:r>
              <w:rPr>
                <w:rFonts w:ascii="Arial" w:cs="Arial" w:eastAsia="Arial" w:hAnsi="Arial"/>
                <w:sz w:val="14"/>
                <w:szCs w:val="14"/>
                <w:b w:val="1"/>
                <w:bCs w:val="1"/>
                <w:color w:val="auto"/>
              </w:rPr>
              <w:t>Calendar</w:t>
            </w:r>
          </w:p>
        </w:tc>
        <w:tc>
          <w:tcPr>
            <w:tcW w:w="940" w:type="dxa"/>
            <w:vAlign w:val="bottom"/>
          </w:tcPr>
          <w:p>
            <w:pPr>
              <w:jc w:val="right"/>
              <w:ind w:right="155"/>
              <w:spacing w:after="0"/>
              <w:rPr>
                <w:sz w:val="20"/>
                <w:szCs w:val="20"/>
                <w:color w:val="auto"/>
              </w:rPr>
            </w:pPr>
            <w:r>
              <w:rPr>
                <w:rFonts w:ascii="Arial" w:cs="Arial" w:eastAsia="Arial" w:hAnsi="Arial"/>
                <w:sz w:val="14"/>
                <w:szCs w:val="14"/>
                <w:b w:val="1"/>
                <w:bCs w:val="1"/>
                <w:color w:val="auto"/>
              </w:rPr>
              <w:t>Calendar</w:t>
            </w:r>
          </w:p>
        </w:tc>
        <w:tc>
          <w:tcPr>
            <w:tcW w:w="940" w:type="dxa"/>
            <w:vAlign w:val="bottom"/>
          </w:tcPr>
          <w:p>
            <w:pPr>
              <w:spacing w:after="0"/>
              <w:rPr>
                <w:sz w:val="14"/>
                <w:szCs w:val="14"/>
                <w:color w:val="auto"/>
              </w:rPr>
            </w:pPr>
          </w:p>
        </w:tc>
      </w:tr>
      <w:tr>
        <w:trPr>
          <w:trHeight w:val="202"/>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Region</w:t>
            </w:r>
          </w:p>
        </w:tc>
        <w:tc>
          <w:tcPr>
            <w:tcW w:w="1000" w:type="dxa"/>
            <w:vAlign w:val="bottom"/>
          </w:tcPr>
          <w:p>
            <w:pPr>
              <w:jc w:val="right"/>
              <w:ind w:right="173"/>
              <w:spacing w:after="0"/>
              <w:rPr>
                <w:sz w:val="20"/>
                <w:szCs w:val="20"/>
                <w:color w:val="auto"/>
              </w:rPr>
            </w:pPr>
            <w:r>
              <w:rPr>
                <w:rFonts w:ascii="Arial" w:cs="Arial" w:eastAsia="Arial" w:hAnsi="Arial"/>
                <w:sz w:val="14"/>
                <w:szCs w:val="14"/>
                <w:b w:val="1"/>
                <w:bCs w:val="1"/>
                <w:color w:val="auto"/>
              </w:rPr>
              <w:t>Q2 2020</w:t>
            </w:r>
          </w:p>
        </w:tc>
        <w:tc>
          <w:tcPr>
            <w:tcW w:w="900" w:type="dxa"/>
            <w:vAlign w:val="bottom"/>
          </w:tcPr>
          <w:p>
            <w:pPr>
              <w:jc w:val="right"/>
              <w:ind w:right="173"/>
              <w:spacing w:after="0"/>
              <w:rPr>
                <w:sz w:val="20"/>
                <w:szCs w:val="20"/>
                <w:color w:val="auto"/>
              </w:rPr>
            </w:pPr>
            <w:r>
              <w:rPr>
                <w:rFonts w:ascii="Arial" w:cs="Arial" w:eastAsia="Arial" w:hAnsi="Arial"/>
                <w:sz w:val="14"/>
                <w:szCs w:val="14"/>
                <w:b w:val="1"/>
                <w:bCs w:val="1"/>
                <w:color w:val="auto"/>
              </w:rPr>
              <w:t>Q2 2019</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rPr>
              <w:t>Year 2020</w:t>
            </w:r>
          </w:p>
        </w:tc>
        <w:tc>
          <w:tcPr>
            <w:tcW w:w="940" w:type="dxa"/>
            <w:vAlign w:val="bottom"/>
          </w:tcPr>
          <w:p>
            <w:pPr>
              <w:jc w:val="right"/>
              <w:ind w:right="115"/>
              <w:spacing w:after="0"/>
              <w:rPr>
                <w:sz w:val="20"/>
                <w:szCs w:val="20"/>
                <w:color w:val="auto"/>
              </w:rPr>
            </w:pPr>
            <w:r>
              <w:rPr>
                <w:rFonts w:ascii="Arial" w:cs="Arial" w:eastAsia="Arial" w:hAnsi="Arial"/>
                <w:sz w:val="14"/>
                <w:szCs w:val="14"/>
                <w:b w:val="1"/>
                <w:bCs w:val="1"/>
                <w:color w:val="auto"/>
              </w:rPr>
              <w:t>Year 2019</w:t>
            </w:r>
          </w:p>
        </w:tc>
        <w:tc>
          <w:tcPr>
            <w:tcW w:w="940" w:type="dxa"/>
            <w:vAlign w:val="bottom"/>
          </w:tcPr>
          <w:p>
            <w:pPr>
              <w:jc w:val="right"/>
              <w:ind w:right="7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0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4.24</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22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16.31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57"/>
        </w:trPr>
        <w:tc>
          <w:tcPr>
            <w:tcW w:w="3880" w:type="dxa"/>
            <w:vAlign w:val="bottom"/>
          </w:tcPr>
          <w:p>
            <w:pPr>
              <w:ind w:left="20"/>
              <w:spacing w:after="0"/>
              <w:rPr>
                <w:sz w:val="20"/>
                <w:szCs w:val="20"/>
                <w:color w:val="auto"/>
              </w:rPr>
            </w:pPr>
            <w:r>
              <w:rPr>
                <w:rFonts w:ascii="Arial" w:cs="Arial" w:eastAsia="Arial" w:hAnsi="Arial"/>
                <w:sz w:val="18"/>
                <w:szCs w:val="18"/>
                <w:color w:val="auto"/>
              </w:rPr>
              <w:t>Europe</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5.61</w:t>
            </w:r>
          </w:p>
        </w:tc>
        <w:tc>
          <w:tcPr>
            <w:tcW w:w="960" w:type="dxa"/>
            <w:vAlign w:val="bottom"/>
          </w:tcPr>
          <w:p>
            <w:pPr>
              <w:jc w:val="right"/>
              <w:spacing w:after="0"/>
              <w:rPr>
                <w:sz w:val="20"/>
                <w:szCs w:val="20"/>
                <w:color w:val="auto"/>
              </w:rPr>
            </w:pPr>
            <w:r>
              <w:rPr>
                <w:rFonts w:ascii="Arial" w:cs="Arial" w:eastAsia="Arial" w:hAnsi="Arial"/>
                <w:sz w:val="18"/>
                <w:szCs w:val="18"/>
                <w:color w:val="auto"/>
              </w:rPr>
              <w:t>(55) %</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15.98</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21.08</w:t>
            </w:r>
          </w:p>
        </w:tc>
        <w:tc>
          <w:tcPr>
            <w:tcW w:w="94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5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5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4.86</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24.67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8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Light Vehicle Production</w:t>
            </w: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10.89</w:t>
            </w: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18.71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59.78</w:t>
            </w: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75.17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the aforementioned IHS Markit light vehicle production forecasts, current forecasted product mix, expense growth estimates, actual performance through the first three months of 2020, and estimates regarding the impact of the COVID-19 pandemic that are detailed herein, the Company has provided certain updates to its previously announced annual guidance ranges, which are set forth below. Such guidance for 2020 reflects the Company's best estimate of the impact of the ongoing COVID-19 pandemic, as well as changes to the IHS Markit's estimates for light vehicle production for the second quarter and the remainder of 2020.</w:t>
      </w:r>
    </w:p>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the aforementioned, the Company currently estimates that top line revenue for calendar year 2020 will be between $1.58 and $1.67 billion. The Company's forecast also takes into account the fact that many of our customers are in full or partial shutdown, with some of its customers not scheduled to resume operations until mid-May or later. Ongoing uncertainties remain around the impact of the COVID-19 pandemic on customer demand and restrictions on operations. COVID-19 has created unprecedented circumstances for the Company's industries, which included massive changes to production levels at its customers, which occurred in a very short time period. The Company's industries have also been significantly influenced by federal, state and local governments in each of the countries where our customers operate. Unfortunately, many of these changes have come with little or no advanced warning, which makes it very difficult to forecast sales or build a sustainable operating model. Beyond the impact of the COVID-19 pandemic, other ongoing uncertainties remain including: light vehicle production levels; impacts of already in place and potential additional future tariffs; impacts of regulation changes; automotive plant shutdowns; supplier part shortages; sales rates in Europe, Asia and North America; OEM strategies and cost pressures; customer inventory management and the impact of potential automotive customer (including their Tier 1 suppliers) and supplier bankruptcies; work stoppages, etc., all of which could disrupt shipments to these customers and make forecasting difficult.</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updated net sales guidance for calendar year 2020, as well as actual results for the first three months of 2020 and anticipated product mix, the Company has estimated that the gross margin will be between 34% and 35% for calendar year 2020.</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an effort to manage the cost structure of the Company in light of the impacts of the COVID-19 pandemic, the Company is also lowering the guidance range for operating expenses, which include E, R &amp; D expenses and S, G &amp; A expenses, by $10 million dollars. The Company has estimated that its operating expenses are now expected to be approximately $195 - $205 million for calendar year 2020, primarily due to staffing costs and professional fees, which continue to support growth and the development of new business and technology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3" w:right="339" w:bottom="1440" w:gutter="0" w:footer="0" w:header="0"/>
        </w:sectPr>
      </w:pPr>
    </w:p>
    <w:bookmarkStart w:id="29" w:name="page30"/>
    <w:bookmarkEnd w:id="29"/>
    <w:p>
      <w:pPr>
        <w:jc w:val="both"/>
        <w:spacing w:after="0" w:line="254" w:lineRule="auto"/>
        <w:rPr>
          <w:sz w:val="20"/>
          <w:szCs w:val="20"/>
          <w:color w:val="auto"/>
        </w:rPr>
      </w:pPr>
      <w:r>
        <w:rPr>
          <w:rFonts w:ascii="Arial" w:cs="Arial" w:eastAsia="Arial" w:hAnsi="Arial"/>
          <w:sz w:val="18"/>
          <w:szCs w:val="18"/>
          <w:color w:val="auto"/>
        </w:rPr>
        <w:t>As part of the Company's renewed focus on optimizing its cost structure over the remainder of the year, and based on actual spending levels through the first three months of 2020, the Company now anticipates that 2020 capital expenditures will be approximately $60 - $70 million, the majority of which will be equipment purchases. Capital expenditures in calendar year 2020 are currently anticipated to be financed from current cash and cash equivalents on hand and cash flows from operating activities.</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actual results for the first three months of 2020, and expected projects in the remainder of the year, the Company now estimates that depreciation and amortization expense for calendar year 2020 will be approximately $102 - $107 million.</w:t>
      </w:r>
    </w:p>
    <w:p>
      <w:pPr>
        <w:spacing w:after="0" w:line="225" w:lineRule="exact"/>
        <w:rPr>
          <w:sz w:val="20"/>
          <w:szCs w:val="20"/>
          <w:color w:val="auto"/>
        </w:rPr>
      </w:pPr>
    </w:p>
    <w:p>
      <w:pPr>
        <w:jc w:val="both"/>
        <w:spacing w:after="0" w:line="202" w:lineRule="exact"/>
        <w:rPr>
          <w:sz w:val="20"/>
          <w:szCs w:val="20"/>
          <w:color w:val="auto"/>
        </w:rPr>
      </w:pPr>
      <w:r>
        <w:rPr>
          <w:rFonts w:ascii="Arial" w:cs="Arial" w:eastAsia="Arial" w:hAnsi="Arial"/>
          <w:sz w:val="18"/>
          <w:szCs w:val="18"/>
          <w:color w:val="auto"/>
        </w:rPr>
        <w:t xml:space="preserve">The Company now estimates its effective annual tax rate for calendar year 2020 to be in the range of 16% to 17%, which reflects the anticipated lower discrete benefits from stock option exercises of the Company's employees and reduced foreign-derived intangible income tax benefits due to geographical mix changes within its customer base due to the impact of COVID-19. </w:t>
      </w:r>
      <w:r>
        <w:rPr>
          <w:rFonts w:ascii="MS PGothic" w:cs="MS PGothic" w:eastAsia="MS PGothic" w:hAnsi="MS PGothic"/>
          <w:sz w:val="18"/>
          <w:szCs w:val="18"/>
          <w:color w:val="auto"/>
        </w:rPr>
        <w:t> </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the previously announced share repurchase plan, the Company intends to continue to repurchase additional shares of its common stock in 2020, but share repurchases may vary from time to time and will take into account the COVID-19 pandemic impacts on market conditions and the industry, as well as other macroeconomic events, market trends, and other factors the Company deems appropriate (including the market price of the stock, anti-dilutive effect of repurchases, and available cash).</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based on the difficulty and uncertainty of global light vehicle production data for 2021, the Company has withdrawn revenue guidance for 2021, until better data becomes available. Despite the fact that we are withdrawing guidance for 2021, the Company remains confident in its ability to continue to outperform the underlying market.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6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3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impairment of available for sale securities (mark-to-market adjustments). During the quarter ended March 31, 2020 material changes in risk factors disclosed in the Company's report on Form 10-K for the year ended December 31, 2019 are set forth herein.</w:t>
      </w:r>
    </w:p>
    <w:p>
      <w:pPr>
        <w:spacing w:after="0" w:line="13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accounts, which currently are not significant overall to the Company as a whole. Because the Company sells its automotive mirrors throughout the world, and automotive manufacturing is highly dependent on general economic conditions, the Company has been and will continue to be affected by uncertain economic conditions in North American and foreign markets that have and will continue to reduce demand for its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March 31, 2020, and have concluded that as of that date, the Company's disclosure controls and procedures are effective.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March 31, 2020 that materially affected, or are reasonably likely to materially affect, the Company's internal control over financial reporting.</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74"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“goal”, “hope”, “may”, “plan”, “project”, "poised",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w:t>
      </w:r>
    </w:p>
    <w:p>
      <w:pPr>
        <w:sectPr>
          <w:pgSz w:w="11900" w:h="16838" w:orient="portrait"/>
          <w:cols w:equalWidth="0" w:num="1">
            <w:col w:w="11240"/>
          </w:cols>
          <w:pgMar w:left="320" w:top="1183"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type w:val="continuous"/>
        </w:sectPr>
      </w:pPr>
    </w:p>
    <w:bookmarkStart w:id="31" w:name="page32"/>
    <w:bookmarkEnd w:id="31"/>
    <w:p>
      <w:pPr>
        <w:jc w:val="both"/>
        <w:spacing w:after="0" w:line="251" w:lineRule="auto"/>
        <w:rPr>
          <w:sz w:val="20"/>
          <w:szCs w:val="20"/>
          <w:color w:val="auto"/>
        </w:rPr>
      </w:pPr>
      <w:r>
        <w:rPr>
          <w:rFonts w:ascii="Arial" w:cs="Arial" w:eastAsia="Arial" w:hAnsi="Arial"/>
          <w:sz w:val="18"/>
          <w:szCs w:val="18"/>
          <w:color w:val="auto"/>
        </w:rPr>
        <w:t>with customers; loss of business from increased competition; changes in strategic relationships; customer bankruptcies or divestiture of customer brands; fluctuation in vehicle production schedules (including the impact of customer employee strikes); changes in product mix; raw material shortages;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litigations including securities litigations relating to the conduct of our business; and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 The Company undertakes no obligation to publicly update or revise any forward-looking statement, whether as a result of new information, future events or otherwise, except as required by law or the rules of the NASDAQ Global Select Market. Accordingly, any forward-looking statements should be read in conjunction with additional information about risks and uncertainties identified herein and under the heading "Risk Factors" in the Company's latest Form 10-K filed with the SEC, which risks now include the impacts of the COVID-19 pandemic that have affected, and will continue to affect, general economic and industry conditions, customers, suppliers, and the regulatory environment in which the Company operates. Includes content supplied by IHS Markit Light Vehicle Production Forecast (April 17, 2020) (http://www.gentex.com/ forecast-disclaimer).</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2019. There have been material changes to the risk factors previously disclosed in the Company’s report on Form 10-K for the year ended December 31, 2019, as described in Part I – Item 2 and Item 3 of this Form 10-Q, and otherwise herein, as well as the addition of the following risk factor.</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Automotive Industry and General Economic Risks</w:t>
      </w:r>
    </w:p>
    <w:p>
      <w:pPr>
        <w:spacing w:after="0" w:line="3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COVID-19 pandemic has significantly impacted worldwide economic and industry conditions and has had and will continue to have a material adverse effect on our business, financial condition, and/or results of operations. The present COVID-19 pandemic began to materially impact the Company's operations late in the first quarter of 2020 and continues to affect our business, financial condition, and/or results of operations, including governmental authorities imposing mandatory closures, work-from-home orders and social distancing protocols, as well as seeking voluntary facility closures and other restrictions. These actions materially adversely affect the Company's ability to adequately staff and maintain its operations, impair our ability to sustain existing levels of financial liquidity, and impact the Company's business, financial condition, and/or results of operations.</w:t>
      </w:r>
    </w:p>
    <w:p>
      <w:pPr>
        <w:spacing w:after="0" w:line="234"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While some of the Company's facilities have been able to continue to operate in a limited way, many of the Company's customers' and suppliers' locations were closed or operated at a meaningfully diminished capacity, negatively impacting sales at the end of the first quarter of fiscal 2020, during the second quarter of 2020 to date, and likely beyond. COVID-19 has negatively impacted and will likely continue to negatively impact the mix of our business resulting from a decrease in sales of certain advance feature products, which typically have higher gross margins and could therefore result in lower overall margins until the impacts of COVID-19 starts to moderate. As we cannot predict the duration and scope of the COVID-19 pandemic, the overall negative financial impact to the Company's business, financial condition, and/or results of operations is not fully known, but is material and may last for an extended period of time.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Reference is made to </w:t>
      </w:r>
      <w:hyperlink w:anchor="page20">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 which is incorporated herein by reference.</w:t>
      </w:r>
    </w:p>
    <w:p>
      <w:pPr>
        <w:spacing w:after="0" w:line="239"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On April 8, 2020, pursuant to an acquisition agreement, the shareholders of Vaporsens received 147,346 shares of the common stock of the Company as part of the acquisition of Vaporsens by the Company. The shares were issued under Section 4(a)(2) of the Securities Act of 1933, as amended. The Company believes the issuance of the foregoing restricted shares was exempt from registration as a privately negotiated, isolated, non-recurring transaction not involving any public solicitation. An appropriate legend is affixed to the stock certificates issued in such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 of Equity Securities</w:t>
      </w:r>
    </w:p>
    <w:p>
      <w:pPr>
        <w:spacing w:after="0" w:line="274"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As previously disclosed, the Company intends to continue to repurchase additional shares of common stock in the future in support of the capital allocation strategy, but share repurchases may vary from time to time and will take into account macroeconomic events, market trends, and other factors the Company deems appropriate (including the market price of the stock, anti-dilutive effect of repurchases, and available cash). During the three months ended March 31, 2020, the Company repurchased 7,019,032 shares. The Company has 13.0 million shares remaining under the plan as of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The following is a summary of share repurchase activity during each quarter of the three months ended March 31, 2020:</w:t>
      </w:r>
    </w:p>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5280" w:type="dxa"/>
            <w:vAlign w:val="bottom"/>
            <w:gridSpan w:val="3"/>
          </w:tcPr>
          <w:p>
            <w:pPr>
              <w:jc w:val="right"/>
              <w:ind w:right="1518"/>
              <w:spacing w:after="0"/>
              <w:rPr>
                <w:sz w:val="20"/>
                <w:szCs w:val="20"/>
                <w:color w:val="auto"/>
              </w:rPr>
            </w:pPr>
            <w:r>
              <w:rPr>
                <w:rFonts w:ascii="Arial" w:cs="Arial" w:eastAsia="Arial" w:hAnsi="Arial"/>
                <w:sz w:val="14"/>
                <w:szCs w:val="14"/>
                <w:b w:val="1"/>
                <w:bCs w:val="1"/>
                <w:color w:val="auto"/>
              </w:rPr>
              <w:t>Issuer Purchase of Equity Securities</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4080" w:type="dxa"/>
            <w:vAlign w:val="bottom"/>
            <w:gridSpan w:val="2"/>
          </w:tcPr>
          <w:p>
            <w:pPr>
              <w:jc w:val="right"/>
              <w:spacing w:after="0"/>
              <w:rPr>
                <w:sz w:val="20"/>
                <w:szCs w:val="20"/>
                <w:color w:val="auto"/>
              </w:rPr>
            </w:pPr>
            <w:r>
              <w:rPr>
                <w:rFonts w:ascii="Arial" w:cs="Arial" w:eastAsia="Arial" w:hAnsi="Arial"/>
                <w:sz w:val="14"/>
                <w:szCs w:val="14"/>
                <w:b w:val="1"/>
                <w:bCs w:val="1"/>
                <w:color w:val="auto"/>
              </w:rPr>
              <w:t>Purchased As Part of a    Maximum Number of Shares</w:t>
            </w: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84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Total Number of Shares</w:t>
            </w:r>
          </w:p>
        </w:tc>
        <w:tc>
          <w:tcPr>
            <w:tcW w:w="1400" w:type="dxa"/>
            <w:vAlign w:val="bottom"/>
            <w:vMerge w:val="continue"/>
          </w:tcPr>
          <w:p>
            <w:pPr>
              <w:spacing w:after="0"/>
              <w:rPr>
                <w:sz w:val="5"/>
                <w:szCs w:val="5"/>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 Plan or</w:t>
            </w: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35"/>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40" w:type="dxa"/>
            <w:vAlign w:val="bottom"/>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 Price Paid</w:t>
            </w:r>
          </w:p>
        </w:tc>
        <w:tc>
          <w:tcPr>
            <w:tcW w:w="204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60" w:type="dxa"/>
            <w:vAlign w:val="bottom"/>
            <w:tcBorders>
              <w:bottom w:val="single" w:sz="8" w:color="auto"/>
            </w:tcBorders>
            <w:vMerge w:val="continue"/>
          </w:tcPr>
          <w:p>
            <w:pPr>
              <w:spacing w:after="0"/>
              <w:rPr>
                <w:sz w:val="14"/>
                <w:szCs w:val="14"/>
                <w:color w:val="auto"/>
              </w:rPr>
            </w:pPr>
          </w:p>
        </w:tc>
        <w:tc>
          <w:tcPr>
            <w:tcW w:w="18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Purchased</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5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2020</w:t>
            </w:r>
          </w:p>
        </w:tc>
        <w:tc>
          <w:tcPr>
            <w:tcW w:w="18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20,065,319</w:t>
            </w:r>
          </w:p>
        </w:tc>
        <w:tc>
          <w:tcPr>
            <w:tcW w:w="0" w:type="dxa"/>
            <w:vAlign w:val="bottom"/>
          </w:tcPr>
          <w:p>
            <w:pPr>
              <w:spacing w:after="0"/>
              <w:rPr>
                <w:sz w:val="1"/>
                <w:szCs w:val="1"/>
                <w:color w:val="auto"/>
              </w:rPr>
            </w:pPr>
          </w:p>
        </w:tc>
      </w:tr>
      <w:tr>
        <w:trPr>
          <w:trHeight w:val="250"/>
        </w:trPr>
        <w:tc>
          <w:tcPr>
            <w:tcW w:w="2460" w:type="dxa"/>
            <w:vAlign w:val="bottom"/>
          </w:tcPr>
          <w:p>
            <w:pPr>
              <w:ind w:left="20"/>
              <w:spacing w:after="0"/>
              <w:rPr>
                <w:sz w:val="20"/>
                <w:szCs w:val="20"/>
                <w:color w:val="auto"/>
              </w:rPr>
            </w:pPr>
            <w:r>
              <w:rPr>
                <w:rFonts w:ascii="Arial" w:cs="Arial" w:eastAsia="Arial" w:hAnsi="Arial"/>
                <w:sz w:val="18"/>
                <w:szCs w:val="18"/>
                <w:color w:val="auto"/>
              </w:rPr>
              <w:t>February 2020</w:t>
            </w:r>
          </w:p>
        </w:tc>
        <w:tc>
          <w:tcPr>
            <w:tcW w:w="1840" w:type="dxa"/>
            <w:vAlign w:val="bottom"/>
          </w:tcPr>
          <w:p>
            <w:pPr>
              <w:jc w:val="right"/>
              <w:ind w:right="77"/>
              <w:spacing w:after="0"/>
              <w:rPr>
                <w:sz w:val="20"/>
                <w:szCs w:val="20"/>
                <w:color w:val="auto"/>
              </w:rPr>
            </w:pPr>
            <w:r>
              <w:rPr>
                <w:rFonts w:ascii="Arial" w:cs="Arial" w:eastAsia="Arial" w:hAnsi="Arial"/>
                <w:sz w:val="18"/>
                <w:szCs w:val="18"/>
                <w:color w:val="auto"/>
              </w:rPr>
              <w:t>1,945,036</w:t>
            </w: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29.40</w:t>
            </w:r>
          </w:p>
        </w:tc>
        <w:tc>
          <w:tcPr>
            <w:tcW w:w="2040" w:type="dxa"/>
            <w:vAlign w:val="bottom"/>
          </w:tcPr>
          <w:p>
            <w:pPr>
              <w:jc w:val="right"/>
              <w:ind w:right="58"/>
              <w:spacing w:after="0"/>
              <w:rPr>
                <w:sz w:val="20"/>
                <w:szCs w:val="20"/>
                <w:color w:val="auto"/>
              </w:rPr>
            </w:pPr>
            <w:r>
              <w:rPr>
                <w:rFonts w:ascii="Arial" w:cs="Arial" w:eastAsia="Arial" w:hAnsi="Arial"/>
                <w:sz w:val="18"/>
                <w:szCs w:val="18"/>
                <w:color w:val="auto"/>
              </w:rPr>
              <w:t>1,945,036</w:t>
            </w:r>
          </w:p>
        </w:tc>
        <w:tc>
          <w:tcPr>
            <w:tcW w:w="2040" w:type="dxa"/>
            <w:vAlign w:val="bottom"/>
          </w:tcPr>
          <w:p>
            <w:pPr>
              <w:jc w:val="right"/>
              <w:ind w:right="56"/>
              <w:spacing w:after="0"/>
              <w:rPr>
                <w:sz w:val="20"/>
                <w:szCs w:val="20"/>
                <w:color w:val="auto"/>
              </w:rPr>
            </w:pPr>
            <w:r>
              <w:rPr>
                <w:rFonts w:ascii="Arial" w:cs="Arial" w:eastAsia="Arial" w:hAnsi="Arial"/>
                <w:sz w:val="18"/>
                <w:szCs w:val="18"/>
                <w:color w:val="auto"/>
              </w:rPr>
              <w:t>18,120,283</w:t>
            </w:r>
          </w:p>
        </w:tc>
        <w:tc>
          <w:tcPr>
            <w:tcW w:w="0" w:type="dxa"/>
            <w:vAlign w:val="bottom"/>
          </w:tcPr>
          <w:p>
            <w:pPr>
              <w:spacing w:after="0"/>
              <w:rPr>
                <w:sz w:val="1"/>
                <w:szCs w:val="1"/>
                <w:color w:val="auto"/>
              </w:rPr>
            </w:pPr>
          </w:p>
        </w:tc>
      </w:tr>
      <w:tr>
        <w:trPr>
          <w:trHeight w:val="257"/>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2020</w:t>
            </w:r>
          </w:p>
        </w:tc>
        <w:tc>
          <w:tcPr>
            <w:tcW w:w="1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5,073,996</w:t>
            </w: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23.97</w:t>
            </w:r>
          </w:p>
        </w:tc>
        <w:tc>
          <w:tcPr>
            <w:tcW w:w="2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5,073,996</w:t>
            </w:r>
          </w:p>
        </w:tc>
        <w:tc>
          <w:tcPr>
            <w:tcW w:w="2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13,046,287</w:t>
            </w:r>
          </w:p>
        </w:tc>
        <w:tc>
          <w:tcPr>
            <w:tcW w:w="0" w:type="dxa"/>
            <w:vAlign w:val="bottom"/>
          </w:tcPr>
          <w:p>
            <w:pPr>
              <w:spacing w:after="0"/>
              <w:rPr>
                <w:sz w:val="1"/>
                <w:szCs w:val="1"/>
                <w:color w:val="auto"/>
              </w:rPr>
            </w:pPr>
          </w:p>
        </w:tc>
      </w:tr>
      <w:tr>
        <w:trPr>
          <w:trHeight w:val="250"/>
        </w:trPr>
        <w:tc>
          <w:tcPr>
            <w:tcW w:w="2460" w:type="dxa"/>
            <w:vAlign w:val="bottom"/>
          </w:tcPr>
          <w:p>
            <w:pPr>
              <w:ind w:left="20"/>
              <w:spacing w:after="0"/>
              <w:rPr>
                <w:sz w:val="20"/>
                <w:szCs w:val="20"/>
                <w:color w:val="auto"/>
              </w:rPr>
            </w:pPr>
            <w:r>
              <w:rPr>
                <w:rFonts w:ascii="Arial" w:cs="Arial" w:eastAsia="Arial" w:hAnsi="Arial"/>
                <w:sz w:val="18"/>
                <w:szCs w:val="18"/>
                <w:color w:val="auto"/>
              </w:rPr>
              <w:t>1st Quarter 2020 Total</w:t>
            </w:r>
          </w:p>
        </w:tc>
        <w:tc>
          <w:tcPr>
            <w:tcW w:w="1840" w:type="dxa"/>
            <w:vAlign w:val="bottom"/>
          </w:tcPr>
          <w:p>
            <w:pPr>
              <w:jc w:val="right"/>
              <w:ind w:right="77"/>
              <w:spacing w:after="0"/>
              <w:rPr>
                <w:sz w:val="20"/>
                <w:szCs w:val="20"/>
                <w:color w:val="auto"/>
              </w:rPr>
            </w:pPr>
            <w:r>
              <w:rPr>
                <w:rFonts w:ascii="Arial" w:cs="Arial" w:eastAsia="Arial" w:hAnsi="Arial"/>
                <w:sz w:val="18"/>
                <w:szCs w:val="18"/>
                <w:color w:val="auto"/>
              </w:rPr>
              <w:t>7,019,032</w:t>
            </w: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25.48</w:t>
            </w:r>
          </w:p>
        </w:tc>
        <w:tc>
          <w:tcPr>
            <w:tcW w:w="2040" w:type="dxa"/>
            <w:vAlign w:val="bottom"/>
          </w:tcPr>
          <w:p>
            <w:pPr>
              <w:jc w:val="right"/>
              <w:ind w:right="58"/>
              <w:spacing w:after="0"/>
              <w:rPr>
                <w:sz w:val="20"/>
                <w:szCs w:val="20"/>
                <w:color w:val="auto"/>
              </w:rPr>
            </w:pPr>
            <w:r>
              <w:rPr>
                <w:rFonts w:ascii="Arial" w:cs="Arial" w:eastAsia="Arial" w:hAnsi="Arial"/>
                <w:sz w:val="18"/>
                <w:szCs w:val="18"/>
                <w:color w:val="auto"/>
              </w:rPr>
              <w:t>7,019,032</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60" w:type="dxa"/>
            <w:vAlign w:val="bottom"/>
          </w:tcPr>
          <w:p>
            <w:pPr>
              <w:ind w:left="20"/>
              <w:spacing w:after="0"/>
              <w:rPr>
                <w:sz w:val="20"/>
                <w:szCs w:val="20"/>
                <w:color w:val="auto"/>
              </w:rPr>
            </w:pPr>
            <w:r>
              <w:rPr>
                <w:rFonts w:ascii="Arial" w:cs="Arial" w:eastAsia="Arial" w:hAnsi="Arial"/>
                <w:sz w:val="18"/>
                <w:szCs w:val="18"/>
                <w:color w:val="auto"/>
              </w:rPr>
              <w:t>2020 Total</w:t>
            </w:r>
          </w:p>
        </w:tc>
        <w:tc>
          <w:tcPr>
            <w:tcW w:w="18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7,019,032</w:t>
            </w: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25.48</w:t>
            </w:r>
          </w:p>
        </w:tc>
        <w:tc>
          <w:tcPr>
            <w:tcW w:w="20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7,019,032</w:t>
            </w:r>
          </w:p>
        </w:tc>
        <w:tc>
          <w:tcPr>
            <w:tcW w:w="20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660" w:right="860"/>
        <w:spacing w:after="0" w:line="261" w:lineRule="auto"/>
        <w:rPr>
          <w:sz w:val="20"/>
          <w:szCs w:val="20"/>
          <w:color w:val="auto"/>
        </w:rPr>
      </w:pPr>
      <w:r>
        <w:rPr>
          <w:rFonts w:ascii="Arial" w:cs="Arial" w:eastAsia="Arial" w:hAnsi="Arial"/>
          <w:sz w:val="18"/>
          <w:szCs w:val="18"/>
          <w:color w:val="auto"/>
        </w:rPr>
        <w:t>As of March 31, 2020 the Company has repurchased 133,953,441 shares at a total cost of $2,052,406,986 under its share repurchase plan or as otherwise previously disclosed.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15"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See Exhibit Index on Page </w:t>
      </w:r>
      <w:hyperlink w:anchor="page34">
        <w:r>
          <w:rPr>
            <w:rFonts w:ascii="Arial" w:cs="Arial" w:eastAsia="Arial" w:hAnsi="Arial"/>
            <w:sz w:val="18"/>
            <w:szCs w:val="18"/>
            <w:u w:val="single" w:color="auto"/>
            <w:color w:val="0000FF"/>
          </w:rPr>
          <w:t>35</w:t>
        </w:r>
      </w:hyperlink>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May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May 8, 2020</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42691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on behalf of Gentex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Kevin C.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42691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pacing w:after="0" w:line="23" w:lineRule="exact"/>
        <w:rPr>
          <w:sz w:val="20"/>
          <w:szCs w:val="20"/>
          <w:color w:val="auto"/>
        </w:rPr>
      </w:pPr>
    </w:p>
    <w:p>
      <w:pPr>
        <w:ind w:right="1400"/>
        <w:spacing w:after="0" w:line="227"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ectPr>
          <w:pgSz w:w="11900" w:h="16838" w:orient="portrait"/>
          <w:cols w:equalWidth="0" w:num="2">
            <w:col w:w="2740" w:space="720"/>
            <w:col w:w="7780"/>
          </w:cols>
          <w:pgMar w:left="320" w:top="9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39"/>
        </w:trPr>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7"/>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87"/>
        </w:trPr>
        <w:tc>
          <w:tcPr>
            <w:tcW w:w="1320" w:type="dxa"/>
            <w:vAlign w:val="bottom"/>
          </w:tcPr>
          <w:p>
            <w:pPr>
              <w:ind w:left="20"/>
              <w:spacing w:after="0" w:line="188" w:lineRule="exact"/>
              <w:rPr>
                <w:sz w:val="20"/>
                <w:szCs w:val="20"/>
                <w:color w:val="auto"/>
              </w:rPr>
            </w:pPr>
            <w:r>
              <w:rPr>
                <w:rFonts w:ascii="Arial" w:cs="Arial" w:eastAsia="Arial" w:hAnsi="Arial"/>
                <w:sz w:val="18"/>
                <w:szCs w:val="18"/>
                <w:color w:val="auto"/>
              </w:rPr>
              <w:t>31.1</w:t>
            </w:r>
          </w:p>
        </w:tc>
        <w:tc>
          <w:tcPr>
            <w:tcW w:w="9880" w:type="dxa"/>
            <w:vAlign w:val="bottom"/>
            <w:gridSpan w:val="4"/>
          </w:tcPr>
          <w:p>
            <w:pPr>
              <w:spacing w:after="0" w:line="188" w:lineRule="exact"/>
              <w:rPr>
                <w:rFonts w:ascii="Arial" w:cs="Arial" w:eastAsia="Arial" w:hAnsi="Arial"/>
                <w:sz w:val="18"/>
                <w:szCs w:val="18"/>
                <w:color w:val="0000FF"/>
              </w:rPr>
            </w:pPr>
            <w:hyperlink w:anchor="page36">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56"/>
        </w:trPr>
        <w:tc>
          <w:tcPr>
            <w:tcW w:w="1320" w:type="dxa"/>
            <w:vAlign w:val="bottom"/>
          </w:tcPr>
          <w:p>
            <w:pPr>
              <w:spacing w:after="0"/>
              <w:rPr>
                <w:sz w:val="13"/>
                <w:szCs w:val="13"/>
                <w:color w:val="auto"/>
              </w:rPr>
            </w:pPr>
          </w:p>
        </w:tc>
        <w:tc>
          <w:tcPr>
            <w:tcW w:w="976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36">
              <w:r>
                <w:rPr>
                  <w:rFonts w:ascii="Arial" w:cs="Arial" w:eastAsia="Arial" w:hAnsi="Arial"/>
                  <w:sz w:val="18"/>
                  <w:szCs w:val="18"/>
                  <w:color w:val="0000FF"/>
                </w:rPr>
                <w:t>(18 U.S.C. 1350).</w:t>
              </w:r>
            </w:hyperlink>
          </w:p>
        </w:tc>
        <w:tc>
          <w:tcPr>
            <w:tcW w:w="120" w:type="dxa"/>
            <w:vAlign w:val="bottom"/>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shd w:val="clear" w:color="auto" w:fill="CCEEFF"/>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Certificate of the Chief Financial Officer of Gentex Corporation pursuant to Section 302 of the Sarbanes-Oxley Act of 2002</w:t>
              </w:r>
            </w:hyperlink>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37">
              <w:r>
                <w:rPr>
                  <w:rFonts w:ascii="Arial" w:cs="Arial" w:eastAsia="Arial" w:hAnsi="Arial"/>
                  <w:sz w:val="18"/>
                  <w:szCs w:val="18"/>
                  <w:color w:val="0000FF"/>
                </w:rPr>
                <w:t>(18 U.S.C. 1350).</w:t>
              </w:r>
            </w:hyperlink>
          </w:p>
        </w:tc>
        <w:tc>
          <w:tcPr>
            <w:tcW w:w="18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left="1320" w:right="300" w:hanging="1294"/>
        <w:spacing w:after="0" w:line="227" w:lineRule="auto"/>
        <w:tabs>
          <w:tab w:leader="none" w:pos="1320" w:val="left"/>
        </w:tabs>
        <w:numPr>
          <w:ilvl w:val="0"/>
          <w:numId w:val="6"/>
        </w:numPr>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Sarbanes-Oxley Act of 2002 (18 U.S.C. 1350).</w:t>
        </w:r>
      </w:hyperlink>
    </w:p>
    <w:p>
      <w:pPr>
        <w:spacing w:after="0" w:line="2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0"/>
        </w:trPr>
        <w:tc>
          <w:tcPr>
            <w:tcW w:w="1040" w:type="dxa"/>
            <w:vAlign w:val="bottom"/>
            <w:shd w:val="clear" w:color="auto" w:fill="CCEEFF"/>
          </w:tcPr>
          <w:p>
            <w:pPr>
              <w:spacing w:after="0"/>
              <w:rPr>
                <w:sz w:val="20"/>
                <w:szCs w:val="20"/>
                <w:color w:val="auto"/>
              </w:rPr>
            </w:pP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63"/>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63"/>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92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8" w:lineRule="exact"/>
        <w:rPr>
          <w:rFonts w:ascii="Arial" w:cs="Arial" w:eastAsia="Arial" w:hAnsi="Arial"/>
          <w:sz w:val="18"/>
          <w:szCs w:val="18"/>
          <w:color w:val="auto"/>
        </w:rPr>
      </w:pPr>
    </w:p>
    <w:p>
      <w:pPr>
        <w:jc w:val="both"/>
        <w:ind w:left="240" w:hanging="232"/>
        <w:spacing w:after="0" w:line="250" w:lineRule="auto"/>
        <w:tabs>
          <w:tab w:leader="none" w:pos="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660" w:hanging="238"/>
        <w:spacing w:after="0" w:line="256" w:lineRule="auto"/>
        <w:tabs>
          <w:tab w:leader="none" w:pos="64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4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77"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68"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660" w:hanging="238"/>
        <w:spacing w:after="0" w:line="261" w:lineRule="auto"/>
        <w:tabs>
          <w:tab w:leader="none" w:pos="649"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38"/>
        <w:spacing w:after="0" w:line="261" w:lineRule="auto"/>
        <w:tabs>
          <w:tab w:leader="none" w:pos="663"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2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8" w:lineRule="exact"/>
        <w:rPr>
          <w:rFonts w:ascii="Arial" w:cs="Arial" w:eastAsia="Arial" w:hAnsi="Arial"/>
          <w:sz w:val="18"/>
          <w:szCs w:val="18"/>
          <w:color w:val="auto"/>
        </w:rPr>
      </w:pPr>
    </w:p>
    <w:p>
      <w:pPr>
        <w:jc w:val="both"/>
        <w:ind w:left="240" w:hanging="232"/>
        <w:spacing w:after="0" w:line="250" w:lineRule="auto"/>
        <w:tabs>
          <w:tab w:leader="none" w:pos="23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660" w:hanging="238"/>
        <w:spacing w:after="0" w:line="256" w:lineRule="auto"/>
        <w:tabs>
          <w:tab w:leader="none" w:pos="64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4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77"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6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660" w:hanging="238"/>
        <w:spacing w:after="0" w:line="261" w:lineRule="auto"/>
        <w:tabs>
          <w:tab w:leader="none" w:pos="649"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38"/>
        <w:spacing w:after="0" w:line="261" w:lineRule="auto"/>
        <w:tabs>
          <w:tab w:leader="none" w:pos="663"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2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25" w:lineRule="exact"/>
        <w:rPr>
          <w:sz w:val="20"/>
          <w:szCs w:val="20"/>
          <w:color w:val="auto"/>
        </w:rPr>
      </w:pPr>
    </w:p>
    <w:p>
      <w:pPr>
        <w:ind w:left="240" w:hanging="232"/>
        <w:spacing w:after="0" w:line="261" w:lineRule="auto"/>
        <w:tabs>
          <w:tab w:leader="none" w:pos="28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2020, which this statement accompanies,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240" w:hanging="232"/>
        <w:spacing w:after="0" w:line="261" w:lineRule="auto"/>
        <w:tabs>
          <w:tab w:leader="none" w:pos="30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March 31, 2020,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32"/>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2020-05-08T09:48:01Z</dcterms:created>
  <dcterms:modified xsi:type="dcterms:W3CDTF">2020-05-08T09:48:01Z</dcterms:modified>
</cp:coreProperties>
</file>