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Ryan Scott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NORTH CENTENNIAL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GENTEX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9"/>
        <w:gridCol w:w="902"/>
        <w:gridCol w:w="772"/>
        <w:gridCol w:w="599"/>
        <w:gridCol w:w="344"/>
        <w:gridCol w:w="919"/>
        <w:gridCol w:w="443"/>
        <w:gridCol w:w="924"/>
        <w:gridCol w:w="1143"/>
        <w:gridCol w:w="983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25,782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67,702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11,492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24.89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56,210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2,907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24.89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53,303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7,145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24.7302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46,158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1,879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24.7302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44,279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55,279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25,782 shares are performance-based shares where the total number of shares granted were based on long term performance incentives.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purchased through the Gentex Corporation Employee Stock Purchase Plan, a Section 423(b) plan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vest 100% three years from grant award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Nash for Scott P. Ryan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sryanpoa2020.txt"/>
      <w:bookmarkStart w:id="3" w:name="kssryanpoa2020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Kevin Nash, any successor as Chief</w:t>
      </w:r>
    </w:p>
    <w:p>
      <w:pPr>
        <w:pStyle w:val="PreformattedText"/>
        <w:bidi w:val="0"/>
        <w:spacing w:before="0" w:after="0"/>
        <w:jc w:val="left"/>
        <w:rPr/>
      </w:pPr>
      <w:r>
        <w:rPr/>
        <w:t>Financial Officer of Gentex Corporation (the "Corporation"),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Steve Downing any successor of Chief Executive Officer of Gentex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Corporation, and any of their respective designees, signing singly,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(1)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Corporation, Forms 3, 4, and 5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(2)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that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4, or 5, complete and execute any amendment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amendments thereto, and timely file such form with the United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States Securities and Exchange Commission and any stock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(3) take any other action of any type whatsoever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the foregoing that, in the opinion of such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in-fact, may be of benefit to, in the best interest of, or legally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by, the undersigned, it being understood that the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by such attorney-in-fact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this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The undersigned hereby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The undersigned acknowledges that the foregoing attorneys-in-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fact, in serving in such capacity at the request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are not assuming, nor is the Corporation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or any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This Power of Attorney revokes any and all previous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 related to this subject matter, and shall remain in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force and effect until the undersigned is no longer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4, and 5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Corporation,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20th day of August, 2020.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/s/ Scott Ryan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Name: Scott Ryan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1517" TargetMode="External"/><Relationship Id="rId5" Type="http://schemas.openxmlformats.org/officeDocument/2006/relationships/hyperlink" Target="http://www.sec.gov/cgi-bin/browse-edgar?action=getcompany&amp;CIK=00003558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1146</Words>
  <Characters>6063</Characters>
  <CharactersWithSpaces>7130</CharactersWithSpaces>
  <Paragraphs>189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