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8"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2021 or</w:t>
      </w:r>
    </w:p>
    <w:p>
      <w:pPr>
        <w:spacing w:after="0" w:line="22" w:lineRule="exact"/>
        <w:rPr>
          <w:sz w:val="24"/>
          <w:szCs w:val="24"/>
          <w:color w:val="auto"/>
        </w:rPr>
      </w:pPr>
    </w:p>
    <w:p>
      <w:pPr>
        <w:ind w:left="1320" w:hanging="658"/>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00" w:type="dxa"/>
            <w:vAlign w:val="bottom"/>
          </w:tcPr>
          <w:p>
            <w:pPr>
              <w:ind w:left="320"/>
              <w:spacing w:after="0"/>
              <w:rPr>
                <w:sz w:val="20"/>
                <w:szCs w:val="20"/>
                <w:color w:val="auto"/>
              </w:rPr>
            </w:pPr>
            <w:r>
              <w:rPr>
                <w:rFonts w:ascii="Arial" w:cs="Arial" w:eastAsia="Arial" w:hAnsi="Arial"/>
                <w:sz w:val="16"/>
                <w:szCs w:val="16"/>
                <w:color w:val="auto"/>
              </w:rPr>
              <w:t>For the transition period from</w:t>
            </w:r>
          </w:p>
        </w:tc>
        <w:tc>
          <w:tcPr>
            <w:tcW w:w="20" w:type="dxa"/>
            <w:vAlign w:val="bottom"/>
          </w:tcPr>
          <w:p>
            <w:pPr>
              <w:spacing w:after="0"/>
              <w:rPr>
                <w:sz w:val="16"/>
                <w:szCs w:val="16"/>
                <w:color w:val="auto"/>
              </w:rPr>
            </w:pPr>
          </w:p>
        </w:tc>
        <w:tc>
          <w:tcPr>
            <w:tcW w:w="1600" w:type="dxa"/>
            <w:vAlign w:val="bottom"/>
            <w:gridSpan w:val="4"/>
          </w:tcPr>
          <w:p>
            <w:pPr>
              <w:ind w:left="540"/>
              <w:spacing w:after="0"/>
              <w:rPr>
                <w:sz w:val="20"/>
                <w:szCs w:val="20"/>
                <w:color w:val="auto"/>
              </w:rPr>
            </w:pPr>
            <w:r>
              <w:rPr>
                <w:rFonts w:ascii="Arial" w:cs="Arial" w:eastAsia="Arial" w:hAnsi="Arial"/>
                <w:sz w:val="16"/>
                <w:szCs w:val="16"/>
                <w:color w:val="auto"/>
              </w:rPr>
              <w:t>to</w:t>
            </w:r>
          </w:p>
        </w:tc>
        <w:tc>
          <w:tcPr>
            <w:tcW w:w="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20" w:type="dxa"/>
            <w:vAlign w:val="bottom"/>
            <w:gridSpan w:val="6"/>
          </w:tcPr>
          <w:p>
            <w:pPr>
              <w:ind w:left="32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260" w:type="dxa"/>
            <w:vAlign w:val="bottom"/>
          </w:tcPr>
          <w:p>
            <w:pPr>
              <w:spacing w:after="0"/>
              <w:rPr>
                <w:sz w:val="24"/>
                <w:szCs w:val="24"/>
                <w:color w:val="auto"/>
              </w:rPr>
            </w:pPr>
          </w:p>
        </w:tc>
        <w:tc>
          <w:tcPr>
            <w:tcW w:w="6980" w:type="dxa"/>
            <w:vAlign w:val="bottom"/>
            <w:gridSpan w:val="2"/>
            <w:vMerge w:val="restart"/>
          </w:tcPr>
          <w:p>
            <w:pPr>
              <w:jc w:val="center"/>
              <w:ind w:right="4224"/>
              <w:spacing w:after="0"/>
              <w:rPr>
                <w:sz w:val="20"/>
                <w:szCs w:val="20"/>
                <w:color w:val="auto"/>
              </w:rPr>
            </w:pPr>
            <w:r>
              <w:rPr>
                <w:rFonts w:ascii="Arial" w:cs="Arial" w:eastAsia="Arial" w:hAnsi="Arial"/>
                <w:sz w:val="21"/>
                <w:szCs w:val="21"/>
                <w:b w:val="1"/>
                <w:bCs w:val="1"/>
                <w:color w:val="auto"/>
              </w:rPr>
              <w:t>GENTEX CORPORATION</w:t>
            </w:r>
          </w:p>
        </w:tc>
        <w:tc>
          <w:tcPr>
            <w:tcW w:w="0" w:type="dxa"/>
            <w:vAlign w:val="bottom"/>
          </w:tcPr>
          <w:p>
            <w:pPr>
              <w:spacing w:after="0"/>
              <w:rPr>
                <w:sz w:val="1"/>
                <w:szCs w:val="1"/>
                <w:color w:val="auto"/>
              </w:rPr>
            </w:pPr>
          </w:p>
        </w:tc>
      </w:tr>
      <w:tr>
        <w:trPr>
          <w:trHeight w:val="249"/>
        </w:trPr>
        <w:tc>
          <w:tcPr>
            <w:tcW w:w="2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40" w:type="dxa"/>
            <w:vAlign w:val="bottom"/>
            <w:gridSpan w:val="3"/>
          </w:tcPr>
          <w:p>
            <w:pPr>
              <w:jc w:val="center"/>
              <w:ind w:right="3944"/>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1620" w:type="dxa"/>
            <w:vAlign w:val="bottom"/>
            <w:gridSpan w:val="5"/>
          </w:tcPr>
          <w:p>
            <w:pPr>
              <w:jc w:val="center"/>
              <w:ind w:right="749"/>
              <w:spacing w:after="0"/>
              <w:rPr>
                <w:sz w:val="20"/>
                <w:szCs w:val="20"/>
                <w:color w:val="auto"/>
              </w:rPr>
            </w:pPr>
            <w:r>
              <w:rPr>
                <w:rFonts w:ascii="Arial" w:cs="Arial" w:eastAsia="Arial" w:hAnsi="Arial"/>
                <w:sz w:val="18"/>
                <w:szCs w:val="18"/>
                <w:b w:val="1"/>
                <w:bCs w:val="1"/>
                <w:color w:val="auto"/>
                <w:w w:val="97"/>
              </w:rPr>
              <w:t>Michigan</w:t>
            </w: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780" w:type="dxa"/>
            <w:vAlign w:val="bottom"/>
          </w:tcPr>
          <w:p>
            <w:pPr>
              <w:jc w:val="right"/>
              <w:ind w:right="2264"/>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52"/>
        </w:trPr>
        <w:tc>
          <w:tcPr>
            <w:tcW w:w="4020" w:type="dxa"/>
            <w:vAlign w:val="bottom"/>
            <w:gridSpan w:val="6"/>
          </w:tcPr>
          <w:p>
            <w:pPr>
              <w:jc w:val="center"/>
              <w:ind w:left="1506"/>
              <w:spacing w:after="0" w:line="152" w:lineRule="exact"/>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780" w:type="dxa"/>
            <w:vAlign w:val="bottom"/>
          </w:tcPr>
          <w:p>
            <w:pPr>
              <w:jc w:val="center"/>
              <w:ind w:right="784"/>
              <w:spacing w:after="0" w:line="152"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0"/>
        </w:trPr>
        <w:tc>
          <w:tcPr>
            <w:tcW w:w="4020" w:type="dxa"/>
            <w:vAlign w:val="bottom"/>
            <w:gridSpan w:val="6"/>
          </w:tcPr>
          <w:p>
            <w:pPr>
              <w:jc w:val="center"/>
              <w:ind w:left="1506"/>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780" w:type="dxa"/>
            <w:vAlign w:val="bottom"/>
          </w:tcPr>
          <w:p>
            <w:pPr>
              <w:jc w:val="center"/>
              <w:ind w:right="764"/>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59"/>
        </w:trPr>
        <w:tc>
          <w:tcPr>
            <w:tcW w:w="4020" w:type="dxa"/>
            <w:vAlign w:val="bottom"/>
            <w:gridSpan w:val="6"/>
          </w:tcPr>
          <w:p>
            <w:pPr>
              <w:jc w:val="center"/>
              <w:ind w:left="1506"/>
              <w:spacing w:after="0"/>
              <w:rPr>
                <w:sz w:val="20"/>
                <w:szCs w:val="20"/>
                <w:color w:val="auto"/>
              </w:rPr>
            </w:pPr>
            <w:r>
              <w:rPr>
                <w:rFonts w:ascii="Arial" w:cs="Arial" w:eastAsia="Arial" w:hAnsi="Arial"/>
                <w:sz w:val="16"/>
                <w:szCs w:val="16"/>
                <w:b w:val="1"/>
                <w:bCs w:val="1"/>
                <w:color w:val="auto"/>
                <w:w w:val="98"/>
              </w:rPr>
              <w:t>600 N. Centennial</w:t>
            </w:r>
          </w:p>
        </w:tc>
        <w:tc>
          <w:tcPr>
            <w:tcW w:w="2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769"/>
              <w:spacing w:after="0"/>
              <w:rPr>
                <w:sz w:val="20"/>
                <w:szCs w:val="20"/>
                <w:color w:val="auto"/>
              </w:rPr>
            </w:pPr>
            <w:r>
              <w:rPr>
                <w:rFonts w:ascii="Arial" w:cs="Arial" w:eastAsia="Arial" w:hAnsi="Arial"/>
                <w:sz w:val="16"/>
                <w:szCs w:val="16"/>
                <w:b w:val="1"/>
                <w:bCs w:val="1"/>
                <w:color w:val="auto"/>
                <w:w w:val="99"/>
              </w:rPr>
              <w:t>Zeeland</w:t>
            </w: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780" w:type="dxa"/>
            <w:vAlign w:val="bottom"/>
            <w:vMerge w:val="restart"/>
          </w:tcPr>
          <w:p>
            <w:pPr>
              <w:jc w:val="right"/>
              <w:ind w:right="2504"/>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4"/>
          </w:tcPr>
          <w:p>
            <w:pPr>
              <w:jc w:val="center"/>
              <w:ind w:right="769"/>
              <w:spacing w:after="0"/>
              <w:rPr>
                <w:sz w:val="20"/>
                <w:szCs w:val="20"/>
                <w:color w:val="auto"/>
              </w:rPr>
            </w:pPr>
            <w:r>
              <w:rPr>
                <w:rFonts w:ascii="Arial" w:cs="Arial" w:eastAsia="Arial" w:hAnsi="Arial"/>
                <w:sz w:val="16"/>
                <w:szCs w:val="16"/>
                <w:b w:val="1"/>
                <w:bCs w:val="1"/>
                <w:color w:val="auto"/>
                <w:w w:val="97"/>
              </w:rPr>
              <w:t>Michigan</w:t>
            </w: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gridSpan w:val="6"/>
          </w:tcPr>
          <w:p>
            <w:pPr>
              <w:jc w:val="center"/>
              <w:ind w:left="1506"/>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jc w:val="center"/>
              <w:ind w:right="784"/>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3"/>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2"/>
          </w:tcPr>
          <w:p>
            <w:pPr>
              <w:jc w:val="right"/>
              <w:ind w:right="177"/>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0" w:type="dxa"/>
            <w:vAlign w:val="bottom"/>
            <w:gridSpan w:val="4"/>
          </w:tcPr>
          <w:p>
            <w:pPr>
              <w:jc w:val="center"/>
              <w:ind w:right="3604"/>
              <w:spacing w:after="0" w:line="157"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8860" w:type="dxa"/>
            <w:vAlign w:val="bottom"/>
            <w:gridSpan w:val="8"/>
          </w:tcPr>
          <w:p>
            <w:pPr>
              <w:jc w:val="right"/>
              <w:ind w:right="3904"/>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09"/>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00" w:type="dxa"/>
            <w:vAlign w:val="bottom"/>
            <w:gridSpan w:val="6"/>
          </w:tcPr>
          <w:p>
            <w:pPr>
              <w:jc w:val="center"/>
              <w:ind w:right="2884"/>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4"/>
        </w:trPr>
        <w:tc>
          <w:tcPr>
            <w:tcW w:w="4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9"/>
        </w:trPr>
        <w:tc>
          <w:tcPr>
            <w:tcW w:w="402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6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44" w:lineRule="exact"/>
        <w:rPr>
          <w:sz w:val="24"/>
          <w:szCs w:val="24"/>
          <w:color w:val="auto"/>
        </w:rPr>
      </w:pPr>
    </w:p>
    <w:p>
      <w:pPr>
        <w:ind w:right="220"/>
        <w:spacing w:after="0" w:line="16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308" w:lineRule="exact"/>
        <w:rPr>
          <w:sz w:val="24"/>
          <w:szCs w:val="24"/>
          <w:color w:val="auto"/>
        </w:rPr>
      </w:pPr>
    </w:p>
    <w:p>
      <w:pPr>
        <w:ind w:right="140"/>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ectPr>
          <w:pgSz w:w="11900" w:h="16838" w:orient="portrait"/>
          <w:cols w:equalWidth="0" w:num="1">
            <w:col w:w="11260"/>
          </w:cols>
          <w:pgMar w:left="320" w:top="595" w:right="319" w:bottom="1440" w:gutter="0" w:footer="0" w:header="0"/>
        </w:sectPr>
      </w:pPr>
    </w:p>
    <w:p>
      <w:pPr>
        <w:spacing w:after="0" w:line="134" w:lineRule="exact"/>
        <w:rPr>
          <w:sz w:val="24"/>
          <w:szCs w:val="24"/>
          <w:color w:val="auto"/>
        </w:rPr>
      </w:pPr>
    </w:p>
    <w:p>
      <w:pPr>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2160" w:val="left"/>
          <w:tab w:leader="none" w:pos="8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p>
    <w:p>
      <w:pPr>
        <w:spacing w:after="0" w:line="77" w:lineRule="exact"/>
        <w:rPr>
          <w:sz w:val="24"/>
          <w:szCs w:val="24"/>
          <w:color w:val="auto"/>
        </w:rPr>
      </w:pPr>
    </w:p>
    <w:p>
      <w:pPr>
        <w:ind w:left="20"/>
        <w:spacing w:after="0" w:line="181" w:lineRule="exact"/>
        <w:tabs>
          <w:tab w:leader="none" w:pos="2160" w:val="left"/>
          <w:tab w:leader="none" w:pos="8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p>
    <w:p>
      <w:pPr>
        <w:spacing w:after="0" w:line="191" w:lineRule="exact"/>
        <w:rPr>
          <w:sz w:val="24"/>
          <w:szCs w:val="24"/>
          <w:color w:val="auto"/>
        </w:rPr>
      </w:pPr>
    </w:p>
    <w:p>
      <w:pPr>
        <w:ind w:left="82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2">
            <w:col w:w="10840" w:space="100"/>
            <w:col w:w="320"/>
          </w:cols>
          <w:pgMar w:left="320" w:top="595" w:right="319" w:bottom="1440" w:gutter="0" w:footer="0" w:header="0"/>
          <w:type w:val="continuous"/>
        </w:sectPr>
      </w:pPr>
    </w:p>
    <w:p>
      <w:pPr>
        <w:ind w:right="20"/>
        <w:spacing w:after="0" w:line="25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6" w:lineRule="exact"/>
        <w:rPr>
          <w:sz w:val="24"/>
          <w:szCs w:val="24"/>
          <w:color w:val="auto"/>
        </w:rPr>
      </w:pPr>
    </w:p>
    <w:p>
      <w:pPr>
        <w:spacing w:after="0" w:line="161" w:lineRule="exact"/>
        <w:tabs>
          <w:tab w:leader="none" w:pos="816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2"/>
          <w:szCs w:val="12"/>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58" w:lineRule="exact"/>
        <w:rPr>
          <w:sz w:val="24"/>
          <w:szCs w:val="24"/>
          <w:color w:val="auto"/>
        </w:rPr>
      </w:pPr>
    </w:p>
    <w:p>
      <w:pPr>
        <w:ind w:right="720"/>
        <w:spacing w:after="0" w:line="251"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23, 2021</w:t>
            </w:r>
          </w:p>
        </w:tc>
      </w:tr>
      <w:tr>
        <w:trPr>
          <w:trHeight w:val="182"/>
        </w:trPr>
        <w:tc>
          <w:tcPr>
            <w:tcW w:w="5280" w:type="dxa"/>
            <w:vAlign w:val="bottom"/>
            <w:gridSpan w:val="2"/>
          </w:tcPr>
          <w:p>
            <w:pPr>
              <w:jc w:val="center"/>
              <w:ind w:right="10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9"/>
              <w:spacing w:after="0"/>
              <w:rPr>
                <w:sz w:val="20"/>
                <w:szCs w:val="20"/>
                <w:color w:val="auto"/>
              </w:rPr>
            </w:pPr>
            <w:r>
              <w:rPr>
                <w:rFonts w:ascii="Arial" w:cs="Arial" w:eastAsia="Arial" w:hAnsi="Arial"/>
                <w:sz w:val="14"/>
                <w:szCs w:val="14"/>
                <w:color w:val="auto"/>
              </w:rPr>
              <w:t>238,954,080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595"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980" w:type="dxa"/>
            <w:vAlign w:val="bottom"/>
            <w:gridSpan w:val="15"/>
          </w:tcPr>
          <w:p>
            <w:pPr>
              <w:spacing w:after="0"/>
              <w:rPr>
                <w:sz w:val="20"/>
                <w:szCs w:val="20"/>
                <w:color w:val="auto"/>
              </w:rPr>
            </w:pPr>
            <w:r>
              <w:rPr>
                <w:rFonts w:ascii="Arial" w:cs="Arial" w:eastAsia="Arial" w:hAnsi="Arial"/>
                <w:sz w:val="21"/>
                <w:szCs w:val="21"/>
                <w:b w:val="1"/>
                <w:bCs w:val="1"/>
                <w:color w:val="auto"/>
              </w:rPr>
              <w:t>Part I - Financial Information</w:t>
            </w:r>
          </w:p>
        </w:tc>
        <w:tc>
          <w:tcPr>
            <w:tcW w:w="1540" w:type="dxa"/>
            <w:vAlign w:val="bottom"/>
            <w:gridSpan w:val="3"/>
          </w:tcPr>
          <w:p>
            <w:pPr>
              <w:ind w:left="1020"/>
              <w:spacing w:after="0"/>
              <w:rPr>
                <w:sz w:val="20"/>
                <w:szCs w:val="20"/>
                <w:color w:val="auto"/>
              </w:rPr>
            </w:pPr>
            <w:r>
              <w:rPr>
                <w:rFonts w:ascii="Arial" w:cs="Arial" w:eastAsia="Arial" w:hAnsi="Arial"/>
                <w:sz w:val="21"/>
                <w:szCs w:val="21"/>
                <w:b w:val="1"/>
                <w:bCs w:val="1"/>
                <w:color w:val="auto"/>
                <w:w w:val="99"/>
              </w:rPr>
              <w:t>Page</w:t>
            </w: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8000" w:type="dxa"/>
            <w:vAlign w:val="bottom"/>
            <w:gridSpan w:val="14"/>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Financial Statements</w:t>
              </w:r>
            </w:hyperlink>
          </w:p>
        </w:tc>
        <w:tc>
          <w:tcPr>
            <w:tcW w:w="1320" w:type="dxa"/>
            <w:vAlign w:val="bottom"/>
            <w:gridSpan w:val="2"/>
          </w:tcPr>
          <w:p>
            <w:pPr>
              <w:jc w:val="center"/>
              <w:ind w:left="113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Balance Sheets</w:t>
              </w:r>
            </w:hyperlink>
          </w:p>
        </w:tc>
        <w:tc>
          <w:tcPr>
            <w:tcW w:w="1320" w:type="dxa"/>
            <w:vAlign w:val="bottom"/>
            <w:gridSpan w:val="2"/>
          </w:tcPr>
          <w:p>
            <w:pPr>
              <w:jc w:val="center"/>
              <w:ind w:left="113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320" w:type="dxa"/>
            <w:vAlign w:val="bottom"/>
            <w:gridSpan w:val="2"/>
          </w:tcPr>
          <w:p>
            <w:pPr>
              <w:jc w:val="center"/>
              <w:ind w:left="113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5920" w:type="dxa"/>
            <w:vAlign w:val="bottom"/>
            <w:gridSpan w:val="12"/>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Unaudited Condensed Consolidated Statements of Comprehensive Income</w:t>
              </w:r>
            </w:hyperlink>
          </w:p>
        </w:tc>
        <w:tc>
          <w:tcPr>
            <w:tcW w:w="208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4980" w:type="dxa"/>
            <w:vAlign w:val="bottom"/>
            <w:gridSpan w:val="10"/>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Unaudited Condensed Consolidated Statements of Cash Flows</w:t>
              </w:r>
            </w:hyperlink>
          </w:p>
        </w:tc>
        <w:tc>
          <w:tcPr>
            <w:tcW w:w="940" w:type="dxa"/>
            <w:vAlign w:val="bottom"/>
            <w:gridSpan w:val="2"/>
          </w:tcPr>
          <w:p>
            <w:pPr>
              <w:spacing w:after="0"/>
              <w:rPr>
                <w:sz w:val="17"/>
                <w:szCs w:val="17"/>
                <w:color w:val="auto"/>
              </w:rPr>
            </w:pPr>
          </w:p>
        </w:tc>
        <w:tc>
          <w:tcPr>
            <w:tcW w:w="208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1320" w:type="dxa"/>
            <w:vAlign w:val="bottom"/>
            <w:gridSpan w:val="2"/>
          </w:tcPr>
          <w:p>
            <w:pPr>
              <w:jc w:val="center"/>
              <w:ind w:left="113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980" w:type="dxa"/>
            <w:vAlign w:val="bottom"/>
            <w:gridSpan w:val="13"/>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Management's Discussion and Analysis of Financial Condition and Results of Operations</w:t>
              </w:r>
            </w:hyperlink>
          </w:p>
        </w:tc>
        <w:tc>
          <w:tcPr>
            <w:tcW w:w="1020" w:type="dxa"/>
            <w:vAlign w:val="bottom"/>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23</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6980" w:type="dxa"/>
            <w:vAlign w:val="bottom"/>
            <w:gridSpan w:val="1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35</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640" w:type="dxa"/>
            <w:vAlign w:val="bottom"/>
            <w:gridSpan w:val="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3360" w:type="dxa"/>
            <w:vAlign w:val="bottom"/>
            <w:gridSpan w:val="6"/>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36</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49"/>
        </w:trPr>
        <w:tc>
          <w:tcPr>
            <w:tcW w:w="8980" w:type="dxa"/>
            <w:vAlign w:val="bottom"/>
            <w:gridSpan w:val="15"/>
          </w:tcPr>
          <w:p>
            <w:pPr>
              <w:spacing w:after="0"/>
              <w:rPr>
                <w:sz w:val="20"/>
                <w:szCs w:val="20"/>
                <w:color w:val="auto"/>
              </w:rPr>
            </w:pPr>
            <w:r>
              <w:rPr>
                <w:rFonts w:ascii="Arial" w:cs="Arial" w:eastAsia="Arial" w:hAnsi="Arial"/>
                <w:sz w:val="21"/>
                <w:szCs w:val="21"/>
                <w:b w:val="1"/>
                <w:bCs w:val="1"/>
                <w:color w:val="auto"/>
              </w:rPr>
              <w:t>Part II - Other Information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89" w:lineRule="exact"/>
              <w:rPr>
                <w:rFonts w:ascii="Arial" w:cs="Arial" w:eastAsia="Arial" w:hAnsi="Arial"/>
                <w:sz w:val="18"/>
                <w:szCs w:val="18"/>
                <w:color w:val="0000FF"/>
                <w:w w:val="95"/>
              </w:rPr>
            </w:pPr>
            <w:hyperlink w:anchor="page37">
              <w:r>
                <w:rPr>
                  <w:rFonts w:ascii="Arial" w:cs="Arial" w:eastAsia="Arial" w:hAnsi="Arial"/>
                  <w:sz w:val="18"/>
                  <w:szCs w:val="18"/>
                  <w:color w:val="0000FF"/>
                  <w:w w:val="95"/>
                </w:rPr>
                <w:t>Risk Factors</w:t>
              </w:r>
            </w:hyperlink>
          </w:p>
        </w:tc>
        <w:tc>
          <w:tcPr>
            <w:tcW w:w="7000" w:type="dxa"/>
            <w:vAlign w:val="bottom"/>
            <w:gridSpan w:val="11"/>
          </w:tcPr>
          <w:p>
            <w:pPr>
              <w:spacing w:after="0"/>
              <w:rPr>
                <w:sz w:val="16"/>
                <w:szCs w:val="16"/>
                <w:color w:val="auto"/>
              </w:rPr>
            </w:pPr>
          </w:p>
        </w:tc>
        <w:tc>
          <w:tcPr>
            <w:tcW w:w="1540" w:type="dxa"/>
            <w:vAlign w:val="bottom"/>
            <w:gridSpan w:val="3"/>
          </w:tcPr>
          <w:p>
            <w:pPr>
              <w:jc w:val="center"/>
              <w:ind w:left="930"/>
              <w:spacing w:after="0" w:line="189" w:lineRule="exact"/>
              <w:rPr>
                <w:rFonts w:ascii="Arial" w:cs="Arial" w:eastAsia="Arial" w:hAnsi="Arial"/>
                <w:sz w:val="18"/>
                <w:szCs w:val="18"/>
                <w:color w:val="0000FF"/>
                <w:w w:val="99"/>
              </w:rPr>
            </w:pPr>
            <w:hyperlink w:anchor="page37">
              <w:r>
                <w:rPr>
                  <w:rFonts w:ascii="Arial" w:cs="Arial" w:eastAsia="Arial" w:hAnsi="Arial"/>
                  <w:sz w:val="18"/>
                  <w:szCs w:val="18"/>
                  <w:color w:val="0000FF"/>
                  <w:w w:val="99"/>
                </w:rPr>
                <w:t>37</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00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37</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80" w:type="dxa"/>
            <w:vAlign w:val="bottom"/>
            <w:tcBorders>
              <w:left w:val="single" w:sz="8" w:color="0000FF"/>
            </w:tcBorders>
            <w:gridSpan w:val="6"/>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4780" w:type="dxa"/>
            <w:vAlign w:val="bottom"/>
            <w:gridSpan w:val="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3220" w:type="dxa"/>
            <w:vAlign w:val="bottom"/>
            <w:gridSpan w:val="5"/>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38</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0" w:type="dxa"/>
            <w:vAlign w:val="bottom"/>
            <w:gridSpan w:val="11"/>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60" w:type="dxa"/>
            <w:vAlign w:val="bottom"/>
            <w:gridSpan w:val="2"/>
          </w:tcPr>
          <w:p>
            <w:pPr>
              <w:spacing w:after="0"/>
              <w:rPr>
                <w:rFonts w:ascii="Arial" w:cs="Arial" w:eastAsia="Arial" w:hAnsi="Arial"/>
                <w:sz w:val="18"/>
                <w:szCs w:val="18"/>
                <w:color w:val="0302FF"/>
                <w:w w:val="97"/>
              </w:rPr>
            </w:pPr>
            <w:hyperlink w:anchor="page38">
              <w:r>
                <w:rPr>
                  <w:rFonts w:ascii="Arial" w:cs="Arial" w:eastAsia="Arial" w:hAnsi="Arial"/>
                  <w:sz w:val="18"/>
                  <w:szCs w:val="18"/>
                  <w:color w:val="0302FF"/>
                  <w:w w:val="97"/>
                </w:rPr>
                <w:t>Signatures</w:t>
              </w:r>
            </w:hyperlink>
          </w:p>
        </w:tc>
        <w:tc>
          <w:tcPr>
            <w:tcW w:w="7140" w:type="dxa"/>
            <w:vAlign w:val="bottom"/>
            <w:gridSpan w:val="12"/>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38</w:t>
              </w:r>
            </w:hyperlink>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0" w:type="dxa"/>
            <w:vAlign w:val="bottom"/>
            <w:gridSpan w:val="11"/>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 Index</w:t>
              </w:r>
            </w:hyperlink>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39</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59055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400" w:top="914"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6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As of June 30, 2021 and December 31, 2020</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 (Unaudited)</w:t>
            </w:r>
          </w:p>
        </w:tc>
        <w:tc>
          <w:tcPr>
            <w:tcW w:w="260" w:type="dxa"/>
            <w:vAlign w:val="bottom"/>
          </w:tcPr>
          <w:p>
            <w:pPr>
              <w:spacing w:after="0"/>
              <w:rPr>
                <w:sz w:val="14"/>
                <w:szCs w:val="14"/>
                <w:color w:val="auto"/>
              </w:rPr>
            </w:pPr>
          </w:p>
        </w:tc>
        <w:tc>
          <w:tcPr>
            <w:tcW w:w="188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jc w:val="right"/>
              <w:ind w:right="793"/>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86"/>
        </w:trPr>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8"/>
              </w:rPr>
              <w:t>ASSETS</w:t>
            </w:r>
          </w:p>
        </w:tc>
        <w:tc>
          <w:tcPr>
            <w:tcW w:w="30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9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353,032,803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0" w:type="dxa"/>
            <w:vAlign w:val="bottom"/>
          </w:tcPr>
          <w:p>
            <w:pPr>
              <w:spacing w:after="0"/>
              <w:rPr>
                <w:sz w:val="1"/>
                <w:szCs w:val="1"/>
                <w:color w:val="auto"/>
              </w:rPr>
            </w:pP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13,798,827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27,164,369</w:t>
            </w:r>
          </w:p>
        </w:tc>
        <w:tc>
          <w:tcPr>
            <w:tcW w:w="0" w:type="dxa"/>
            <w:vAlign w:val="bottom"/>
          </w:tcPr>
          <w:p>
            <w:pPr>
              <w:spacing w:after="0"/>
              <w:rPr>
                <w:sz w:val="1"/>
                <w:szCs w:val="1"/>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234,145,996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284,925,335</w:t>
            </w:r>
          </w:p>
        </w:tc>
        <w:tc>
          <w:tcPr>
            <w:tcW w:w="0" w:type="dxa"/>
            <w:vAlign w:val="bottom"/>
          </w:tcPr>
          <w:p>
            <w:pPr>
              <w:spacing w:after="0"/>
              <w:rPr>
                <w:sz w:val="1"/>
                <w:szCs w:val="1"/>
                <w:color w:val="auto"/>
              </w:rPr>
            </w:pP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263,899,976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226,291,843</w:t>
            </w:r>
          </w:p>
        </w:tc>
        <w:tc>
          <w:tcPr>
            <w:tcW w:w="0" w:type="dxa"/>
            <w:vAlign w:val="bottom"/>
          </w:tcPr>
          <w:p>
            <w:pPr>
              <w:spacing w:after="0"/>
              <w:rPr>
                <w:sz w:val="1"/>
                <w:szCs w:val="1"/>
                <w:color w:val="auto"/>
              </w:rPr>
            </w:pPr>
          </w:p>
        </w:tc>
      </w:tr>
      <w:tr>
        <w:trPr>
          <w:trHeight w:val="226"/>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59,698,574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17,577,981</w:t>
            </w:r>
          </w:p>
        </w:tc>
        <w:tc>
          <w:tcPr>
            <w:tcW w:w="0" w:type="dxa"/>
            <w:vAlign w:val="bottom"/>
          </w:tcPr>
          <w:p>
            <w:pPr>
              <w:spacing w:after="0"/>
              <w:rPr>
                <w:sz w:val="1"/>
                <w:szCs w:val="1"/>
                <w:color w:val="auto"/>
              </w:rPr>
            </w:pPr>
          </w:p>
        </w:tc>
      </w:tr>
      <w:tr>
        <w:trPr>
          <w:trHeight w:val="219"/>
        </w:trPr>
        <w:tc>
          <w:tcPr>
            <w:tcW w:w="6780" w:type="dxa"/>
            <w:vAlign w:val="bottom"/>
            <w:gridSpan w:val="5"/>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924,576,176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979,330,564</w:t>
            </w:r>
          </w:p>
        </w:tc>
        <w:tc>
          <w:tcPr>
            <w:tcW w:w="0" w:type="dxa"/>
            <w:vAlign w:val="bottom"/>
          </w:tcPr>
          <w:p>
            <w:pPr>
              <w:spacing w:after="0"/>
              <w:rPr>
                <w:sz w:val="1"/>
                <w:szCs w:val="1"/>
                <w:color w:val="auto"/>
              </w:rPr>
            </w:pPr>
          </w:p>
        </w:tc>
      </w:tr>
      <w:tr>
        <w:trPr>
          <w:trHeight w:val="227"/>
        </w:trPr>
        <w:tc>
          <w:tcPr>
            <w:tcW w:w="1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PLANT AND EQUIPMENT—NET</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458,943,776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468,135,135</w:t>
            </w:r>
          </w:p>
        </w:tc>
        <w:tc>
          <w:tcPr>
            <w:tcW w:w="0" w:type="dxa"/>
            <w:vAlign w:val="bottom"/>
          </w:tcPr>
          <w:p>
            <w:pPr>
              <w:spacing w:after="0"/>
              <w:rPr>
                <w:sz w:val="1"/>
                <w:szCs w:val="1"/>
                <w:color w:val="auto"/>
              </w:rPr>
            </w:pPr>
          </w:p>
        </w:tc>
      </w:tr>
      <w:tr>
        <w:trPr>
          <w:trHeight w:val="227"/>
        </w:trPr>
        <w:tc>
          <w:tcPr>
            <w:tcW w:w="1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311,922,787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311,922,787</w:t>
            </w:r>
          </w:p>
        </w:tc>
        <w:tc>
          <w:tcPr>
            <w:tcW w:w="0" w:type="dxa"/>
            <w:vAlign w:val="bottom"/>
          </w:tcPr>
          <w:p>
            <w:pPr>
              <w:spacing w:after="0"/>
              <w:rPr>
                <w:sz w:val="1"/>
                <w:szCs w:val="1"/>
                <w:color w:val="auto"/>
              </w:rPr>
            </w:pP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193,418,570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162,028,068</w:t>
            </w:r>
          </w:p>
        </w:tc>
        <w:tc>
          <w:tcPr>
            <w:tcW w:w="0" w:type="dxa"/>
            <w:vAlign w:val="bottom"/>
          </w:tcPr>
          <w:p>
            <w:pPr>
              <w:spacing w:after="0"/>
              <w:rPr>
                <w:sz w:val="1"/>
                <w:szCs w:val="1"/>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251,213,561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249,748,127</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26,723,061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26,776,489</w:t>
            </w:r>
          </w:p>
        </w:tc>
        <w:tc>
          <w:tcPr>
            <w:tcW w:w="0" w:type="dxa"/>
            <w:vAlign w:val="bottom"/>
          </w:tcPr>
          <w:p>
            <w:pPr>
              <w:spacing w:after="0"/>
              <w:rPr>
                <w:sz w:val="1"/>
                <w:szCs w:val="1"/>
                <w:color w:val="auto"/>
              </w:rPr>
            </w:pPr>
          </w:p>
        </w:tc>
      </w:tr>
      <w:tr>
        <w:trPr>
          <w:trHeight w:val="220"/>
        </w:trPr>
        <w:tc>
          <w:tcPr>
            <w:tcW w:w="67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783,277,979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750,475,471</w:t>
            </w:r>
          </w:p>
        </w:tc>
        <w:tc>
          <w:tcPr>
            <w:tcW w:w="0" w:type="dxa"/>
            <w:vAlign w:val="bottom"/>
          </w:tcPr>
          <w:p>
            <w:pPr>
              <w:spacing w:after="0"/>
              <w:rPr>
                <w:sz w:val="1"/>
                <w:szCs w:val="1"/>
                <w:color w:val="auto"/>
              </w:rPr>
            </w:pPr>
          </w:p>
        </w:tc>
      </w:tr>
      <w:tr>
        <w:trPr>
          <w:trHeight w:val="219"/>
        </w:trPr>
        <w:tc>
          <w:tcPr>
            <w:tcW w:w="6780" w:type="dxa"/>
            <w:vAlign w:val="bottom"/>
            <w:gridSpan w:val="5"/>
          </w:tcPr>
          <w:p>
            <w:pPr>
              <w:spacing w:after="0" w:line="205"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2,166,797,931</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2,197,941,170</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3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80" w:type="dxa"/>
            <w:vAlign w:val="bottom"/>
            <w:gridSpan w:val="5"/>
          </w:tcPr>
          <w:p>
            <w:pPr>
              <w:jc w:val="center"/>
              <w:spacing w:after="0" w:line="186" w:lineRule="exact"/>
              <w:rPr>
                <w:sz w:val="20"/>
                <w:szCs w:val="20"/>
                <w:color w:val="auto"/>
              </w:rPr>
            </w:pPr>
            <w:r>
              <w:rPr>
                <w:rFonts w:ascii="Arial" w:cs="Arial" w:eastAsia="Arial" w:hAnsi="Arial"/>
                <w:sz w:val="18"/>
                <w:szCs w:val="18"/>
                <w:color w:val="auto"/>
                <w:w w:val="98"/>
              </w:rPr>
              <w:t>LIABILITIES AND SHAREHOLDERS’ INVESTMENT</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20" w:type="dxa"/>
            <w:vAlign w:val="bottom"/>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101,262,288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84,784,423</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95,134,329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92,952,434</w:t>
            </w:r>
          </w:p>
        </w:tc>
        <w:tc>
          <w:tcPr>
            <w:tcW w:w="0" w:type="dxa"/>
            <w:vAlign w:val="bottom"/>
          </w:tcPr>
          <w:p>
            <w:pPr>
              <w:spacing w:after="0"/>
              <w:rPr>
                <w:sz w:val="1"/>
                <w:szCs w:val="1"/>
                <w:color w:val="auto"/>
              </w:rPr>
            </w:pPr>
          </w:p>
        </w:tc>
      </w:tr>
      <w:tr>
        <w:trPr>
          <w:trHeight w:val="220"/>
        </w:trPr>
        <w:tc>
          <w:tcPr>
            <w:tcW w:w="67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196,396,617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177,736,857</w:t>
            </w: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18,668,444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17,300,442</w:t>
            </w: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35,413,881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38,960,743</w:t>
            </w: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250,478,942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233,998,042</w:t>
            </w:r>
          </w:p>
        </w:tc>
        <w:tc>
          <w:tcPr>
            <w:tcW w:w="0" w:type="dxa"/>
            <w:vAlign w:val="bottom"/>
          </w:tcPr>
          <w:p>
            <w:pPr>
              <w:spacing w:after="0"/>
              <w:rPr>
                <w:sz w:val="1"/>
                <w:szCs w:val="1"/>
                <w:color w:val="auto"/>
              </w:rPr>
            </w:pPr>
          </w:p>
        </w:tc>
      </w:tr>
      <w:tr>
        <w:trPr>
          <w:trHeight w:val="226"/>
        </w:trPr>
        <w:tc>
          <w:tcPr>
            <w:tcW w:w="1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INVESTMENT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14,337,995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14,621,572</w:t>
            </w:r>
          </w:p>
        </w:tc>
        <w:tc>
          <w:tcPr>
            <w:tcW w:w="0" w:type="dxa"/>
            <w:vAlign w:val="bottom"/>
          </w:tcPr>
          <w:p>
            <w:pPr>
              <w:spacing w:after="0"/>
              <w:rPr>
                <w:sz w:val="1"/>
                <w:szCs w:val="1"/>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859,678,392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852,771,508</w:t>
            </w:r>
          </w:p>
        </w:tc>
        <w:tc>
          <w:tcPr>
            <w:tcW w:w="0" w:type="dxa"/>
            <w:vAlign w:val="bottom"/>
          </w:tcPr>
          <w:p>
            <w:pPr>
              <w:spacing w:after="0"/>
              <w:rPr>
                <w:sz w:val="1"/>
                <w:szCs w:val="1"/>
                <w:color w:val="auto"/>
              </w:rPr>
            </w:pP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1,038,037,564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1,089,698,996</w:t>
            </w:r>
          </w:p>
        </w:tc>
        <w:tc>
          <w:tcPr>
            <w:tcW w:w="0" w:type="dxa"/>
            <w:vAlign w:val="bottom"/>
          </w:tcPr>
          <w:p>
            <w:pPr>
              <w:spacing w:after="0"/>
              <w:rPr>
                <w:sz w:val="1"/>
                <w:szCs w:val="1"/>
                <w:color w:val="auto"/>
              </w:rPr>
            </w:pPr>
          </w:p>
        </w:tc>
      </w:tr>
      <w:tr>
        <w:trPr>
          <w:trHeight w:val="226"/>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4,265,038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6,851,052</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gridSpan w:val="5"/>
          </w:tcPr>
          <w:p>
            <w:pPr>
              <w:ind w:left="420"/>
              <w:spacing w:after="0"/>
              <w:rPr>
                <w:sz w:val="20"/>
                <w:szCs w:val="20"/>
                <w:color w:val="auto"/>
              </w:rPr>
            </w:pPr>
            <w:r>
              <w:rPr>
                <w:rFonts w:ascii="Arial" w:cs="Arial" w:eastAsia="Arial" w:hAnsi="Arial"/>
                <w:sz w:val="18"/>
                <w:szCs w:val="18"/>
                <w:color w:val="auto"/>
              </w:rPr>
              <w:t>Total shareholders’ investment</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1,916,318,989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1,963,943,128</w:t>
            </w: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5"/>
            <w:shd w:val="clear" w:color="auto" w:fill="CCEEFF"/>
          </w:tcPr>
          <w:p>
            <w:pPr>
              <w:spacing w:after="0" w:line="206" w:lineRule="exact"/>
              <w:rPr>
                <w:sz w:val="20"/>
                <w:szCs w:val="20"/>
                <w:color w:val="auto"/>
              </w:rPr>
            </w:pPr>
            <w:r>
              <w:rPr>
                <w:rFonts w:ascii="Arial" w:cs="Arial" w:eastAsia="Arial" w:hAnsi="Arial"/>
                <w:sz w:val="18"/>
                <w:szCs w:val="18"/>
                <w:color w:val="auto"/>
              </w:rPr>
              <w:t>Total liabilities and shareholders’ investment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2,166,797,931</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2,197,941,170</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460"/>
        <w:spacing w:after="0" w:line="272" w:lineRule="auto"/>
        <w:rPr>
          <w:sz w:val="20"/>
          <w:szCs w:val="20"/>
          <w:color w:val="auto"/>
        </w:rPr>
      </w:pPr>
      <w:r>
        <w:rPr>
          <w:rFonts w:ascii="Arial" w:cs="Arial" w:eastAsia="Arial" w:hAnsi="Arial"/>
          <w:sz w:val="12"/>
          <w:szCs w:val="12"/>
          <w:color w:val="auto"/>
        </w:rPr>
        <w:t>Note: The condensed consolidated balance sheet at December 31, 2020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3" w:name="page4"/>
    <w:bookmarkEnd w:id="3"/>
    <w:p>
      <w:pPr>
        <w:jc w:val="center"/>
        <w:spacing w:after="0" w:line="44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2021 and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9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6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9"/>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428,005,026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229,925,556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911,729,865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683,687,281</w:t>
            </w:r>
          </w:p>
        </w:tc>
      </w:tr>
      <w:tr>
        <w:trPr>
          <w:trHeight w:val="226"/>
        </w:trPr>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276,408,285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185,980,748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576,832,956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483,154,994</w:t>
            </w:r>
          </w:p>
        </w:tc>
      </w:tr>
      <w:tr>
        <w:trPr>
          <w:trHeight w:val="219"/>
        </w:trPr>
        <w:tc>
          <w:tcPr>
            <w:tcW w:w="460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151,596,741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43,944,808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334,896,909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200,532,287</w:t>
            </w:r>
          </w:p>
        </w:tc>
      </w:tr>
      <w:tr>
        <w:trPr>
          <w:trHeight w:val="227"/>
        </w:trPr>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29,059,058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28,992,968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56,711,139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58,608,390</w:t>
            </w:r>
          </w:p>
        </w:tc>
      </w:tr>
      <w:tr>
        <w:trPr>
          <w:trHeight w:val="225"/>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22,613,062</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21,690,096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44,527,448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43,634,987</w:t>
            </w:r>
          </w:p>
        </w:tc>
      </w:tr>
      <w:tr>
        <w:trPr>
          <w:trHeight w:val="219"/>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51,672,120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50,683,064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101,238,587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102,243,377</w:t>
            </w:r>
          </w:p>
        </w:tc>
      </w:tr>
      <w:tr>
        <w:trPr>
          <w:trHeight w:val="207"/>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99,924,621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(6,738,256)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233,658,322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98,288,910</w:t>
            </w:r>
          </w:p>
        </w:tc>
      </w:tr>
      <w:tr>
        <w:trPr>
          <w:trHeight w:val="226"/>
        </w:trPr>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460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903,139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1,462,033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1,926,549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3,908,682</w:t>
            </w:r>
          </w:p>
        </w:tc>
      </w:tr>
      <w:tr>
        <w:trPr>
          <w:trHeight w:val="226"/>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987,959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1,404,196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1,205,030</w:t>
            </w:r>
          </w:p>
        </w:tc>
      </w:tr>
      <w:tr>
        <w:trPr>
          <w:trHeight w:val="219"/>
        </w:trPr>
        <w:tc>
          <w:tcPr>
            <w:tcW w:w="46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1,891,098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2,866,229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5,113,712</w:t>
            </w:r>
          </w:p>
        </w:tc>
      </w:tr>
      <w:tr>
        <w:trPr>
          <w:trHeight w:val="207"/>
        </w:trPr>
        <w:tc>
          <w:tcPr>
            <w:tcW w:w="4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5"/>
        </w:trPr>
        <w:tc>
          <w:tcPr>
            <w:tcW w:w="4600" w:type="dxa"/>
            <w:vAlign w:val="bottom"/>
          </w:tcPr>
          <w:p>
            <w:pPr>
              <w:ind w:left="20"/>
              <w:spacing w:after="0" w:line="185" w:lineRule="exact"/>
              <w:rPr>
                <w:sz w:val="20"/>
                <w:szCs w:val="20"/>
                <w:color w:val="auto"/>
              </w:rPr>
            </w:pPr>
            <w:r>
              <w:rPr>
                <w:rFonts w:ascii="Arial" w:cs="Arial" w:eastAsia="Arial" w:hAnsi="Arial"/>
                <w:sz w:val="18"/>
                <w:szCs w:val="18"/>
                <w:color w:val="auto"/>
              </w:rPr>
              <w:t>INCOME (LOSS) BEFORE PROVISION FOR INCOME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8"/>
                <w:szCs w:val="18"/>
                <w:color w:val="auto"/>
              </w:rPr>
              <w:t>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101,815,719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(3,872,027)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237,082,455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103,402,622</w:t>
            </w:r>
          </w:p>
        </w:tc>
      </w:tr>
      <w:tr>
        <w:trPr>
          <w:trHeight w:val="227"/>
        </w:trPr>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15,309,301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(1,497,994)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37,125,167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16,270,854</w:t>
            </w:r>
          </w:p>
        </w:tc>
      </w:tr>
      <w:tr>
        <w:trPr>
          <w:trHeight w:val="227"/>
        </w:trPr>
        <w:tc>
          <w:tcPr>
            <w:tcW w:w="46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19"/>
        </w:trPr>
        <w:tc>
          <w:tcPr>
            <w:tcW w:w="4600" w:type="dxa"/>
            <w:vAlign w:val="bottom"/>
          </w:tcPr>
          <w:p>
            <w:pPr>
              <w:ind w:left="20"/>
              <w:spacing w:after="0" w:line="205"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86,506,418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(2,374,033)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199,957,288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87,131,768</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3"/>
        </w:trPr>
        <w:tc>
          <w:tcPr>
            <w:tcW w:w="4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6"/>
        </w:trPr>
        <w:tc>
          <w:tcPr>
            <w:tcW w:w="46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25"/>
        </w:trPr>
        <w:tc>
          <w:tcPr>
            <w:tcW w:w="46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27"/>
        </w:trPr>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0.120</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0.120</w:t>
            </w:r>
          </w:p>
        </w:tc>
        <w:tc>
          <w:tcPr>
            <w:tcW w:w="1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0.240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0.240</w:t>
            </w:r>
          </w:p>
        </w:tc>
      </w:tr>
    </w:tbl>
    <w:p>
      <w:pPr>
        <w:spacing w:after="0" w:line="248" w:lineRule="exact"/>
        <w:rPr>
          <w:sz w:val="20"/>
          <w:szCs w:val="20"/>
          <w:color w:val="auto"/>
        </w:rPr>
      </w:pPr>
    </w:p>
    <w:p>
      <w:pPr>
        <w:ind w:left="180" w:hanging="156"/>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(Loss) Per Share has been adjusted to exclude the portion of net income (loss)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 w:name="page5"/>
    <w:bookmarkEnd w:id="4"/>
    <w:p>
      <w:pPr>
        <w:jc w:val="center"/>
        <w:spacing w:after="0" w:line="44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2021 and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9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(2,374,033)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199,957,288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87,131,768</w:t>
            </w:r>
          </w:p>
        </w:tc>
      </w:tr>
      <w:tr>
        <w:trPr>
          <w:trHeight w:val="266"/>
        </w:trPr>
        <w:tc>
          <w:tcPr>
            <w:tcW w:w="4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76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136,627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110,787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(555,463)</w:t>
            </w:r>
          </w:p>
        </w:tc>
      </w:tr>
      <w:tr>
        <w:trPr>
          <w:trHeight w:val="226"/>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debt securities, net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1,705,281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3,022,561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(3,413,672)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5,802,291</w:t>
            </w:r>
          </w:p>
        </w:tc>
      </w:tr>
      <w:tr>
        <w:trPr>
          <w:trHeight w:val="247"/>
        </w:trPr>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3,159,188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(3,302,885)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5,246,828</w:t>
            </w:r>
          </w:p>
        </w:tc>
      </w:tr>
      <w:tr>
        <w:trPr>
          <w:trHeight w:val="266"/>
        </w:trPr>
        <w:tc>
          <w:tcPr>
            <w:tcW w:w="4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85"/>
        </w:trPr>
        <w:tc>
          <w:tcPr>
            <w:tcW w:w="47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Income tax impact related to components of other</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634,738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(716,871)</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1,218,481</w:t>
            </w:r>
          </w:p>
        </w:tc>
      </w:tr>
      <w:tr>
        <w:trPr>
          <w:trHeight w:val="247"/>
        </w:trPr>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2,310,371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2,524,450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(2,586,014)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4,028,347</w:t>
            </w:r>
          </w:p>
        </w:tc>
      </w:tr>
      <w:tr>
        <w:trPr>
          <w:trHeight w:val="247"/>
        </w:trPr>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88,816,789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197,371,274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91,160,115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June 30, 2021 and 2020</w:t>
      </w:r>
    </w:p>
    <w:p>
      <w:pPr>
        <w:sectPr>
          <w:pgSz w:w="11900" w:h="16838" w:orient="portrait"/>
          <w:cols w:equalWidth="0" w:num="1">
            <w:col w:w="11220"/>
          </w:cols>
          <w:pgMar w:left="340" w:top="13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2021</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ind w:right="880"/>
        <w:spacing w:after="0" w:line="342" w:lineRule="auto"/>
        <w:rPr>
          <w:sz w:val="20"/>
          <w:szCs w:val="20"/>
          <w:color w:val="auto"/>
        </w:rPr>
      </w:pPr>
      <w:r>
        <w:rPr>
          <w:rFonts w:ascii="Arial" w:cs="Arial" w:eastAsia="Arial" w:hAnsi="Arial"/>
          <w:sz w:val="15"/>
          <w:szCs w:val="15"/>
          <w:color w:val="auto"/>
        </w:rPr>
        <w:t>Other comprehensive income BALANCE AS OF JUNE 30, 2021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7"/>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7"/>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1080" w:type="dxa"/>
            <w:vAlign w:val="bottom"/>
            <w:vMerge w:val="restart"/>
          </w:tcPr>
          <w:p>
            <w:pPr>
              <w:jc w:val="right"/>
              <w:ind w:right="207"/>
              <w:spacing w:after="0"/>
              <w:rPr>
                <w:sz w:val="20"/>
                <w:szCs w:val="20"/>
                <w:color w:val="auto"/>
              </w:rPr>
            </w:pPr>
            <w:r>
              <w:rPr>
                <w:rFonts w:ascii="Arial" w:cs="Arial" w:eastAsia="Arial" w:hAnsi="Arial"/>
                <w:sz w:val="16"/>
                <w:szCs w:val="16"/>
                <w:b w:val="1"/>
                <w:bCs w:val="1"/>
                <w:color w:val="auto"/>
                <w:w w:val="99"/>
              </w:rPr>
              <w:t>Additional</w:t>
            </w: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47"/>
              <w:spacing w:after="0"/>
              <w:rPr>
                <w:sz w:val="20"/>
                <w:szCs w:val="20"/>
                <w:color w:val="auto"/>
              </w:rPr>
            </w:pPr>
            <w:r>
              <w:rPr>
                <w:rFonts w:ascii="Arial" w:cs="Arial" w:eastAsia="Arial" w:hAnsi="Arial"/>
                <w:sz w:val="16"/>
                <w:szCs w:val="16"/>
                <w:b w:val="1"/>
                <w:bCs w:val="1"/>
                <w:color w:val="auto"/>
                <w:w w:val="99"/>
              </w:rPr>
              <w:t>Accumulated</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0"/>
        </w:trPr>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restart"/>
          </w:tcPr>
          <w:p>
            <w:pPr>
              <w:jc w:val="right"/>
              <w:ind w:right="247"/>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3"/>
                <w:szCs w:val="13"/>
                <w:color w:val="auto"/>
              </w:rPr>
            </w:pPr>
          </w:p>
        </w:tc>
        <w:tc>
          <w:tcPr>
            <w:tcW w:w="1300" w:type="dxa"/>
            <w:vAlign w:val="bottom"/>
          </w:tcPr>
          <w:p>
            <w:pPr>
              <w:jc w:val="center"/>
              <w:ind w:right="87"/>
              <w:spacing w:after="0" w:line="160" w:lineRule="exact"/>
              <w:rPr>
                <w:sz w:val="20"/>
                <w:szCs w:val="20"/>
                <w:color w:val="auto"/>
              </w:rPr>
            </w:pPr>
            <w:r>
              <w:rPr>
                <w:rFonts w:ascii="Arial" w:cs="Arial" w:eastAsia="Arial" w:hAnsi="Arial"/>
                <w:sz w:val="16"/>
                <w:szCs w:val="16"/>
                <w:b w:val="1"/>
                <w:bCs w:val="1"/>
                <w:color w:val="auto"/>
                <w:w w:val="98"/>
              </w:rPr>
              <w:t>Other</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20" w:type="dxa"/>
            <w:vAlign w:val="bottom"/>
          </w:tcPr>
          <w:p>
            <w:pPr>
              <w:jc w:val="center"/>
              <w:ind w:right="7"/>
              <w:spacing w:after="0" w:line="160" w:lineRule="exact"/>
              <w:rPr>
                <w:sz w:val="20"/>
                <w:szCs w:val="20"/>
                <w:color w:val="auto"/>
              </w:rPr>
            </w:pPr>
            <w:r>
              <w:rPr>
                <w:rFonts w:ascii="Arial" w:cs="Arial" w:eastAsia="Arial" w:hAnsi="Arial"/>
                <w:sz w:val="16"/>
                <w:szCs w:val="16"/>
                <w:b w:val="1"/>
                <w:bCs w:val="1"/>
                <w:color w:val="auto"/>
                <w:w w:val="96"/>
              </w:rPr>
              <w:t>Stock</w:t>
            </w:r>
          </w:p>
        </w:tc>
        <w:tc>
          <w:tcPr>
            <w:tcW w:w="240" w:type="dxa"/>
            <w:vAlign w:val="bottom"/>
          </w:tcPr>
          <w:p>
            <w:pPr>
              <w:spacing w:after="0"/>
              <w:rPr>
                <w:sz w:val="13"/>
                <w:szCs w:val="13"/>
                <w:color w:val="auto"/>
              </w:rPr>
            </w:pPr>
          </w:p>
        </w:tc>
        <w:tc>
          <w:tcPr>
            <w:tcW w:w="1060" w:type="dxa"/>
            <w:vAlign w:val="bottom"/>
          </w:tcPr>
          <w:p>
            <w:pPr>
              <w:jc w:val="center"/>
              <w:ind w:right="167"/>
              <w:spacing w:after="0" w:line="160" w:lineRule="exact"/>
              <w:rPr>
                <w:sz w:val="20"/>
                <w:szCs w:val="20"/>
                <w:color w:val="auto"/>
              </w:rPr>
            </w:pPr>
            <w:r>
              <w:rPr>
                <w:rFonts w:ascii="Arial" w:cs="Arial" w:eastAsia="Arial" w:hAnsi="Arial"/>
                <w:sz w:val="16"/>
                <w:szCs w:val="16"/>
                <w:b w:val="1"/>
                <w:bCs w:val="1"/>
                <w:color w:val="auto"/>
                <w:w w:val="96"/>
              </w:rPr>
              <w:t>Stock</w:t>
            </w:r>
          </w:p>
        </w:tc>
        <w:tc>
          <w:tcPr>
            <w:tcW w:w="220" w:type="dxa"/>
            <w:vAlign w:val="bottom"/>
          </w:tcPr>
          <w:p>
            <w:pPr>
              <w:spacing w:after="0"/>
              <w:rPr>
                <w:sz w:val="13"/>
                <w:szCs w:val="13"/>
                <w:color w:val="auto"/>
              </w:rPr>
            </w:pPr>
          </w:p>
        </w:tc>
        <w:tc>
          <w:tcPr>
            <w:tcW w:w="1080" w:type="dxa"/>
            <w:vAlign w:val="bottom"/>
          </w:tcPr>
          <w:p>
            <w:pPr>
              <w:ind w:left="160"/>
              <w:spacing w:after="0" w:line="160" w:lineRule="exact"/>
              <w:rPr>
                <w:sz w:val="20"/>
                <w:szCs w:val="20"/>
                <w:color w:val="auto"/>
              </w:rPr>
            </w:pPr>
            <w:r>
              <w:rPr>
                <w:rFonts w:ascii="Arial" w:cs="Arial" w:eastAsia="Arial" w:hAnsi="Arial"/>
                <w:sz w:val="16"/>
                <w:szCs w:val="16"/>
                <w:b w:val="1"/>
                <w:bCs w:val="1"/>
                <w:color w:val="auto"/>
              </w:rPr>
              <w:t>Paid-In</w:t>
            </w:r>
          </w:p>
        </w:tc>
        <w:tc>
          <w:tcPr>
            <w:tcW w:w="1300" w:type="dxa"/>
            <w:vAlign w:val="bottom"/>
            <w:vMerge w:val="continue"/>
          </w:tcPr>
          <w:p>
            <w:pPr>
              <w:spacing w:after="0"/>
              <w:rPr>
                <w:sz w:val="13"/>
                <w:szCs w:val="13"/>
                <w:color w:val="auto"/>
              </w:rPr>
            </w:pPr>
          </w:p>
        </w:tc>
        <w:tc>
          <w:tcPr>
            <w:tcW w:w="150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Comprehensive</w:t>
            </w:r>
          </w:p>
        </w:tc>
        <w:tc>
          <w:tcPr>
            <w:tcW w:w="1240" w:type="dxa"/>
            <w:vAlign w:val="bottom"/>
          </w:tcPr>
          <w:p>
            <w:pPr>
              <w:jc w:val="center"/>
              <w:ind w:left="27"/>
              <w:spacing w:after="0" w:line="160" w:lineRule="exact"/>
              <w:rPr>
                <w:sz w:val="20"/>
                <w:szCs w:val="20"/>
                <w:color w:val="auto"/>
              </w:rPr>
            </w:pPr>
            <w:r>
              <w:rPr>
                <w:rFonts w:ascii="Arial" w:cs="Arial" w:eastAsia="Arial" w:hAnsi="Arial"/>
                <w:sz w:val="16"/>
                <w:szCs w:val="16"/>
                <w:b w:val="1"/>
                <w:bCs w:val="1"/>
                <w:color w:val="auto"/>
                <w:w w:val="99"/>
              </w:rPr>
              <w:t>Shareholders’</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tcPr>
          <w:p>
            <w:pPr>
              <w:jc w:val="center"/>
              <w:ind w:right="7"/>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47"/>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Capital</w:t>
            </w:r>
          </w:p>
        </w:tc>
        <w:tc>
          <w:tcPr>
            <w:tcW w:w="13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7"/>
              <w:spacing w:after="0"/>
              <w:rPr>
                <w:sz w:val="20"/>
                <w:szCs w:val="20"/>
                <w:color w:val="auto"/>
              </w:rPr>
            </w:pPr>
            <w:r>
              <w:rPr>
                <w:rFonts w:ascii="Arial" w:cs="Arial" w:eastAsia="Arial" w:hAnsi="Arial"/>
                <w:sz w:val="16"/>
                <w:szCs w:val="16"/>
                <w:b w:val="1"/>
                <w:bCs w:val="1"/>
                <w:color w:val="auto"/>
                <w:w w:val="99"/>
              </w:rPr>
              <w:t>Income (Loss)</w:t>
            </w:r>
          </w:p>
        </w:tc>
        <w:tc>
          <w:tcPr>
            <w:tcW w:w="124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b w:val="1"/>
                <w:bCs w:val="1"/>
                <w:color w:val="auto"/>
                <w:w w:val="99"/>
              </w:rPr>
              <w:t>Investment</w:t>
            </w:r>
          </w:p>
        </w:tc>
        <w:tc>
          <w:tcPr>
            <w:tcW w:w="0" w:type="dxa"/>
            <w:vAlign w:val="bottom"/>
          </w:tcPr>
          <w:p>
            <w:pPr>
              <w:spacing w:after="0"/>
              <w:rPr>
                <w:sz w:val="1"/>
                <w:szCs w:val="1"/>
                <w:color w:val="auto"/>
              </w:rPr>
            </w:pPr>
          </w:p>
        </w:tc>
      </w:tr>
      <w:tr>
        <w:trPr>
          <w:trHeight w:val="182"/>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241,538,824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14,492,329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859,355,232</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$ 1,085,178,486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7"/>
              <w:spacing w:after="0"/>
              <w:rPr>
                <w:sz w:val="20"/>
                <w:szCs w:val="20"/>
                <w:color w:val="auto"/>
              </w:rPr>
            </w:pPr>
            <w:r>
              <w:rPr>
                <w:rFonts w:ascii="Arial" w:cs="Arial" w:eastAsia="Arial" w:hAnsi="Arial"/>
                <w:sz w:val="14"/>
                <w:szCs w:val="14"/>
                <w:color w:val="auto"/>
              </w:rPr>
              <w:t>1,954,667</w:t>
            </w:r>
          </w:p>
        </w:tc>
        <w:tc>
          <w:tcPr>
            <w:tcW w:w="1240" w:type="dxa"/>
            <w:vAlign w:val="bottom"/>
          </w:tcPr>
          <w:p>
            <w:pPr>
              <w:jc w:val="right"/>
              <w:spacing w:after="0"/>
              <w:rPr>
                <w:sz w:val="20"/>
                <w:szCs w:val="20"/>
                <w:color w:val="auto"/>
              </w:rPr>
            </w:pPr>
            <w:r>
              <w:rPr>
                <w:rFonts w:ascii="Arial" w:cs="Arial" w:eastAsia="Arial" w:hAnsi="Arial"/>
                <w:sz w:val="14"/>
                <w:szCs w:val="14"/>
                <w:color w:val="auto"/>
              </w:rPr>
              <w:t>$ 1,960,980,714</w:t>
            </w:r>
          </w:p>
        </w:tc>
        <w:tc>
          <w:tcPr>
            <w:tcW w:w="0" w:type="dxa"/>
            <w:vAlign w:val="bottom"/>
          </w:tcPr>
          <w:p>
            <w:pPr>
              <w:spacing w:after="0"/>
              <w:rPr>
                <w:sz w:val="1"/>
                <w:szCs w:val="1"/>
                <w:color w:val="auto"/>
              </w:rPr>
            </w:pPr>
          </w:p>
        </w:tc>
      </w:tr>
      <w:tr>
        <w:trPr>
          <w:trHeight w:val="386"/>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838,896</w:t>
            </w:r>
          </w:p>
        </w:tc>
        <w:tc>
          <w:tcPr>
            <w:tcW w:w="2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50,334</w:t>
            </w:r>
          </w:p>
        </w:tc>
        <w:tc>
          <w:tcPr>
            <w:tcW w:w="220" w:type="dxa"/>
            <w:vAlign w:val="bottom"/>
          </w:tcPr>
          <w:p>
            <w:pPr>
              <w:spacing w:after="0"/>
              <w:rPr>
                <w:sz w:val="24"/>
                <w:szCs w:val="24"/>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4,340,710</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4,391,044</w:t>
            </w:r>
          </w:p>
        </w:tc>
        <w:tc>
          <w:tcPr>
            <w:tcW w:w="0" w:type="dxa"/>
            <w:vAlign w:val="bottom"/>
          </w:tcPr>
          <w:p>
            <w:pPr>
              <w:spacing w:after="0"/>
              <w:rPr>
                <w:sz w:val="1"/>
                <w:szCs w:val="1"/>
                <w:color w:val="auto"/>
              </w:rPr>
            </w:pPr>
          </w:p>
        </w:tc>
      </w:tr>
      <w:tr>
        <w:trPr>
          <w:trHeight w:val="213"/>
        </w:trPr>
        <w:tc>
          <w:tcPr>
            <w:tcW w:w="1220" w:type="dxa"/>
            <w:vAlign w:val="bottom"/>
          </w:tcPr>
          <w:p>
            <w:pPr>
              <w:jc w:val="right"/>
              <w:ind w:right="47"/>
              <w:spacing w:after="0"/>
              <w:rPr>
                <w:sz w:val="20"/>
                <w:szCs w:val="20"/>
                <w:color w:val="auto"/>
              </w:rPr>
            </w:pPr>
            <w:r>
              <w:rPr>
                <w:rFonts w:ascii="Arial" w:cs="Arial" w:eastAsia="Arial" w:hAnsi="Arial"/>
                <w:sz w:val="14"/>
                <w:szCs w:val="14"/>
                <w:color w:val="auto"/>
              </w:rPr>
              <w:t>(3,411,131)</w:t>
            </w:r>
          </w:p>
        </w:tc>
        <w:tc>
          <w:tcPr>
            <w:tcW w:w="240" w:type="dxa"/>
            <w:vAlign w:val="bottom"/>
          </w:tcPr>
          <w:p>
            <w:pPr>
              <w:spacing w:after="0"/>
              <w:rPr>
                <w:sz w:val="18"/>
                <w:szCs w:val="18"/>
                <w:color w:val="auto"/>
              </w:rPr>
            </w:pP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(204,668)</w:t>
            </w:r>
          </w:p>
        </w:tc>
        <w:tc>
          <w:tcPr>
            <w:tcW w:w="22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4"/>
                <w:szCs w:val="14"/>
                <w:color w:val="auto"/>
              </w:rPr>
              <w:t>(10,745,063)</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(104,971,348)</w:t>
            </w:r>
          </w:p>
        </w:tc>
        <w:tc>
          <w:tcPr>
            <w:tcW w:w="200" w:type="dxa"/>
            <w:vAlign w:val="bottom"/>
          </w:tcPr>
          <w:p>
            <w:pPr>
              <w:spacing w:after="0"/>
              <w:rPr>
                <w:sz w:val="18"/>
                <w:szCs w:val="18"/>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(115,921,079)</w:t>
            </w:r>
          </w:p>
        </w:tc>
        <w:tc>
          <w:tcPr>
            <w:tcW w:w="0" w:type="dxa"/>
            <w:vAlign w:val="bottom"/>
          </w:tcPr>
          <w:p>
            <w:pPr>
              <w:spacing w:after="0"/>
              <w:rPr>
                <w:sz w:val="1"/>
                <w:szCs w:val="1"/>
                <w:color w:val="auto"/>
              </w:rPr>
            </w:pPr>
          </w:p>
        </w:tc>
      </w:tr>
      <w:tr>
        <w:trPr>
          <w:trHeight w:val="532"/>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6,727,513</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6,727,513</w:t>
            </w:r>
          </w:p>
        </w:tc>
        <w:tc>
          <w:tcPr>
            <w:tcW w:w="0" w:type="dxa"/>
            <w:vAlign w:val="bottom"/>
          </w:tcPr>
          <w:p>
            <w:pPr>
              <w:spacing w:after="0"/>
              <w:rPr>
                <w:sz w:val="1"/>
                <w:szCs w:val="1"/>
                <w:color w:val="auto"/>
              </w:rPr>
            </w:pPr>
          </w:p>
        </w:tc>
      </w:tr>
      <w:tr>
        <w:trPr>
          <w:trHeight w:val="239"/>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(28,675,992)</w:t>
            </w:r>
          </w:p>
        </w:tc>
        <w:tc>
          <w:tcPr>
            <w:tcW w:w="200" w:type="dxa"/>
            <w:vAlign w:val="bottom"/>
          </w:tcPr>
          <w:p>
            <w:pPr>
              <w:spacing w:after="0"/>
              <w:rPr>
                <w:sz w:val="20"/>
                <w:szCs w:val="20"/>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(28,675,992)</w:t>
            </w:r>
          </w:p>
        </w:tc>
        <w:tc>
          <w:tcPr>
            <w:tcW w:w="0" w:type="dxa"/>
            <w:vAlign w:val="bottom"/>
          </w:tcPr>
          <w:p>
            <w:pPr>
              <w:spacing w:after="0"/>
              <w:rPr>
                <w:sz w:val="1"/>
                <w:szCs w:val="1"/>
                <w:color w:val="auto"/>
              </w:rPr>
            </w:pPr>
          </w:p>
        </w:tc>
      </w:tr>
      <w:tr>
        <w:trPr>
          <w:trHeight w:val="213"/>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86,506,418</w:t>
            </w:r>
          </w:p>
        </w:tc>
        <w:tc>
          <w:tcPr>
            <w:tcW w:w="200" w:type="dxa"/>
            <w:vAlign w:val="bottom"/>
          </w:tcPr>
          <w:p>
            <w:pPr>
              <w:spacing w:after="0"/>
              <w:rPr>
                <w:sz w:val="18"/>
                <w:szCs w:val="18"/>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86,506,418</w:t>
            </w:r>
          </w:p>
        </w:tc>
        <w:tc>
          <w:tcPr>
            <w:tcW w:w="0" w:type="dxa"/>
            <w:vAlign w:val="bottom"/>
          </w:tcPr>
          <w:p>
            <w:pPr>
              <w:spacing w:after="0"/>
              <w:rPr>
                <w:sz w:val="1"/>
                <w:szCs w:val="1"/>
                <w:color w:val="auto"/>
              </w:rPr>
            </w:pPr>
          </w:p>
        </w:tc>
      </w:tr>
      <w:tr>
        <w:trPr>
          <w:trHeight w:val="211"/>
        </w:trPr>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2,310,371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2,310,371</w:t>
            </w:r>
          </w:p>
        </w:tc>
        <w:tc>
          <w:tcPr>
            <w:tcW w:w="0" w:type="dxa"/>
            <w:vAlign w:val="bottom"/>
          </w:tcPr>
          <w:p>
            <w:pPr>
              <w:spacing w:after="0"/>
              <w:rPr>
                <w:sz w:val="1"/>
                <w:szCs w:val="1"/>
                <w:color w:val="auto"/>
              </w:rPr>
            </w:pPr>
          </w:p>
        </w:tc>
      </w:tr>
      <w:tr>
        <w:trPr>
          <w:trHeight w:val="179"/>
        </w:trPr>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238,966,589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14,337,995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859,678,392</w:t>
            </w:r>
          </w:p>
        </w:tc>
        <w:tc>
          <w:tcPr>
            <w:tcW w:w="13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$ 1,038,037,564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4,265,038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$ 1,916,318,989</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-1426210</wp:posOffset>
            </wp:positionV>
            <wp:extent cx="7134225"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-1054735</wp:posOffset>
            </wp:positionV>
            <wp:extent cx="7134225" cy="135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-581660</wp:posOffset>
            </wp:positionV>
            <wp:extent cx="7134225" cy="151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5176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-294640</wp:posOffset>
            </wp:positionV>
            <wp:extent cx="7134225" cy="135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-16510</wp:posOffset>
            </wp:positionV>
            <wp:extent cx="7134225" cy="168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3280" w:space="80"/>
            <w:col w:w="7860"/>
          </w:cols>
          <w:pgMar w:left="340" w:top="1393"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2020</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ind w:right="680"/>
        <w:spacing w:after="0" w:line="229" w:lineRule="auto"/>
        <w:rPr>
          <w:sz w:val="20"/>
          <w:szCs w:val="20"/>
          <w:color w:val="auto"/>
        </w:rPr>
      </w:pPr>
      <w:r>
        <w:rPr>
          <w:rFonts w:ascii="Arial" w:cs="Arial" w:eastAsia="Arial" w:hAnsi="Arial"/>
          <w:sz w:val="16"/>
          <w:szCs w:val="16"/>
          <w:color w:val="auto"/>
        </w:rPr>
        <w:t>Issuance of common stock related to acquisitions</w:t>
      </w:r>
    </w:p>
    <w:p>
      <w:pPr>
        <w:spacing w:after="0" w:line="2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29" w:lineRule="exact"/>
        <w:rPr>
          <w:sz w:val="20"/>
          <w:szCs w:val="20"/>
          <w:color w:val="auto"/>
        </w:rPr>
      </w:pPr>
    </w:p>
    <w:p>
      <w:pPr>
        <w:ind w:right="880"/>
        <w:spacing w:after="0" w:line="323" w:lineRule="auto"/>
        <w:rPr>
          <w:sz w:val="20"/>
          <w:szCs w:val="20"/>
          <w:color w:val="auto"/>
        </w:rPr>
      </w:pPr>
      <w:r>
        <w:rPr>
          <w:rFonts w:ascii="Arial" w:cs="Arial" w:eastAsia="Arial" w:hAnsi="Arial"/>
          <w:sz w:val="15"/>
          <w:szCs w:val="15"/>
          <w:color w:val="auto"/>
        </w:rPr>
        <w:t>Other comprehensive income BALANCE AS OF JUNE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244,865,658</w:t>
            </w:r>
          </w:p>
        </w:tc>
        <w:tc>
          <w:tcPr>
            <w:tcW w:w="3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14,691,939</w:t>
            </w:r>
          </w:p>
        </w:tc>
        <w:tc>
          <w:tcPr>
            <w:tcW w:w="3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801,388,454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1,018,310,446</w:t>
            </w:r>
          </w:p>
        </w:tc>
        <w:tc>
          <w:tcPr>
            <w:tcW w:w="4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214,794</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$ 1,834,605,633</w:t>
            </w:r>
          </w:p>
        </w:tc>
      </w:tr>
      <w:tr>
        <w:trPr>
          <w:trHeight w:val="386"/>
        </w:trPr>
        <w:tc>
          <w:tcPr>
            <w:tcW w:w="1200" w:type="dxa"/>
            <w:vAlign w:val="bottom"/>
          </w:tcPr>
          <w:p>
            <w:pPr>
              <w:jc w:val="right"/>
              <w:ind w:right="69"/>
              <w:spacing w:after="0"/>
              <w:rPr>
                <w:sz w:val="20"/>
                <w:szCs w:val="20"/>
                <w:color w:val="auto"/>
              </w:rPr>
            </w:pPr>
            <w:r>
              <w:rPr>
                <w:rFonts w:ascii="Arial" w:cs="Arial" w:eastAsia="Arial" w:hAnsi="Arial"/>
                <w:sz w:val="14"/>
                <w:szCs w:val="14"/>
                <w:color w:val="auto"/>
              </w:rPr>
              <w:t>746,112</w:t>
            </w:r>
          </w:p>
        </w:tc>
        <w:tc>
          <w:tcPr>
            <w:tcW w:w="34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44,767</w:t>
            </w:r>
          </w:p>
        </w:tc>
        <w:tc>
          <w:tcPr>
            <w:tcW w:w="30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8,310,437</w:t>
            </w:r>
          </w:p>
        </w:tc>
        <w:tc>
          <w:tcPr>
            <w:tcW w:w="240" w:type="dxa"/>
            <w:vAlign w:val="bottom"/>
          </w:tcPr>
          <w:p>
            <w:pPr>
              <w:spacing w:after="0"/>
              <w:rPr>
                <w:sz w:val="24"/>
                <w:szCs w:val="24"/>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8,355,204</w:t>
            </w:r>
          </w:p>
        </w:tc>
      </w:tr>
      <w:tr>
        <w:trPr>
          <w:trHeight w:val="372"/>
        </w:trPr>
        <w:tc>
          <w:tcPr>
            <w:tcW w:w="1200" w:type="dxa"/>
            <w:vAlign w:val="bottom"/>
          </w:tcPr>
          <w:p>
            <w:pPr>
              <w:jc w:val="right"/>
              <w:ind w:right="69"/>
              <w:spacing w:after="0"/>
              <w:rPr>
                <w:sz w:val="20"/>
                <w:szCs w:val="20"/>
                <w:color w:val="auto"/>
              </w:rPr>
            </w:pPr>
            <w:r>
              <w:rPr>
                <w:rFonts w:ascii="Arial" w:cs="Arial" w:eastAsia="Arial" w:hAnsi="Arial"/>
                <w:sz w:val="14"/>
                <w:szCs w:val="14"/>
                <w:color w:val="auto"/>
              </w:rPr>
              <w:t>163,718</w:t>
            </w:r>
          </w:p>
        </w:tc>
        <w:tc>
          <w:tcPr>
            <w:tcW w:w="34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9,823</w:t>
            </w:r>
          </w:p>
        </w:tc>
        <w:tc>
          <w:tcPr>
            <w:tcW w:w="30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3,549,406</w:t>
            </w:r>
          </w:p>
        </w:tc>
        <w:tc>
          <w:tcPr>
            <w:tcW w:w="240" w:type="dxa"/>
            <w:vAlign w:val="bottom"/>
          </w:tcPr>
          <w:p>
            <w:pPr>
              <w:spacing w:after="0"/>
              <w:rPr>
                <w:sz w:val="24"/>
                <w:szCs w:val="24"/>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3,559,229</w:t>
            </w:r>
          </w:p>
        </w:tc>
      </w:tr>
      <w:tr>
        <w:trPr>
          <w:trHeight w:val="532"/>
        </w:trPr>
        <w:tc>
          <w:tcPr>
            <w:tcW w:w="12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5,430,583</w:t>
            </w:r>
          </w:p>
        </w:tc>
        <w:tc>
          <w:tcPr>
            <w:tcW w:w="240" w:type="dxa"/>
            <w:vAlign w:val="bottom"/>
          </w:tcPr>
          <w:p>
            <w:pPr>
              <w:spacing w:after="0"/>
              <w:rPr>
                <w:sz w:val="24"/>
                <w:szCs w:val="24"/>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5,430,583</w:t>
            </w:r>
          </w:p>
        </w:tc>
      </w:tr>
      <w:tr>
        <w:trPr>
          <w:trHeight w:val="239"/>
        </w:trPr>
        <w:tc>
          <w:tcPr>
            <w:tcW w:w="12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(29,493,653)</w:t>
            </w:r>
          </w:p>
        </w:tc>
        <w:tc>
          <w:tcPr>
            <w:tcW w:w="460" w:type="dxa"/>
            <w:vAlign w:val="bottom"/>
          </w:tcPr>
          <w:p>
            <w:pPr>
              <w:spacing w:after="0"/>
              <w:rPr>
                <w:sz w:val="20"/>
                <w:szCs w:val="20"/>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(29,493,653)</w:t>
            </w:r>
          </w:p>
        </w:tc>
      </w:tr>
      <w:tr>
        <w:trPr>
          <w:trHeight w:val="213"/>
        </w:trPr>
        <w:tc>
          <w:tcPr>
            <w:tcW w:w="12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(2,374,033)</w:t>
            </w:r>
          </w:p>
        </w:tc>
        <w:tc>
          <w:tcPr>
            <w:tcW w:w="4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(2,374,033)</w:t>
            </w:r>
          </w:p>
        </w:tc>
      </w:tr>
      <w:tr>
        <w:trPr>
          <w:trHeight w:val="211"/>
        </w:trPr>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2,524,450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2,524,450</w:t>
            </w:r>
          </w:p>
        </w:tc>
      </w:tr>
      <w:tr>
        <w:trPr>
          <w:trHeight w:val="179"/>
        </w:trPr>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245,775,488</w:t>
            </w:r>
          </w:p>
        </w:tc>
        <w:tc>
          <w:tcPr>
            <w:tcW w:w="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14,746,529</w:t>
            </w: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818,678,880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986,442,760</w:t>
            </w:r>
          </w:p>
        </w:tc>
        <w:tc>
          <w:tcPr>
            <w:tcW w:w="4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2,739,244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$ 1,822,607,413</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-1392555</wp:posOffset>
            </wp:positionV>
            <wp:extent cx="7134225" cy="236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2362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-919480</wp:posOffset>
            </wp:positionV>
            <wp:extent cx="7134225" cy="337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3378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-429895</wp:posOffset>
            </wp:positionV>
            <wp:extent cx="713422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-160020</wp:posOffset>
            </wp:positionV>
            <wp:extent cx="7134225" cy="14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3280" w:space="80"/>
            <w:col w:w="7860"/>
          </w:cols>
          <w:pgMar w:left="340" w:top="13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1393" w:right="339" w:bottom="1440" w:gutter="0" w:footer="0" w:header="0"/>
          <w:type w:val="continuous"/>
        </w:sectPr>
      </w:pPr>
    </w:p>
    <w:bookmarkStart w:id="6" w:name="page7"/>
    <w:bookmarkEnd w:id="6"/>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2021 and 2020</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2021</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ind w:right="960"/>
        <w:spacing w:after="0" w:line="342" w:lineRule="auto"/>
        <w:rPr>
          <w:sz w:val="20"/>
          <w:szCs w:val="20"/>
          <w:color w:val="auto"/>
        </w:rPr>
      </w:pPr>
      <w:r>
        <w:rPr>
          <w:rFonts w:ascii="Arial" w:cs="Arial" w:eastAsia="Arial" w:hAnsi="Arial"/>
          <w:sz w:val="15"/>
          <w:szCs w:val="15"/>
          <w:color w:val="auto"/>
        </w:rPr>
        <w:t>Other comprehensive loss BALANCE AS OF June 30, 2021</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2020</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ind w:right="680"/>
        <w:spacing w:after="0" w:line="229" w:lineRule="auto"/>
        <w:rPr>
          <w:sz w:val="20"/>
          <w:szCs w:val="20"/>
          <w:color w:val="auto"/>
        </w:rPr>
      </w:pPr>
      <w:r>
        <w:rPr>
          <w:rFonts w:ascii="Arial" w:cs="Arial" w:eastAsia="Arial" w:hAnsi="Arial"/>
          <w:sz w:val="16"/>
          <w:szCs w:val="16"/>
          <w:color w:val="auto"/>
        </w:rPr>
        <w:t>Issuance of common stock related to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ind w:right="960"/>
        <w:spacing w:after="0" w:line="323" w:lineRule="auto"/>
        <w:rPr>
          <w:sz w:val="20"/>
          <w:szCs w:val="20"/>
          <w:color w:val="auto"/>
        </w:rPr>
      </w:pPr>
      <w:r>
        <w:rPr>
          <w:rFonts w:ascii="Arial" w:cs="Arial" w:eastAsia="Arial" w:hAnsi="Arial"/>
          <w:sz w:val="15"/>
          <w:szCs w:val="15"/>
          <w:color w:val="auto"/>
        </w:rPr>
        <w:t>Other comprehensive income BALANCE AS OF June 30, 2020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9"/>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9"/>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8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1"/>
                <w:szCs w:val="11"/>
                <w:color w:val="auto"/>
              </w:rPr>
            </w:pPr>
          </w:p>
        </w:tc>
        <w:tc>
          <w:tcPr>
            <w:tcW w:w="1160" w:type="dxa"/>
            <w:vAlign w:val="bottom"/>
          </w:tcPr>
          <w:p>
            <w:pPr>
              <w:jc w:val="center"/>
              <w:ind w:right="109"/>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9"/>
              </w:rPr>
              <w:t>Stock</w:t>
            </w:r>
          </w:p>
        </w:tc>
        <w:tc>
          <w:tcPr>
            <w:tcW w:w="240" w:type="dxa"/>
            <w:vAlign w:val="bottom"/>
          </w:tcPr>
          <w:p>
            <w:pPr>
              <w:spacing w:after="0"/>
              <w:rPr>
                <w:sz w:val="11"/>
                <w:szCs w:val="11"/>
                <w:color w:val="auto"/>
              </w:rPr>
            </w:pPr>
          </w:p>
        </w:tc>
        <w:tc>
          <w:tcPr>
            <w:tcW w:w="1000" w:type="dxa"/>
            <w:vAlign w:val="bottom"/>
          </w:tcPr>
          <w:p>
            <w:pPr>
              <w:jc w:val="center"/>
              <w:ind w:right="149"/>
              <w:spacing w:after="0" w:line="133" w:lineRule="exact"/>
              <w:rPr>
                <w:sz w:val="20"/>
                <w:szCs w:val="20"/>
                <w:color w:val="auto"/>
              </w:rPr>
            </w:pPr>
            <w:r>
              <w:rPr>
                <w:rFonts w:ascii="Arial" w:cs="Arial" w:eastAsia="Arial" w:hAnsi="Arial"/>
                <w:sz w:val="14"/>
                <w:szCs w:val="14"/>
                <w:b w:val="1"/>
                <w:bCs w:val="1"/>
                <w:color w:val="auto"/>
                <w:w w:val="99"/>
              </w:rPr>
              <w:t>Stock</w:t>
            </w:r>
          </w:p>
        </w:tc>
        <w:tc>
          <w:tcPr>
            <w:tcW w:w="26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1"/>
                <w:szCs w:val="11"/>
                <w:color w:val="auto"/>
              </w:rPr>
            </w:pPr>
          </w:p>
        </w:tc>
        <w:tc>
          <w:tcPr>
            <w:tcW w:w="108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8"/>
        </w:trPr>
        <w:tc>
          <w:tcPr>
            <w:tcW w:w="1160" w:type="dxa"/>
            <w:vAlign w:val="bottom"/>
          </w:tcPr>
          <w:p>
            <w:pPr>
              <w:jc w:val="center"/>
              <w:ind w:right="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000" w:type="dxa"/>
            <w:vAlign w:val="bottom"/>
          </w:tcPr>
          <w:p>
            <w:pPr>
              <w:jc w:val="center"/>
              <w:ind w:right="14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140" w:type="dxa"/>
            <w:vAlign w:val="bottom"/>
          </w:tcPr>
          <w:p>
            <w:pPr>
              <w:jc w:val="right"/>
              <w:ind w:right="329"/>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1080" w:type="dxa"/>
            <w:vAlign w:val="bottom"/>
          </w:tcPr>
          <w:p>
            <w:pPr>
              <w:jc w:val="center"/>
              <w:ind w:right="49"/>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9"/>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243,692,869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14,621,572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852,771,508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1,089,698,996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6,851,052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1,963,943,128</w:t>
            </w:r>
          </w:p>
        </w:tc>
        <w:tc>
          <w:tcPr>
            <w:tcW w:w="0" w:type="dxa"/>
            <w:vAlign w:val="bottom"/>
          </w:tcPr>
          <w:p>
            <w:pPr>
              <w:spacing w:after="0"/>
              <w:rPr>
                <w:sz w:val="1"/>
                <w:szCs w:val="1"/>
                <w:color w:val="auto"/>
              </w:rPr>
            </w:pPr>
          </w:p>
        </w:tc>
      </w:tr>
      <w:tr>
        <w:trPr>
          <w:trHeight w:val="37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1,439,916</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86,395</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13,570,489</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13,656,884</w:t>
            </w:r>
          </w:p>
        </w:tc>
        <w:tc>
          <w:tcPr>
            <w:tcW w:w="0" w:type="dxa"/>
            <w:vAlign w:val="bottom"/>
          </w:tcPr>
          <w:p>
            <w:pPr>
              <w:spacing w:after="0"/>
              <w:rPr>
                <w:sz w:val="1"/>
                <w:szCs w:val="1"/>
                <w:color w:val="auto"/>
              </w:rPr>
            </w:pPr>
          </w:p>
        </w:tc>
      </w:tr>
      <w:tr>
        <w:trPr>
          <w:trHeight w:val="213"/>
        </w:trPr>
        <w:tc>
          <w:tcPr>
            <w:tcW w:w="1160" w:type="dxa"/>
            <w:vAlign w:val="bottom"/>
          </w:tcPr>
          <w:p>
            <w:pPr>
              <w:jc w:val="right"/>
              <w:ind w:right="49"/>
              <w:spacing w:after="0"/>
              <w:rPr>
                <w:sz w:val="20"/>
                <w:szCs w:val="20"/>
                <w:color w:val="auto"/>
              </w:rPr>
            </w:pPr>
            <w:r>
              <w:rPr>
                <w:rFonts w:ascii="Arial" w:cs="Arial" w:eastAsia="Arial" w:hAnsi="Arial"/>
                <w:sz w:val="14"/>
                <w:szCs w:val="14"/>
                <w:color w:val="auto"/>
              </w:rPr>
              <w:t>(6,166,196)</w:t>
            </w:r>
          </w:p>
        </w:tc>
        <w:tc>
          <w:tcPr>
            <w:tcW w:w="24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(369,972)</w:t>
            </w:r>
          </w:p>
        </w:tc>
        <w:tc>
          <w:tcPr>
            <w:tcW w:w="2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(19,285,763)</w:t>
            </w:r>
          </w:p>
        </w:tc>
        <w:tc>
          <w:tcPr>
            <w:tcW w:w="26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(193,958,107)</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(213,613,842)</w:t>
            </w:r>
          </w:p>
        </w:tc>
        <w:tc>
          <w:tcPr>
            <w:tcW w:w="0" w:type="dxa"/>
            <w:vAlign w:val="bottom"/>
          </w:tcPr>
          <w:p>
            <w:pPr>
              <w:spacing w:after="0"/>
              <w:rPr>
                <w:sz w:val="1"/>
                <w:szCs w:val="1"/>
                <w:color w:val="auto"/>
              </w:rPr>
            </w:pPr>
          </w:p>
        </w:tc>
      </w:tr>
      <w:tr>
        <w:trPr>
          <w:trHeight w:val="53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12,622,158</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12,622,158</w:t>
            </w:r>
          </w:p>
        </w:tc>
        <w:tc>
          <w:tcPr>
            <w:tcW w:w="0" w:type="dxa"/>
            <w:vAlign w:val="bottom"/>
          </w:tcPr>
          <w:p>
            <w:pPr>
              <w:spacing w:after="0"/>
              <w:rPr>
                <w:sz w:val="1"/>
                <w:szCs w:val="1"/>
                <w:color w:val="auto"/>
              </w:rPr>
            </w:pPr>
          </w:p>
        </w:tc>
      </w:tr>
      <w:tr>
        <w:trPr>
          <w:trHeight w:val="239"/>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(57,660,613)</w:t>
            </w:r>
          </w:p>
        </w:tc>
        <w:tc>
          <w:tcPr>
            <w:tcW w:w="180" w:type="dxa"/>
            <w:vAlign w:val="bottom"/>
          </w:tcPr>
          <w:p>
            <w:pPr>
              <w:spacing w:after="0"/>
              <w:rPr>
                <w:sz w:val="20"/>
                <w:szCs w:val="20"/>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(57,660,613)</w:t>
            </w:r>
          </w:p>
        </w:tc>
        <w:tc>
          <w:tcPr>
            <w:tcW w:w="0" w:type="dxa"/>
            <w:vAlign w:val="bottom"/>
          </w:tcPr>
          <w:p>
            <w:pPr>
              <w:spacing w:after="0"/>
              <w:rPr>
                <w:sz w:val="1"/>
                <w:szCs w:val="1"/>
                <w:color w:val="auto"/>
              </w:rPr>
            </w:pPr>
          </w:p>
        </w:tc>
      </w:tr>
      <w:tr>
        <w:trPr>
          <w:trHeight w:val="213"/>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199,957,288</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199,957,288</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(2,586,014)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(2,586,014)</w:t>
            </w:r>
          </w:p>
        </w:tc>
        <w:tc>
          <w:tcPr>
            <w:tcW w:w="0" w:type="dxa"/>
            <w:vAlign w:val="bottom"/>
          </w:tcPr>
          <w:p>
            <w:pPr>
              <w:spacing w:after="0"/>
              <w:rPr>
                <w:sz w:val="1"/>
                <w:szCs w:val="1"/>
                <w:color w:val="auto"/>
              </w:rPr>
            </w:pPr>
          </w:p>
        </w:tc>
      </w:tr>
      <w:tr>
        <w:trPr>
          <w:trHeight w:val="179"/>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238,966,589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14,337,995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859,678,392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1,038,037,564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4,265,038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1,916,318,989</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251,277,515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15,076,651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807,928,139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1,116,372,133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(1,289,103)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1,938,087,820</w:t>
            </w:r>
          </w:p>
        </w:tc>
        <w:tc>
          <w:tcPr>
            <w:tcW w:w="0" w:type="dxa"/>
            <w:vAlign w:val="bottom"/>
          </w:tcPr>
          <w:p>
            <w:pPr>
              <w:spacing w:after="0"/>
              <w:rPr>
                <w:sz w:val="1"/>
                <w:szCs w:val="1"/>
                <w:color w:val="auto"/>
              </w:rPr>
            </w:pPr>
          </w:p>
        </w:tc>
      </w:tr>
      <w:tr>
        <w:trPr>
          <w:trHeight w:val="37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1,353,287</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81,198</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15,629,494</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15,710,692</w:t>
            </w:r>
          </w:p>
        </w:tc>
        <w:tc>
          <w:tcPr>
            <w:tcW w:w="0" w:type="dxa"/>
            <w:vAlign w:val="bottom"/>
          </w:tcPr>
          <w:p>
            <w:pPr>
              <w:spacing w:after="0"/>
              <w:rPr>
                <w:sz w:val="1"/>
                <w:szCs w:val="1"/>
                <w:color w:val="auto"/>
              </w:rPr>
            </w:pPr>
          </w:p>
        </w:tc>
      </w:tr>
      <w:tr>
        <w:trPr>
          <w:trHeight w:val="37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163,718</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9,823</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3,549,406</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3,559,229</w:t>
            </w:r>
          </w:p>
        </w:tc>
        <w:tc>
          <w:tcPr>
            <w:tcW w:w="0" w:type="dxa"/>
            <w:vAlign w:val="bottom"/>
          </w:tcPr>
          <w:p>
            <w:pPr>
              <w:spacing w:after="0"/>
              <w:rPr>
                <w:sz w:val="1"/>
                <w:szCs w:val="1"/>
                <w:color w:val="auto"/>
              </w:rPr>
            </w:pPr>
          </w:p>
        </w:tc>
      </w:tr>
      <w:tr>
        <w:trPr>
          <w:trHeight w:val="213"/>
        </w:trPr>
        <w:tc>
          <w:tcPr>
            <w:tcW w:w="1160" w:type="dxa"/>
            <w:vAlign w:val="bottom"/>
          </w:tcPr>
          <w:p>
            <w:pPr>
              <w:jc w:val="right"/>
              <w:ind w:right="49"/>
              <w:spacing w:after="0"/>
              <w:rPr>
                <w:sz w:val="20"/>
                <w:szCs w:val="20"/>
                <w:color w:val="auto"/>
              </w:rPr>
            </w:pPr>
            <w:r>
              <w:rPr>
                <w:rFonts w:ascii="Arial" w:cs="Arial" w:eastAsia="Arial" w:hAnsi="Arial"/>
                <w:sz w:val="14"/>
                <w:szCs w:val="14"/>
                <w:color w:val="auto"/>
              </w:rPr>
              <w:t>(7,019,032)</w:t>
            </w:r>
          </w:p>
        </w:tc>
        <w:tc>
          <w:tcPr>
            <w:tcW w:w="24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(421,143)</w:t>
            </w:r>
          </w:p>
        </w:tc>
        <w:tc>
          <w:tcPr>
            <w:tcW w:w="2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(20,214,812)</w:t>
            </w:r>
          </w:p>
        </w:tc>
        <w:tc>
          <w:tcPr>
            <w:tcW w:w="26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(158,183,629)</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(178,819,584)</w:t>
            </w:r>
          </w:p>
        </w:tc>
        <w:tc>
          <w:tcPr>
            <w:tcW w:w="0" w:type="dxa"/>
            <w:vAlign w:val="bottom"/>
          </w:tcPr>
          <w:p>
            <w:pPr>
              <w:spacing w:after="0"/>
              <w:rPr>
                <w:sz w:val="1"/>
                <w:szCs w:val="1"/>
                <w:color w:val="auto"/>
              </w:rPr>
            </w:pPr>
          </w:p>
        </w:tc>
      </w:tr>
      <w:tr>
        <w:trPr>
          <w:trHeight w:val="53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11,786,653</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11,786,653</w:t>
            </w:r>
          </w:p>
        </w:tc>
        <w:tc>
          <w:tcPr>
            <w:tcW w:w="0" w:type="dxa"/>
            <w:vAlign w:val="bottom"/>
          </w:tcPr>
          <w:p>
            <w:pPr>
              <w:spacing w:after="0"/>
              <w:rPr>
                <w:sz w:val="1"/>
                <w:szCs w:val="1"/>
                <w:color w:val="auto"/>
              </w:rPr>
            </w:pPr>
          </w:p>
        </w:tc>
      </w:tr>
      <w:tr>
        <w:trPr>
          <w:trHeight w:val="239"/>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(58,877,512)</w:t>
            </w:r>
          </w:p>
        </w:tc>
        <w:tc>
          <w:tcPr>
            <w:tcW w:w="180" w:type="dxa"/>
            <w:vAlign w:val="bottom"/>
          </w:tcPr>
          <w:p>
            <w:pPr>
              <w:spacing w:after="0"/>
              <w:rPr>
                <w:sz w:val="20"/>
                <w:szCs w:val="20"/>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(58,877,512)</w:t>
            </w:r>
          </w:p>
        </w:tc>
        <w:tc>
          <w:tcPr>
            <w:tcW w:w="0" w:type="dxa"/>
            <w:vAlign w:val="bottom"/>
          </w:tcPr>
          <w:p>
            <w:pPr>
              <w:spacing w:after="0"/>
              <w:rPr>
                <w:sz w:val="1"/>
                <w:szCs w:val="1"/>
                <w:color w:val="auto"/>
              </w:rPr>
            </w:pPr>
          </w:p>
        </w:tc>
      </w:tr>
      <w:tr>
        <w:trPr>
          <w:trHeight w:val="213"/>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87,131,768</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87,131,768</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4,028,347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4,028,347</w:t>
            </w:r>
          </w:p>
        </w:tc>
        <w:tc>
          <w:tcPr>
            <w:tcW w:w="0" w:type="dxa"/>
            <w:vAlign w:val="bottom"/>
          </w:tcPr>
          <w:p>
            <w:pPr>
              <w:spacing w:after="0"/>
              <w:rPr>
                <w:sz w:val="1"/>
                <w:szCs w:val="1"/>
                <w:color w:val="auto"/>
              </w:rPr>
            </w:pPr>
          </w:p>
        </w:tc>
      </w:tr>
      <w:tr>
        <w:trPr>
          <w:trHeight w:val="179"/>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245,775,488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14,746,529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818,678,880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986,442,760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2,739,244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1,822,607,413</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-3241675</wp:posOffset>
            </wp:positionV>
            <wp:extent cx="711771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-2870200</wp:posOffset>
            </wp:positionV>
            <wp:extent cx="711771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-2397125</wp:posOffset>
            </wp:positionV>
            <wp:extent cx="7117715"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-2110105</wp:posOffset>
            </wp:positionV>
            <wp:extent cx="711771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-1831340</wp:posOffset>
            </wp:positionV>
            <wp:extent cx="7117715" cy="16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16891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-1527810</wp:posOffset>
            </wp:positionV>
            <wp:extent cx="7117715" cy="23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23622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-1054735</wp:posOffset>
            </wp:positionV>
            <wp:extent cx="711771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-581660</wp:posOffset>
            </wp:positionV>
            <wp:extent cx="7117715" cy="15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-294640</wp:posOffset>
            </wp:positionV>
            <wp:extent cx="711771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135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3280" w:space="80"/>
            <w:col w:w="784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right="80"/>
        <w:spacing w:after="0" w:line="389"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2021 and 2020</w:t>
      </w: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r>
      <w:tr>
        <w:trPr>
          <w:trHeight w:val="205"/>
        </w:trPr>
        <w:tc>
          <w:tcPr>
            <w:tcW w:w="7300" w:type="dxa"/>
            <w:vAlign w:val="bottom"/>
          </w:tcPr>
          <w:p>
            <w:pPr>
              <w:ind w:left="20"/>
              <w:spacing w:after="0" w:line="205"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199,957,288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87,131,768</w:t>
            </w: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51,497,665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53,437,698</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(155,229)</w:t>
            </w:r>
          </w:p>
        </w:tc>
      </w:tr>
      <w:tr>
        <w:trPr>
          <w:trHeight w:val="227"/>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88,357</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(969,971)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(1,023,683)</w:t>
            </w:r>
          </w:p>
        </w:tc>
      </w:tr>
      <w:tr>
        <w:trPr>
          <w:trHeight w:val="227"/>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72,871</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(3,546,862)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(2,176,462)</w:t>
            </w:r>
          </w:p>
        </w:tc>
      </w:tr>
      <w:tr>
        <w:trPr>
          <w:trHeight w:val="186"/>
        </w:trPr>
        <w:tc>
          <w:tcPr>
            <w:tcW w:w="7300" w:type="dxa"/>
            <w:vAlign w:val="bottom"/>
            <w:shd w:val="clear" w:color="auto" w:fill="CCEEFF"/>
          </w:tcPr>
          <w:p>
            <w:pPr>
              <w:ind w:left="540"/>
              <w:spacing w:after="0" w:line="18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4"/>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12,622,158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15,960,362</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50,784,339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64,981,864</w:t>
            </w:r>
          </w:p>
        </w:tc>
      </w:tr>
      <w:tr>
        <w:trPr>
          <w:trHeight w:val="225"/>
        </w:trPr>
        <w:tc>
          <w:tcPr>
            <w:tcW w:w="73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(37,608,133)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(10,710,548)</w:t>
            </w:r>
          </w:p>
        </w:tc>
      </w:tr>
      <w:tr>
        <w:trPr>
          <w:trHeight w:val="227"/>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(41,394,722)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14,230,026</w:t>
            </w:r>
          </w:p>
        </w:tc>
      </w:tr>
      <w:tr>
        <w:trPr>
          <w:trHeight w:val="225"/>
        </w:trPr>
        <w:tc>
          <w:tcPr>
            <w:tcW w:w="73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16,477,865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(37,452,944)</w:t>
            </w:r>
          </w:p>
        </w:tc>
      </w:tr>
      <w:tr>
        <w:trPr>
          <w:trHeight w:val="226"/>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4,117,051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6,068,104</w:t>
            </w:r>
          </w:p>
        </w:tc>
      </w:tr>
      <w:tr>
        <w:trPr>
          <w:trHeight w:val="219"/>
        </w:trPr>
        <w:tc>
          <w:tcPr>
            <w:tcW w:w="7300" w:type="dxa"/>
            <w:vAlign w:val="bottom"/>
            <w:tcBorders>
              <w:bottom w:val="single" w:sz="8" w:color="CCEEFF"/>
            </w:tcBorders>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252,242,169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190,452,184</w:t>
            </w:r>
          </w:p>
        </w:tc>
      </w:tr>
      <w:tr>
        <w:trPr>
          <w:trHeight w:val="153"/>
        </w:trPr>
        <w:tc>
          <w:tcPr>
            <w:tcW w:w="7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FROM INVESTING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300" w:type="dxa"/>
            <w:vAlign w:val="bottom"/>
          </w:tcPr>
          <w:p>
            <w:pPr>
              <w:ind w:left="320"/>
              <w:spacing w:after="0"/>
              <w:rPr>
                <w:sz w:val="20"/>
                <w:szCs w:val="20"/>
                <w:color w:val="auto"/>
              </w:rPr>
            </w:pPr>
            <w:r>
              <w:rPr>
                <w:rFonts w:ascii="Arial" w:cs="Arial" w:eastAsia="Arial" w:hAnsi="Arial"/>
                <w:sz w:val="18"/>
                <w:szCs w:val="18"/>
                <w:color w:val="auto"/>
              </w:rPr>
              <w:t>Sales proceeds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34,250,068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5,607,634</w:t>
            </w:r>
          </w:p>
        </w:tc>
      </w:tr>
      <w:tr>
        <w:trPr>
          <w:trHeight w:val="227"/>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Maturities and calls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90,017,368</w:t>
            </w:r>
          </w:p>
        </w:tc>
      </w:tr>
      <w:tr>
        <w:trPr>
          <w:trHeight w:val="225"/>
        </w:trPr>
        <w:tc>
          <w:tcPr>
            <w:tcW w:w="7300" w:type="dxa"/>
            <w:vAlign w:val="bottom"/>
          </w:tcPr>
          <w:p>
            <w:pPr>
              <w:ind w:left="320"/>
              <w:spacing w:after="0"/>
              <w:rPr>
                <w:sz w:val="20"/>
                <w:szCs w:val="20"/>
                <w:color w:val="auto"/>
              </w:rPr>
            </w:pPr>
            <w:r>
              <w:rPr>
                <w:rFonts w:ascii="Arial" w:cs="Arial" w:eastAsia="Arial" w:hAnsi="Arial"/>
                <w:sz w:val="18"/>
                <w:szCs w:val="18"/>
                <w:color w:val="auto"/>
              </w:rPr>
              <w:t>Purchases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(71,596,074)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(52,650,769)</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(31,352,443)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(28,828,066)</w:t>
            </w: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99,850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200,475</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(12,023,440)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(7,031,827)</w:t>
            </w:r>
          </w:p>
        </w:tc>
      </w:tr>
      <w:tr>
        <w:trPr>
          <w:trHeight w:val="225"/>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in other assets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(3,886,518)</w:t>
            </w:r>
          </w:p>
        </w:tc>
      </w:tr>
      <w:tr>
        <w:trPr>
          <w:trHeight w:val="21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provided by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(64,395,676)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3,428,297</w:t>
            </w:r>
          </w:p>
        </w:tc>
      </w:tr>
      <w:tr>
        <w:trPr>
          <w:trHeight w:val="140"/>
        </w:trPr>
        <w:tc>
          <w:tcPr>
            <w:tcW w:w="7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Proceeds from borrowings on Credit Agreement</w:t>
            </w:r>
          </w:p>
        </w:tc>
        <w:tc>
          <w:tcPr>
            <w:tcW w:w="4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75,000,000</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13,656,884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15,710,692</w:t>
            </w: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(58,227,768)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(58,281,727)</w:t>
            </w:r>
          </w:p>
        </w:tc>
      </w:tr>
      <w:tr>
        <w:trPr>
          <w:trHeight w:val="22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(213,613,842)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(178,819,584)</w:t>
            </w:r>
          </w:p>
        </w:tc>
      </w:tr>
      <w:tr>
        <w:trPr>
          <w:trHeight w:val="219"/>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(258,184,726)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(146,390,619)</w:t>
            </w:r>
          </w:p>
        </w:tc>
      </w:tr>
      <w:tr>
        <w:trPr>
          <w:trHeight w:val="127"/>
        </w:trPr>
        <w:tc>
          <w:tcPr>
            <w:tcW w:w="7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(70,338,233)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47,489,862</w:t>
            </w:r>
          </w:p>
        </w:tc>
      </w:tr>
      <w:tr>
        <w:trPr>
          <w:trHeight w:val="147"/>
        </w:trPr>
        <w:tc>
          <w:tcPr>
            <w:tcW w:w="73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r>
      <w:tr>
        <w:trPr>
          <w:trHeight w:val="219"/>
        </w:trPr>
        <w:tc>
          <w:tcPr>
            <w:tcW w:w="73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423,371,036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296,321,622</w:t>
            </w:r>
          </w:p>
        </w:tc>
      </w:tr>
      <w:tr>
        <w:trPr>
          <w:trHeight w:val="127"/>
        </w:trPr>
        <w:tc>
          <w:tcPr>
            <w:tcW w:w="7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353,032,803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343,811,484</w:t>
            </w: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59055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400" w:top="7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hanging="41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45"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2020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2021, and the results of operations and cash flows for the interim periods presented.</w:t>
      </w:r>
    </w:p>
    <w:p>
      <w:pPr>
        <w:spacing w:after="0" w:line="237" w:lineRule="exact"/>
        <w:rPr>
          <w:sz w:val="20"/>
          <w:szCs w:val="20"/>
          <w:color w:val="auto"/>
        </w:rPr>
      </w:pPr>
    </w:p>
    <w:p>
      <w:pPr>
        <w:ind w:left="420" w:hanging="414"/>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45" w:lineRule="exact"/>
        <w:rPr>
          <w:sz w:val="20"/>
          <w:szCs w:val="20"/>
          <w:color w:val="auto"/>
        </w:rPr>
      </w:pPr>
    </w:p>
    <w:p>
      <w:pPr>
        <w:jc w:val="both"/>
        <w:ind w:left="640"/>
        <w:spacing w:after="0" w:line="233"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and recorded an additional $3.7 million in Goodwill as part of the acquisition of Vaporsens, Inc. ("Vaporsens") that occurred in the second quarter of 2020 and an additional $0.9 million in Goodwill as a part of the acquisition of Argil, Inc. ("Argil") during the fourth quarter of 2020. The carrying value of Goodwill as of both June 30, 2021 and December 31, 2020 was $311.9 million as set forth in the table below:</w:t>
      </w:r>
    </w:p>
    <w:p>
      <w:pPr>
        <w:spacing w:after="0" w:line="270"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Carrying Amount</w:t>
            </w:r>
          </w:p>
        </w:tc>
      </w:tr>
      <w:tr>
        <w:trPr>
          <w:trHeight w:val="219"/>
        </w:trPr>
        <w:tc>
          <w:tcPr>
            <w:tcW w:w="73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311,922,787</w:t>
            </w:r>
          </w:p>
        </w:tc>
      </w:tr>
      <w:tr>
        <w:trPr>
          <w:trHeight w:val="22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311,922,787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the recent microchip shortage, supply chain constraints, and labor shortages were again considered in the most recently completed quarter, but did not indicate the need for interim impairment testing.</w:t>
      </w:r>
    </w:p>
    <w:p>
      <w:pPr>
        <w:spacing w:after="0" w:line="237" w:lineRule="exact"/>
        <w:rPr>
          <w:sz w:val="20"/>
          <w:szCs w:val="20"/>
          <w:color w:val="auto"/>
        </w:rPr>
      </w:pPr>
    </w:p>
    <w:p>
      <w:pPr>
        <w:jc w:val="both"/>
        <w:ind w:left="64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The Company also acquired In-Process Research &amp; Development as part of the acquisition of Vaporsens that occurred in the second quarter of 2020, the acquisition of Air-Craftglass Production BV ("Air-Craftglass") in the third quarter of 2020, and the acquisition of Argil in the fourth quarter of 2020, each of which has been previously disclosed. The Company also acquired Guardian Optical Technologies ("Guardian") in the first quarter of 2021. See </w:t>
      </w:r>
      <w:hyperlink w:anchor="page21">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 Guardian transaction.</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2021:</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Other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38,860,181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(25,402,803)</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13,457,378</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333,850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(58,232)</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275,618</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67"/>
        </w:trPr>
        <w:tc>
          <w:tcPr>
            <w:tcW w:w="4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(116,250,000)</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63,750,000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(33,325,000)</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9,675,000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5"/>
        </w:trPr>
        <w:tc>
          <w:tcPr>
            <w:tcW w:w="406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5"/>
        </w:trPr>
        <w:tc>
          <w:tcPr>
            <w:tcW w:w="4060" w:type="dxa"/>
            <w:vAlign w:val="bottom"/>
          </w:tcPr>
          <w:p>
            <w:pPr>
              <w:ind w:left="240"/>
              <w:spacing w:after="0"/>
              <w:rPr>
                <w:sz w:val="20"/>
                <w:szCs w:val="20"/>
                <w:color w:val="auto"/>
              </w:rPr>
            </w:pPr>
            <w:r>
              <w:rPr>
                <w:rFonts w:ascii="Arial" w:cs="Arial" w:eastAsia="Arial" w:hAnsi="Arial"/>
                <w:sz w:val="18"/>
                <w:szCs w:val="18"/>
                <w:color w:val="auto"/>
              </w:rPr>
              <w:t>Argil In- Process R&amp;D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6,278,132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In-Process R&amp;D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11,260,429</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11,260,429</w:t>
            </w: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400,788,561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(149,575,000)</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251,213,561</w:t>
            </w: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439,982,592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(175,036,035)</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264,946,557</w:t>
            </w: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Other Intangible Assets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38,625,292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(24,528,853)</w:t>
            </w: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14,096,439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300,985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262,129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67"/>
        </w:trPr>
        <w:tc>
          <w:tcPr>
            <w:tcW w:w="4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180,000,000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5"/>
        </w:trPr>
        <w:tc>
          <w:tcPr>
            <w:tcW w:w="406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96,000,000</w:t>
            </w:r>
          </w:p>
        </w:tc>
        <w:tc>
          <w:tcPr>
            <w:tcW w:w="2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5"/>
        </w:trPr>
        <w:tc>
          <w:tcPr>
            <w:tcW w:w="4060" w:type="dxa"/>
            <w:vAlign w:val="bottom"/>
          </w:tcPr>
          <w:p>
            <w:pPr>
              <w:ind w:left="200"/>
              <w:spacing w:after="0"/>
              <w:rPr>
                <w:sz w:val="20"/>
                <w:szCs w:val="20"/>
                <w:color w:val="auto"/>
              </w:rPr>
            </w:pPr>
            <w:r>
              <w:rPr>
                <w:rFonts w:ascii="Arial" w:cs="Arial" w:eastAsia="Arial" w:hAnsi="Arial"/>
                <w:sz w:val="18"/>
                <w:szCs w:val="18"/>
                <w:color w:val="auto"/>
              </w:rPr>
              <w:t>Argil In-Process R&amp;D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6,278,132</w:t>
            </w:r>
          </w:p>
        </w:tc>
        <w:tc>
          <w:tcPr>
            <w:tcW w:w="2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Air-Craftglass In-Process R&amp;D</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389,673,127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(139,925,000)</w:t>
            </w:r>
          </w:p>
        </w:tc>
        <w:tc>
          <w:tcPr>
            <w:tcW w:w="300" w:type="dxa"/>
            <w:vAlign w:val="bottom"/>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249,748,127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428,599,404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(164,492,709)</w:t>
            </w:r>
          </w:p>
        </w:tc>
        <w:tc>
          <w:tcPr>
            <w:tcW w:w="300" w:type="dxa"/>
            <w:vAlign w:val="bottom"/>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264,106,695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Amortization expense on patents and intangible assets was approximately $5.6 million and $11.2 million during the three and six months ended June 30, 2021, respectively, compared to approximately $5.6 million and $11.2 million for the same periods ended June 30, 2020, respectively.</w:t>
      </w:r>
    </w:p>
    <w:p>
      <w:pPr>
        <w:spacing w:after="0" w:line="233"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Excluding the impact of any future acquisitions, the Company estimates amortization expense for each of the years ending December 31, 2021 and 2022 to be approximately $22 million annually, for the year ending December 31, 2023 to be approximately $19 million, for the year ending December 31, 2024 to be approximately $16 million</w:t>
      </w:r>
      <w:r>
        <w:rPr>
          <w:rFonts w:ascii="Arial" w:cs="Arial" w:eastAsia="Arial" w:hAnsi="Arial"/>
          <w:sz w:val="18"/>
          <w:szCs w:val="18"/>
          <w:color w:val="FAAC16"/>
        </w:rPr>
        <w:t>,</w:t>
      </w:r>
      <w:r>
        <w:rPr>
          <w:rFonts w:ascii="Arial" w:cs="Arial" w:eastAsia="Arial" w:hAnsi="Arial"/>
          <w:sz w:val="18"/>
          <w:szCs w:val="18"/>
          <w:color w:val="auto"/>
        </w:rPr>
        <w:t xml:space="preserve"> and for the year ending December 31, 2025 to be approximately $12 million</w:t>
      </w:r>
      <w:r>
        <w:rPr>
          <w:rFonts w:ascii="Arial" w:cs="Arial" w:eastAsia="Arial" w:hAnsi="Arial"/>
          <w:sz w:val="18"/>
          <w:szCs w:val="18"/>
          <w:color w:val="FAAC16"/>
        </w:rPr>
        <w:t>.</w:t>
      </w:r>
    </w:p>
    <w:p>
      <w:pPr>
        <w:spacing w:after="0" w:line="200" w:lineRule="exact"/>
        <w:rPr>
          <w:sz w:val="20"/>
          <w:szCs w:val="20"/>
          <w:color w:val="auto"/>
        </w:rPr>
      </w:pPr>
    </w:p>
    <w:p>
      <w:pPr>
        <w:spacing w:after="0" w:line="274" w:lineRule="exact"/>
        <w:rPr>
          <w:sz w:val="20"/>
          <w:szCs w:val="20"/>
          <w:color w:val="auto"/>
        </w:rPr>
      </w:pPr>
    </w:p>
    <w:p>
      <w:pPr>
        <w:ind w:left="420" w:hanging="414"/>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Equity investments that do not have readily determinable fair values, and where the Company has not identified any observable events that would cause adjustment of the valuation to date, are then held at cost. These technology investments totaled approximately $9.0 million and $4.0 million as of June 30, 2021 and December 31, 2020, respectively. These investments are classified within Long-Term Investments in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2021 and December 31, 2020: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0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56"/>
              <w:spacing w:after="0" w:line="140"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as of</w:t>
            </w: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6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5"/>
                <w:szCs w:val="15"/>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353,032,803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353,032,803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1,511,377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2,020,280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2,020,280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602,016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7,951,512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7,951,512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1,713,642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29,174,900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2,599,960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2,599,960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27,966,498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35,738,826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35,738,826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88,934,125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88,934,125</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88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551,245,939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358,857,782</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192,388,157</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56"/>
              <w:spacing w:after="0" w:line="140"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 as of</w:t>
            </w: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&amp;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7,155,600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7,155,600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10,284,765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10,284,765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3,645,520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3,645,520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107,407,831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107,407,831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608,537,328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430,062,110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178,475,218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June 30, 2021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79"/>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Market Value</w:t>
            </w:r>
          </w:p>
        </w:tc>
      </w:tr>
      <w:tr>
        <w:trPr>
          <w:trHeight w:val="206"/>
        </w:trPr>
        <w:tc>
          <w:tcPr>
            <w:tcW w:w="33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1,502,822</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1,511,377</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2,020,280</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602,016</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7,951,512</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1,713,642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1,713,642</w:t>
            </w: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29,690,643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29,174,900</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2,599,960</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27,724,234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362,001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(119,737)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27,966,498</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35,738,826</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84,595,949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6,309,593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(1,971,417)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88,934,125</w:t>
            </w:r>
          </w:p>
        </w:tc>
      </w:tr>
      <w:tr>
        <w:trPr>
          <w:trHeight w:val="220"/>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193,928,063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6,971,159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198,213,136</w:t>
            </w: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Unrealized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9"/>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rPr>
              <w:t>Market Value</w:t>
            </w:r>
          </w:p>
        </w:tc>
      </w:tr>
      <w:tr>
        <w:trPr>
          <w:trHeight w:val="206"/>
        </w:trPr>
        <w:tc>
          <w:tcPr>
            <w:tcW w:w="37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1,502,187</w:t>
            </w:r>
          </w:p>
        </w:tc>
        <w:tc>
          <w:tcPr>
            <w:tcW w:w="12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1,516,693</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7,084,638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7,155,600</w:t>
            </w: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6,635,132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6,678,450</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10,284,765</w:t>
            </w: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1,528,861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1,528,861</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37,681,113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800,802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37,924,537</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3,645,520</w:t>
            </w: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8,595,020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9,024,035</w:t>
            </w:r>
          </w:p>
        </w:tc>
      </w:tr>
      <w:tr>
        <w:trPr>
          <w:trHeight w:val="226"/>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100,776,325</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6,635,428</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107,407,831</w:t>
            </w:r>
          </w:p>
        </w:tc>
      </w:tr>
      <w:tr>
        <w:trPr>
          <w:trHeight w:val="220"/>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177,467,550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8,260,042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185,166,292</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June 30, 2021,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60" w:type="dxa"/>
            <w:vAlign w:val="bottom"/>
          </w:tcPr>
          <w:p>
            <w:pPr>
              <w:spacing w:after="0"/>
              <w:rPr>
                <w:sz w:val="14"/>
                <w:szCs w:val="14"/>
                <w:color w:val="auto"/>
              </w:rPr>
            </w:pPr>
          </w:p>
        </w:tc>
        <w:tc>
          <w:tcPr>
            <w:tcW w:w="1800" w:type="dxa"/>
            <w:vAlign w:val="bottom"/>
          </w:tcPr>
          <w:p>
            <w:pPr>
              <w:jc w:val="right"/>
              <w:ind w:right="98"/>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jc w:val="right"/>
              <w:ind w:right="47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2,274,743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40,341,064</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1,956,482</w:t>
            </w: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360"/>
              <w:spacing w:after="0" w:line="206"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2,686,085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42,297,546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2020,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60" w:type="dxa"/>
            <w:vAlign w:val="bottom"/>
          </w:tcPr>
          <w:p>
            <w:pPr>
              <w:spacing w:after="0"/>
              <w:rPr>
                <w:sz w:val="14"/>
                <w:szCs w:val="14"/>
                <w:color w:val="auto"/>
              </w:rPr>
            </w:pPr>
          </w:p>
        </w:tc>
        <w:tc>
          <w:tcPr>
            <w:tcW w:w="1800" w:type="dxa"/>
            <w:vAlign w:val="bottom"/>
          </w:tcPr>
          <w:p>
            <w:pPr>
              <w:jc w:val="right"/>
              <w:ind w:right="98"/>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jc w:val="right"/>
              <w:ind w:right="47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duration of less than one year</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80" w:type="dxa"/>
            <w:vAlign w:val="bottom"/>
            <w:tcBorders>
              <w:top w:val="single" w:sz="8" w:color="CCEEFF"/>
              <w:bottom w:val="single" w:sz="8" w:color="CCEEFF"/>
            </w:tcBorders>
            <w:shd w:val="clear" w:color="auto" w:fill="CCEEFF"/>
          </w:tcPr>
          <w:p>
            <w:pPr>
              <w:ind w:left="360"/>
              <w:spacing w:after="0" w:line="206" w:lineRule="exact"/>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the amortized cost basis has been recovered.</w:t>
      </w:r>
    </w:p>
    <w:p>
      <w:pPr>
        <w:sectPr>
          <w:pgSz w:w="11900" w:h="16838" w:orient="portrait"/>
          <w:cols w:equalWidth="0" w:num="1">
            <w:col w:w="10600"/>
          </w:cols>
          <w:pgMar w:left="960" w:top="356"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Fixed income securities as of June 30, 2021 have contractual maturities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6239510"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9510" cy="14351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within one year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between one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6239510" cy="14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951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Due over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27" w:hanging="927"/>
        <w:spacing w:after="0"/>
        <w:tabs>
          <w:tab w:leader="none" w:pos="927" w:val="left"/>
        </w:tabs>
        <w:numPr>
          <w:ilvl w:val="0"/>
          <w:numId w:val="7"/>
        </w:numPr>
        <w:rPr>
          <w:rFonts w:ascii="Arial" w:cs="Arial" w:eastAsia="Arial" w:hAnsi="Arial"/>
          <w:sz w:val="17"/>
          <w:szCs w:val="17"/>
          <w:color w:val="auto"/>
        </w:rPr>
      </w:pPr>
      <w:r>
        <w:rPr>
          <w:rFonts w:ascii="Arial" w:cs="Arial" w:eastAsia="Arial" w:hAnsi="Arial"/>
          <w:sz w:val="17"/>
          <w:szCs w:val="17"/>
          <w:color w:val="auto"/>
        </w:rPr>
        <w:t>12,085,185</w:t>
      </w:r>
    </w:p>
    <w:p>
      <w:pPr>
        <w:spacing w:after="0" w:line="30" w:lineRule="exact"/>
        <w:rPr>
          <w:rFonts w:ascii="Arial" w:cs="Arial" w:eastAsia="Arial" w:hAnsi="Arial"/>
          <w:sz w:val="17"/>
          <w:szCs w:val="17"/>
          <w:color w:val="auto"/>
        </w:rPr>
      </w:pPr>
    </w:p>
    <w:p>
      <w:pPr>
        <w:ind w:left="927"/>
        <w:spacing w:after="0"/>
        <w:rPr>
          <w:rFonts w:ascii="Arial" w:cs="Arial" w:eastAsia="Arial" w:hAnsi="Arial"/>
          <w:sz w:val="17"/>
          <w:szCs w:val="17"/>
          <w:color w:val="auto"/>
        </w:rPr>
      </w:pPr>
      <w:r>
        <w:rPr>
          <w:rFonts w:ascii="Arial" w:cs="Arial" w:eastAsia="Arial" w:hAnsi="Arial"/>
          <w:sz w:val="17"/>
          <w:szCs w:val="17"/>
          <w:color w:val="auto"/>
        </w:rPr>
        <w:t>42,578,597</w:t>
      </w:r>
    </w:p>
    <w:p>
      <w:pPr>
        <w:spacing w:after="0" w:line="31"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141,835,712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121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2" w:lineRule="exact"/>
        <w:rPr>
          <w:sz w:val="20"/>
          <w:szCs w:val="20"/>
          <w:color w:val="auto"/>
        </w:rPr>
      </w:pPr>
    </w:p>
    <w:p>
      <w:pPr>
        <w:ind w:left="827" w:hanging="827"/>
        <w:spacing w:after="0"/>
        <w:tabs>
          <w:tab w:leader="none" w:pos="827" w:val="left"/>
        </w:tabs>
        <w:numPr>
          <w:ilvl w:val="0"/>
          <w:numId w:val="8"/>
        </w:numPr>
        <w:rPr>
          <w:rFonts w:ascii="Arial" w:cs="Arial" w:eastAsia="Arial" w:hAnsi="Arial"/>
          <w:sz w:val="17"/>
          <w:szCs w:val="17"/>
          <w:color w:val="auto"/>
        </w:rPr>
      </w:pPr>
      <w:r>
        <w:rPr>
          <w:rFonts w:ascii="Arial" w:cs="Arial" w:eastAsia="Arial" w:hAnsi="Arial"/>
          <w:sz w:val="17"/>
          <w:szCs w:val="17"/>
          <w:color w:val="auto"/>
        </w:rPr>
        <w:t>196,499,494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21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60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36830</wp:posOffset>
            </wp:positionV>
            <wp:extent cx="121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13" w:space="720"/>
            <w:col w:w="2667"/>
          </w:cols>
          <w:pgMar w:left="960" w:top="3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4)</w:t>
        <w:tab/>
        <w:t>Inventories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52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2020</w:t>
            </w:r>
          </w:p>
        </w:tc>
      </w:tr>
      <w:tr>
        <w:trPr>
          <w:trHeight w:val="219"/>
        </w:trPr>
        <w:tc>
          <w:tcPr>
            <w:tcW w:w="61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179,304,938</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151,688,455</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35,083,146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32,791,675</w:t>
            </w:r>
          </w:p>
        </w:tc>
      </w:tr>
      <w:tr>
        <w:trPr>
          <w:trHeight w:val="227"/>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49,511,892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41,811,713</w:t>
            </w:r>
          </w:p>
        </w:tc>
      </w:tr>
      <w:tr>
        <w:trPr>
          <w:trHeight w:val="219"/>
        </w:trPr>
        <w:tc>
          <w:tcPr>
            <w:tcW w:w="6180" w:type="dxa"/>
            <w:vAlign w:val="bottom"/>
          </w:tcPr>
          <w:p>
            <w:pPr>
              <w:ind w:left="20"/>
              <w:spacing w:after="0" w:line="205" w:lineRule="exact"/>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263,899,976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226,291,843</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420" w:hanging="414"/>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45"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left="640" w:right="240"/>
        <w:spacing w:after="0" w:line="252"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six months ended June 30, 2021 and June 30, 2020 respectively:</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7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86,506,418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(2,374,033)</w:t>
            </w:r>
          </w:p>
        </w:tc>
        <w:tc>
          <w:tcPr>
            <w:tcW w:w="2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199,957,288</w:t>
            </w:r>
          </w:p>
        </w:tc>
        <w:tc>
          <w:tcPr>
            <w:tcW w:w="14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87,131,768</w:t>
            </w:r>
          </w:p>
        </w:tc>
        <w:tc>
          <w:tcPr>
            <w:tcW w:w="0" w:type="dxa"/>
            <w:vAlign w:val="bottom"/>
          </w:tcPr>
          <w:p>
            <w:pPr>
              <w:spacing w:after="0"/>
              <w:rPr>
                <w:sz w:val="1"/>
                <w:szCs w:val="1"/>
                <w:color w:val="auto"/>
              </w:rPr>
            </w:pPr>
          </w:p>
        </w:tc>
      </w:tr>
      <w:tr>
        <w:trPr>
          <w:trHeight w:val="186"/>
        </w:trPr>
        <w:tc>
          <w:tcPr>
            <w:tcW w:w="4440" w:type="dxa"/>
            <w:vAlign w:val="bottom"/>
            <w:shd w:val="clear" w:color="auto" w:fill="CCEEFF"/>
          </w:tcPr>
          <w:p>
            <w:pPr>
              <w:ind w:left="440"/>
              <w:spacing w:after="0" w:line="186" w:lineRule="exact"/>
              <w:rPr>
                <w:sz w:val="20"/>
                <w:szCs w:val="20"/>
                <w:color w:val="auto"/>
              </w:rPr>
            </w:pPr>
            <w:r>
              <w:rPr>
                <w:rFonts w:ascii="Arial" w:cs="Arial" w:eastAsia="Arial" w:hAnsi="Arial"/>
                <w:sz w:val="18"/>
                <w:szCs w:val="18"/>
                <w:color w:val="auto"/>
              </w:rPr>
              <w:t>Less: Dividends and undistributed earnings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allocated to participating securities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439,327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2,974,367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1,245,275</w:t>
            </w:r>
          </w:p>
        </w:tc>
        <w:tc>
          <w:tcPr>
            <w:tcW w:w="0" w:type="dxa"/>
            <w:vAlign w:val="bottom"/>
          </w:tcPr>
          <w:p>
            <w:pPr>
              <w:spacing w:after="0"/>
              <w:rPr>
                <w:sz w:val="1"/>
                <w:szCs w:val="1"/>
                <w:color w:val="auto"/>
              </w:rPr>
            </w:pPr>
          </w:p>
        </w:tc>
      </w:tr>
      <w:tr>
        <w:trPr>
          <w:trHeight w:val="165"/>
        </w:trPr>
        <w:tc>
          <w:tcPr>
            <w:tcW w:w="4440" w:type="dxa"/>
            <w:vAlign w:val="bottom"/>
          </w:tcPr>
          <w:p>
            <w:pPr>
              <w:ind w:left="240"/>
              <w:spacing w:after="0" w:line="165" w:lineRule="exact"/>
              <w:rPr>
                <w:sz w:val="20"/>
                <w:szCs w:val="20"/>
                <w:color w:val="auto"/>
              </w:rPr>
            </w:pPr>
            <w:r>
              <w:rPr>
                <w:rFonts w:ascii="Arial" w:cs="Arial" w:eastAsia="Arial" w:hAnsi="Arial"/>
                <w:sz w:val="18"/>
                <w:szCs w:val="18"/>
                <w:color w:val="auto"/>
              </w:rPr>
              <w:t>Net Income (Loss) available to common</w:t>
            </w:r>
          </w:p>
        </w:tc>
        <w:tc>
          <w:tcPr>
            <w:tcW w:w="240" w:type="dxa"/>
            <w:vAlign w:val="bottom"/>
            <w:vMerge w:val="restart"/>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85,181,651</w:t>
            </w:r>
          </w:p>
        </w:tc>
        <w:tc>
          <w:tcPr>
            <w:tcW w:w="100" w:type="dxa"/>
            <w:vAlign w:val="bottom"/>
          </w:tcPr>
          <w:p>
            <w:pPr>
              <w:spacing w:after="0"/>
              <w:rPr>
                <w:sz w:val="14"/>
                <w:szCs w:val="14"/>
                <w:color w:val="auto"/>
              </w:rPr>
            </w:pPr>
          </w:p>
        </w:tc>
        <w:tc>
          <w:tcPr>
            <w:tcW w:w="240" w:type="dxa"/>
            <w:vAlign w:val="bottom"/>
            <w:vMerge w:val="restart"/>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(2,813,360)</w:t>
            </w:r>
          </w:p>
        </w:tc>
        <w:tc>
          <w:tcPr>
            <w:tcW w:w="200" w:type="dxa"/>
            <w:vAlign w:val="bottom"/>
          </w:tcPr>
          <w:p>
            <w:pPr>
              <w:spacing w:after="0"/>
              <w:rPr>
                <w:sz w:val="14"/>
                <w:szCs w:val="14"/>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196,982,921</w:t>
            </w:r>
          </w:p>
        </w:tc>
        <w:tc>
          <w:tcPr>
            <w:tcW w:w="140" w:type="dxa"/>
            <w:vAlign w:val="bottom"/>
          </w:tcPr>
          <w:p>
            <w:pPr>
              <w:spacing w:after="0"/>
              <w:rPr>
                <w:sz w:val="14"/>
                <w:szCs w:val="14"/>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85,886,493</w:t>
            </w:r>
          </w:p>
        </w:tc>
        <w:tc>
          <w:tcPr>
            <w:tcW w:w="0" w:type="dxa"/>
            <w:vAlign w:val="bottom"/>
          </w:tcPr>
          <w:p>
            <w:pPr>
              <w:spacing w:after="0"/>
              <w:rPr>
                <w:sz w:val="1"/>
                <w:szCs w:val="1"/>
                <w:color w:val="auto"/>
              </w:rPr>
            </w:pPr>
          </w:p>
        </w:tc>
      </w:tr>
      <w:tr>
        <w:trPr>
          <w:trHeight w:val="192"/>
        </w:trPr>
        <w:tc>
          <w:tcPr>
            <w:tcW w:w="4440" w:type="dxa"/>
            <w:vAlign w:val="bottom"/>
          </w:tcPr>
          <w:p>
            <w:pPr>
              <w:ind w:left="240"/>
              <w:spacing w:after="0" w:line="187" w:lineRule="exact"/>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238,602,197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241,684,323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238,198,668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243,983,276</w:t>
            </w:r>
          </w:p>
        </w:tc>
        <w:tc>
          <w:tcPr>
            <w:tcW w:w="0" w:type="dxa"/>
            <w:vAlign w:val="bottom"/>
          </w:tcPr>
          <w:p>
            <w:pPr>
              <w:spacing w:after="0"/>
              <w:rPr>
                <w:sz w:val="1"/>
                <w:szCs w:val="1"/>
                <w:color w:val="auto"/>
              </w:rPr>
            </w:pPr>
          </w:p>
        </w:tc>
      </w:tr>
      <w:tr>
        <w:trPr>
          <w:trHeight w:val="227"/>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per share - Basic</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66"/>
        </w:trPr>
        <w:tc>
          <w:tcPr>
            <w:tcW w:w="4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(Loss) Per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ind w:left="240"/>
              <w:spacing w:after="0" w:line="185" w:lineRule="exact"/>
              <w:rPr>
                <w:sz w:val="20"/>
                <w:szCs w:val="20"/>
                <w:color w:val="auto"/>
              </w:rPr>
            </w:pPr>
            <w:r>
              <w:rPr>
                <w:rFonts w:ascii="Arial" w:cs="Arial" w:eastAsia="Arial" w:hAnsi="Arial"/>
                <w:sz w:val="18"/>
                <w:szCs w:val="18"/>
                <w:color w:val="auto"/>
              </w:rPr>
              <w:t>Allocation of Net Income (Loss) used in basic</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85,181,651</w:t>
            </w:r>
          </w:p>
        </w:tc>
        <w:tc>
          <w:tcPr>
            <w:tcW w:w="100" w:type="dxa"/>
            <w:vAlign w:val="bottom"/>
          </w:tcPr>
          <w:p>
            <w:pPr>
              <w:spacing w:after="0"/>
              <w:rPr>
                <w:sz w:val="18"/>
                <w:szCs w:val="18"/>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(2,813,360)</w:t>
            </w:r>
          </w:p>
        </w:tc>
        <w:tc>
          <w:tcPr>
            <w:tcW w:w="2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196,982,921</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85,886,493</w:t>
            </w:r>
          </w:p>
        </w:tc>
        <w:tc>
          <w:tcPr>
            <w:tcW w:w="0" w:type="dxa"/>
            <w:vAlign w:val="bottom"/>
          </w:tcPr>
          <w:p>
            <w:pPr>
              <w:spacing w:after="0"/>
              <w:rPr>
                <w:sz w:val="1"/>
                <w:szCs w:val="1"/>
                <w:color w:val="auto"/>
              </w:rPr>
            </w:pPr>
          </w:p>
        </w:tc>
      </w:tr>
      <w:tr>
        <w:trPr>
          <w:trHeight w:val="227"/>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165"/>
        </w:trPr>
        <w:tc>
          <w:tcPr>
            <w:tcW w:w="4440" w:type="dxa"/>
            <w:vAlign w:val="bottom"/>
          </w:tcPr>
          <w:p>
            <w:pPr>
              <w:ind w:left="240"/>
              <w:spacing w:after="0" w:line="165" w:lineRule="exact"/>
              <w:rPr>
                <w:sz w:val="20"/>
                <w:szCs w:val="20"/>
                <w:color w:val="auto"/>
              </w:rPr>
            </w:pPr>
            <w:r>
              <w:rPr>
                <w:rFonts w:ascii="Arial" w:cs="Arial" w:eastAsia="Arial" w:hAnsi="Arial"/>
                <w:sz w:val="18"/>
                <w:szCs w:val="18"/>
                <w:color w:val="auto"/>
              </w:rPr>
              <w:t>Net Income (Loss) available to common</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40"/>
              <w:spacing w:after="0"/>
              <w:rPr>
                <w:sz w:val="20"/>
                <w:szCs w:val="20"/>
                <w:color w:val="auto"/>
              </w:rPr>
            </w:pPr>
            <w:r>
              <w:rPr>
                <w:rFonts w:ascii="Arial" w:cs="Arial" w:eastAsia="Arial" w:hAnsi="Arial"/>
                <w:sz w:val="18"/>
                <w:szCs w:val="18"/>
                <w:color w:val="auto"/>
              </w:rPr>
              <w:t>shareholders - Diluted</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85,185,631</w:t>
            </w:r>
          </w:p>
        </w:tc>
        <w:tc>
          <w:tcPr>
            <w:tcW w:w="100" w:type="dxa"/>
            <w:vAlign w:val="bottom"/>
          </w:tcPr>
          <w:p>
            <w:pPr>
              <w:spacing w:after="0"/>
              <w:rPr>
                <w:sz w:val="18"/>
                <w:szCs w:val="18"/>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(2,813,360)</w:t>
            </w:r>
          </w:p>
        </w:tc>
        <w:tc>
          <w:tcPr>
            <w:tcW w:w="2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196,993,385</w:t>
            </w:r>
          </w:p>
        </w:tc>
        <w:tc>
          <w:tcPr>
            <w:tcW w:w="1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85,888,190</w:t>
            </w:r>
          </w:p>
        </w:tc>
        <w:tc>
          <w:tcPr>
            <w:tcW w:w="0" w:type="dxa"/>
            <w:vAlign w:val="bottom"/>
          </w:tcPr>
          <w:p>
            <w:pPr>
              <w:spacing w:after="0"/>
              <w:rPr>
                <w:sz w:val="1"/>
                <w:szCs w:val="1"/>
                <w:color w:val="auto"/>
              </w:rPr>
            </w:pPr>
          </w:p>
        </w:tc>
      </w:tr>
      <w:tr>
        <w:trPr>
          <w:trHeight w:val="267"/>
        </w:trPr>
        <w:tc>
          <w:tcPr>
            <w:tcW w:w="4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356" w:right="339" w:bottom="1440" w:gutter="0" w:footer="0" w:header="0"/>
        </w:sectPr>
      </w:pPr>
    </w:p>
    <w:p>
      <w:pPr>
        <w:ind w:left="880"/>
        <w:spacing w:after="0"/>
        <w:rPr>
          <w:sz w:val="20"/>
          <w:szCs w:val="20"/>
          <w:color w:val="auto"/>
        </w:rPr>
      </w:pPr>
      <w:r>
        <w:rPr>
          <w:rFonts w:ascii="Arial" w:cs="Arial" w:eastAsia="Arial" w:hAnsi="Arial"/>
          <w:sz w:val="18"/>
          <w:szCs w:val="18"/>
          <w:color w:val="auto"/>
        </w:rPr>
        <w:t>Number of shares used in basic computation</w:t>
      </w:r>
    </w:p>
    <w:p>
      <w:pPr>
        <w:spacing w:after="0" w:line="19" w:lineRule="exact"/>
        <w:rPr>
          <w:sz w:val="20"/>
          <w:szCs w:val="20"/>
          <w:color w:val="auto"/>
        </w:rPr>
      </w:pPr>
    </w:p>
    <w:p>
      <w:pPr>
        <w:ind w:left="980"/>
        <w:spacing w:after="0" w:line="223"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238,602,197</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241,684,323</w:t>
            </w:r>
          </w:p>
        </w:tc>
        <w:tc>
          <w:tcPr>
            <w:tcW w:w="1600" w:type="dxa"/>
            <w:vAlign w:val="bottom"/>
          </w:tcPr>
          <w:p>
            <w:pPr>
              <w:jc w:val="right"/>
              <w:ind w:right="211"/>
              <w:spacing w:after="0"/>
              <w:rPr>
                <w:sz w:val="20"/>
                <w:szCs w:val="20"/>
                <w:color w:val="auto"/>
              </w:rPr>
            </w:pPr>
            <w:r>
              <w:rPr>
                <w:rFonts w:ascii="Arial" w:cs="Arial" w:eastAsia="Arial" w:hAnsi="Arial"/>
                <w:sz w:val="18"/>
                <w:szCs w:val="18"/>
                <w:color w:val="auto"/>
              </w:rPr>
              <w:t>238,198,668</w:t>
            </w:r>
          </w:p>
        </w:tc>
        <w:tc>
          <w:tcPr>
            <w:tcW w:w="1360" w:type="dxa"/>
            <w:vAlign w:val="bottom"/>
          </w:tcPr>
          <w:p>
            <w:pPr>
              <w:jc w:val="right"/>
              <w:spacing w:after="0"/>
              <w:rPr>
                <w:sz w:val="20"/>
                <w:szCs w:val="20"/>
                <w:color w:val="auto"/>
              </w:rPr>
            </w:pPr>
            <w:r>
              <w:rPr>
                <w:rFonts w:ascii="Arial" w:cs="Arial" w:eastAsia="Arial" w:hAnsi="Arial"/>
                <w:sz w:val="18"/>
                <w:szCs w:val="18"/>
                <w:color w:val="auto"/>
              </w:rPr>
              <w:t>243,983,276</w:t>
            </w:r>
          </w:p>
        </w:tc>
      </w:tr>
      <w:tr>
        <w:trPr>
          <w:trHeight w:val="399"/>
        </w:trPr>
        <w:tc>
          <w:tcPr>
            <w:tcW w:w="1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1,130,301</w:t>
            </w:r>
          </w:p>
        </w:tc>
        <w:tc>
          <w:tcPr>
            <w:tcW w:w="15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1,218,528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1,085,380</w:t>
            </w:r>
          </w:p>
        </w:tc>
      </w:tr>
      <w:tr>
        <w:trPr>
          <w:trHeight w:val="219"/>
        </w:trPr>
        <w:tc>
          <w:tcPr>
            <w:tcW w:w="1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239,732,498</w:t>
            </w:r>
          </w:p>
        </w:tc>
        <w:tc>
          <w:tcPr>
            <w:tcW w:w="15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241,684,323</w:t>
            </w: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239,417,196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245,068,656</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-438150</wp:posOffset>
            </wp:positionV>
            <wp:extent cx="6729095" cy="253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29095" cy="2533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00" w:space="80"/>
            <w:col w:w="6160"/>
          </w:cols>
          <w:pgMar w:left="320" w:top="356" w:right="339" w:bottom="1440" w:gutter="0" w:footer="0" w:header="0"/>
          <w:type w:val="continuous"/>
        </w:sectPr>
      </w:pPr>
    </w:p>
    <w:tbl>
      <w:tblPr>
        <w:tblLayout w:type="fixed"/>
        <w:tblInd w:w="640" w:type="dxa"/>
        <w:tblCellMar>
          <w:top w:w="0" w:type="dxa"/>
          <w:left w:w="0" w:type="dxa"/>
          <w:bottom w:w="0" w:type="dxa"/>
          <w:right w:w="0" w:type="dxa"/>
        </w:tblCellMar>
      </w:tblPr>
      <w:tr>
        <w:trPr>
          <w:trHeight w:val="219"/>
        </w:trPr>
        <w:tc>
          <w:tcPr>
            <w:tcW w:w="4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4260" w:type="dxa"/>
            <w:vAlign w:val="bottom"/>
          </w:tcPr>
          <w:p>
            <w:pPr>
              <w:ind w:left="240"/>
              <w:spacing w:after="0"/>
              <w:rPr>
                <w:sz w:val="20"/>
                <w:szCs w:val="20"/>
                <w:color w:val="auto"/>
              </w:rPr>
            </w:pPr>
            <w:r>
              <w:rPr>
                <w:rFonts w:ascii="Arial" w:cs="Arial" w:eastAsia="Arial" w:hAnsi="Arial"/>
                <w:sz w:val="18"/>
                <w:szCs w:val="18"/>
                <w:color w:val="auto"/>
              </w:rPr>
              <w:t>Net Income (Loss) per share - Diluted</w:t>
            </w:r>
          </w:p>
        </w:tc>
        <w:tc>
          <w:tcPr>
            <w:tcW w:w="60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5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0.82</w:t>
            </w:r>
          </w:p>
        </w:tc>
        <w:tc>
          <w:tcPr>
            <w:tcW w:w="5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67"/>
        </w:trPr>
        <w:tc>
          <w:tcPr>
            <w:tcW w:w="4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85"/>
        </w:trPr>
        <w:tc>
          <w:tcPr>
            <w:tcW w:w="4260" w:type="dxa"/>
            <w:vAlign w:val="bottom"/>
          </w:tcPr>
          <w:p>
            <w:pPr>
              <w:ind w:left="20"/>
              <w:spacing w:after="0" w:line="185" w:lineRule="exact"/>
              <w:rPr>
                <w:sz w:val="20"/>
                <w:szCs w:val="20"/>
                <w:color w:val="auto"/>
              </w:rPr>
            </w:pPr>
            <w:r>
              <w:rPr>
                <w:rFonts w:ascii="Arial" w:cs="Arial" w:eastAsia="Arial" w:hAnsi="Arial"/>
                <w:sz w:val="18"/>
                <w:szCs w:val="18"/>
                <w:color w:val="auto"/>
              </w:rPr>
              <w:t>Shares related to stock plans not included in diluted</w:t>
            </w: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3"/>
        </w:trPr>
        <w:tc>
          <w:tcPr>
            <w:tcW w:w="4260" w:type="dxa"/>
            <w:vAlign w:val="bottom"/>
          </w:tcPr>
          <w:p>
            <w:pPr>
              <w:ind w:left="20"/>
              <w:spacing w:after="0" w:line="173" w:lineRule="exact"/>
              <w:rPr>
                <w:sz w:val="20"/>
                <w:szCs w:val="20"/>
                <w:color w:val="auto"/>
              </w:rPr>
            </w:pPr>
            <w:r>
              <w:rPr>
                <w:rFonts w:ascii="Arial" w:cs="Arial" w:eastAsia="Arial" w:hAnsi="Arial"/>
                <w:sz w:val="18"/>
                <w:szCs w:val="18"/>
                <w:color w:val="auto"/>
              </w:rPr>
              <w:t>average common shares outstanding because their</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8"/>
                <w:szCs w:val="18"/>
                <w:color w:val="auto"/>
              </w:rPr>
              <w:t>effect would be anti-dilutive</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270,475</w:t>
            </w:r>
          </w:p>
        </w:tc>
        <w:tc>
          <w:tcPr>
            <w:tcW w:w="420" w:type="dxa"/>
            <w:vAlign w:val="bottom"/>
          </w:tcPr>
          <w:p>
            <w:pPr>
              <w:spacing w:after="0"/>
              <w:rPr>
                <w:sz w:val="18"/>
                <w:szCs w:val="18"/>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1,636,661</w:t>
            </w:r>
          </w:p>
        </w:tc>
        <w:tc>
          <w:tcPr>
            <w:tcW w:w="52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137,484</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428,948</w:t>
            </w:r>
          </w:p>
        </w:tc>
      </w:tr>
    </w:tbl>
    <w:p>
      <w:pPr>
        <w:spacing w:after="0" w:line="333" w:lineRule="exact"/>
        <w:rPr>
          <w:sz w:val="20"/>
          <w:szCs w:val="20"/>
          <w:color w:val="auto"/>
        </w:rPr>
      </w:pPr>
    </w:p>
    <w:p>
      <w:pPr>
        <w:ind w:left="420" w:hanging="414"/>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39"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As of June 30, 2021,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40"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44"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2020, for additional information related to the Prior Plans.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5" w:name="page16"/>
    <w:bookmarkEnd w:id="15"/>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recognized total compensation expense for share-based payments of $6,727,513 for the three months ended June 30, 2021, and total compensation expense for share-based payments of $12,622,158 for the six months ended June 30, 2021. The Company recognized compensation expense for share-based payments of $9,641,353 and $15,960,362 for the three and six months ended June 30, 2020, respectively. A portion of the compensation cost for share based payment awards is capitalized as part of inventory.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Omnibus Incentive Plan</w:t>
      </w:r>
    </w:p>
    <w:p>
      <w:pPr>
        <w:spacing w:after="0" w:line="2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purpose of the 2019 Omnibus Incentive Plan is to attract and retain employees, officers, and directors of the Company and its subsidiaries and to motivate and provide such persons incentives and rewards for performance. Pursuant to the terms of the Plan, each type of award counts against the available shares based on a predetermined conversion rate (shown in the table below). As of June 30, 2021, 5,735,302 share awards have been granted under the Plan. resulting in 14,332,742 shares, of 45,000,000 total shares available, to be issued under the Plan. The shares issued are presented net of shares from canceled/expired options and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20" w:type="dxa"/>
            <w:vAlign w:val="bottom"/>
          </w:tcPr>
          <w:p>
            <w:pPr>
              <w:spacing w:after="0"/>
              <w:rPr>
                <w:sz w:val="13"/>
                <w:szCs w:val="13"/>
                <w:color w:val="auto"/>
              </w:rPr>
            </w:pPr>
          </w:p>
        </w:tc>
        <w:tc>
          <w:tcPr>
            <w:tcW w:w="194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3"/>
                <w:szCs w:val="13"/>
                <w:color w:val="auto"/>
              </w:rPr>
            </w:pPr>
          </w:p>
        </w:tc>
        <w:tc>
          <w:tcPr>
            <w:tcW w:w="1940" w:type="dxa"/>
            <w:vAlign w:val="bottom"/>
            <w:tcBorders>
              <w:top w:val="single" w:sz="8" w:color="auto"/>
            </w:tcBorders>
            <w:vMerge w:val="restart"/>
          </w:tcPr>
          <w:p>
            <w:pPr>
              <w:jc w:val="right"/>
              <w:ind w:right="32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3"/>
                <w:szCs w:val="13"/>
                <w:color w:val="auto"/>
              </w:rPr>
            </w:pPr>
          </w:p>
        </w:tc>
        <w:tc>
          <w:tcPr>
            <w:tcW w:w="1960" w:type="dxa"/>
            <w:vAlign w:val="bottom"/>
            <w:tcBorders>
              <w:top w:val="single" w:sz="8" w:color="auto"/>
            </w:tcBorders>
          </w:tcPr>
          <w:p>
            <w:pPr>
              <w:jc w:val="right"/>
              <w:ind w:right="78"/>
              <w:spacing w:after="0" w:line="159" w:lineRule="exact"/>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73"/>
        </w:trPr>
        <w:tc>
          <w:tcPr>
            <w:tcW w:w="392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9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2,925,681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2,925,681</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 Performance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2,809,621</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11,407,061</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5,735,302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14,332,742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Options</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2021, there was $8,999,790 of unearned compensation cost associated with stock options granted under the 2019 Omnibus Incentive Plan and the Employee Stock Option Plan, which is expected to be recognized over the remaining vesting periods.</w:t>
      </w:r>
    </w:p>
    <w:p>
      <w:pPr>
        <w:spacing w:after="0" w:line="14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334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79"/>
        </w:trPr>
        <w:tc>
          <w:tcPr>
            <w:tcW w:w="364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9"/>
        </w:trPr>
        <w:tc>
          <w:tcPr>
            <w:tcW w:w="36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26"/>
        </w:trPr>
        <w:tc>
          <w:tcPr>
            <w:tcW w:w="36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27.68 %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27.91 %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27.21 %</w:t>
            </w:r>
          </w:p>
        </w:tc>
      </w:tr>
      <w:tr>
        <w:trPr>
          <w:trHeight w:val="226"/>
        </w:trPr>
        <w:tc>
          <w:tcPr>
            <w:tcW w:w="36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0.33 %</w:t>
            </w:r>
          </w:p>
        </w:tc>
      </w:tr>
      <w:tr>
        <w:trPr>
          <w:trHeight w:val="226"/>
        </w:trPr>
        <w:tc>
          <w:tcPr>
            <w:tcW w:w="36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bl>
    <w:p>
      <w:pPr>
        <w:spacing w:after="0" w:line="50"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0" w:right="420" w:hanging="315"/>
        <w:spacing w:after="0" w:line="208" w:lineRule="auto"/>
        <w:tabs>
          <w:tab w:leader="none" w:pos="31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320" w:hanging="315"/>
        <w:spacing w:after="0" w:line="185" w:lineRule="auto"/>
        <w:tabs>
          <w:tab w:leader="none" w:pos="3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0" w:right="20" w:hanging="315"/>
        <w:spacing w:after="0" w:line="215" w:lineRule="auto"/>
        <w:tabs>
          <w:tab w:leader="none" w:pos="31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2021, the Company had unearned stock-based compensation of $50,874,177 associated with the restricted stock grants issued under the 2019 Omnibus Plan and the prior plan. The unearned stock-based compensation related to these grants is being amortized</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to compensation expense over the applicable restriction periods. Amortization expense from restricted stock in the three months ended June 30, 2021 was $4,459,401 and amortization expense from restricted stock grants in the six months ended June 30, 2021 was $8,762,376.</w:t>
      </w:r>
      <w:r>
        <w:rPr>
          <w:rFonts w:ascii="Arial" w:cs="Arial" w:eastAsia="Arial" w:hAnsi="Arial"/>
          <w:sz w:val="18"/>
          <w:szCs w:val="18"/>
          <w:color w:val="FAAC16"/>
        </w:rPr>
        <w:t>.</w:t>
      </w:r>
      <w:r>
        <w:rPr>
          <w:rFonts w:ascii="Arial" w:cs="Arial" w:eastAsia="Arial" w:hAnsi="Arial"/>
          <w:sz w:val="18"/>
          <w:szCs w:val="18"/>
          <w:color w:val="auto"/>
        </w:rPr>
        <w:t xml:space="preserve"> Amortization expense from restricted stock grants for the three and six months ended June 30, 2020 was $7,580,492 and $11,905,749, respectively, which included $4,148,477 of severance related expense for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Performance Shares</w:t>
      </w:r>
    </w:p>
    <w:p>
      <w:pPr>
        <w:spacing w:after="0" w:line="245"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38"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As of June 30, 2021, the Company had unearned stock-based compensation of $9,456,469 associated with these performance share grants. The unearned stock-based compensation related to these grants is being amortized to compensation expense over the applicable performance periods. Amortization expense from performance share grants in the three and six months ended June 30, 2021 was $701,524 and $805,754, respectively. Amortization expense from performance share grants in the three and six months ended June 30, 2020 was $563,783 and $957,560, respectively.</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245"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June 30, 2021, the Company has issued 1,423,819 shares under this plan.</w:t>
      </w:r>
    </w:p>
    <w:p>
      <w:pPr>
        <w:spacing w:after="0" w:line="235" w:lineRule="exact"/>
        <w:rPr>
          <w:sz w:val="20"/>
          <w:szCs w:val="20"/>
          <w:color w:val="auto"/>
        </w:rPr>
      </w:pPr>
    </w:p>
    <w:p>
      <w:pPr>
        <w:ind w:left="420" w:hanging="41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233"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06"/>
        </w:trPr>
        <w:tc>
          <w:tcPr>
            <w:tcW w:w="52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52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(83,367)</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(3,076,679)</w:t>
            </w:r>
          </w:p>
        </w:tc>
        <w:tc>
          <w:tcPr>
            <w:tcW w:w="1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769,045</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(2,384,589)</w:t>
            </w:r>
          </w:p>
        </w:tc>
      </w:tr>
      <w:tr>
        <w:trPr>
          <w:trHeight w:val="226"/>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963,199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110,787</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(555,463)</w:t>
            </w:r>
          </w:p>
        </w:tc>
      </w:tr>
      <w:tr>
        <w:trPr>
          <w:trHeight w:val="219"/>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136,627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110,787</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(555,463)</w:t>
            </w: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(2,940,052)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879,832</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(2,940,052)</w:t>
            </w:r>
          </w:p>
        </w:tc>
      </w:tr>
      <w:tr>
        <w:trPr>
          <w:trHeight w:val="127"/>
        </w:trPr>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52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2,038,034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3,291,473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6,082,007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1,095,486</w:t>
            </w:r>
          </w:p>
        </w:tc>
      </w:tr>
      <w:tr>
        <w:trPr>
          <w:trHeight w:val="227"/>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3,109,755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(2,082,477)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5,334,951</w:t>
            </w:r>
          </w:p>
        </w:tc>
      </w:tr>
      <w:tr>
        <w:trPr>
          <w:trHeight w:val="185"/>
        </w:trPr>
        <w:tc>
          <w:tcPr>
            <w:tcW w:w="5220" w:type="dxa"/>
            <w:vAlign w:val="bottom"/>
          </w:tcPr>
          <w:p>
            <w:pPr>
              <w:ind w:left="240"/>
              <w:spacing w:after="0" w:line="185"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(721,932)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(614,324)</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(751,141)</w:t>
            </w: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2,387,823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(2,696,801)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4,583,810</w:t>
            </w:r>
          </w:p>
        </w:tc>
      </w:tr>
      <w:tr>
        <w:trPr>
          <w:trHeight w:val="219"/>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5,679,296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3,385,206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5,679,296</w:t>
            </w:r>
          </w:p>
        </w:tc>
      </w:tr>
      <w:tr>
        <w:trPr>
          <w:trHeight w:val="87"/>
        </w:trPr>
        <w:tc>
          <w:tcPr>
            <w:tcW w:w="52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end of period</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4,265,038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2,739,244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4,265,038</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2,739,244</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640" w:right="220"/>
        <w:spacing w:after="0" w:line="25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and six months ended June 30, 2021 and 2020:</w:t>
      </w:r>
    </w:p>
    <w:tbl>
      <w:tblPr>
        <w:tblLayout w:type="fixed"/>
        <w:tblInd w:w="640" w:type="dxa"/>
        <w:tblCellMar>
          <w:top w:w="0" w:type="dxa"/>
          <w:left w:w="0" w:type="dxa"/>
          <w:bottom w:w="0" w:type="dxa"/>
          <w:right w:w="0" w:type="dxa"/>
        </w:tblCellMar>
      </w:tblPr>
      <w:tr>
        <w:trPr>
          <w:trHeight w:val="178"/>
        </w:trPr>
        <w:tc>
          <w:tcPr>
            <w:tcW w:w="388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Details about Accumulated Other</w:t>
            </w:r>
          </w:p>
        </w:tc>
        <w:tc>
          <w:tcPr>
            <w:tcW w:w="160" w:type="dxa"/>
            <w:vAlign w:val="bottom"/>
          </w:tcPr>
          <w:p>
            <w:pPr>
              <w:spacing w:after="0"/>
              <w:rPr>
                <w:sz w:val="15"/>
                <w:szCs w:val="15"/>
                <w:color w:val="auto"/>
              </w:rPr>
            </w:pPr>
          </w:p>
        </w:tc>
        <w:tc>
          <w:tcPr>
            <w:tcW w:w="4080" w:type="dxa"/>
            <w:vAlign w:val="bottom"/>
            <w:gridSpan w:val="10"/>
            <w:vMerge w:val="restart"/>
          </w:tcPr>
          <w:p>
            <w:pPr>
              <w:jc w:val="center"/>
              <w:ind w:right="102"/>
              <w:spacing w:after="0"/>
              <w:rPr>
                <w:sz w:val="20"/>
                <w:szCs w:val="20"/>
                <w:color w:val="auto"/>
              </w:rPr>
            </w:pPr>
            <w:r>
              <w:rPr>
                <w:rFonts w:ascii="Arial" w:cs="Arial" w:eastAsia="Arial" w:hAnsi="Arial"/>
                <w:sz w:val="16"/>
                <w:szCs w:val="16"/>
                <w:b w:val="1"/>
                <w:bCs w:val="1"/>
                <w:color w:val="auto"/>
                <w:w w:val="99"/>
              </w:rPr>
              <w:t>Amounts Reclassified from Other Comprehensive</w:t>
            </w:r>
          </w:p>
        </w:tc>
        <w:tc>
          <w:tcPr>
            <w:tcW w:w="100" w:type="dxa"/>
            <w:vAlign w:val="bottom"/>
          </w:tcPr>
          <w:p>
            <w:pPr>
              <w:spacing w:after="0"/>
              <w:rPr>
                <w:sz w:val="15"/>
                <w:szCs w:val="15"/>
                <w:color w:val="auto"/>
              </w:rPr>
            </w:pPr>
          </w:p>
        </w:tc>
        <w:tc>
          <w:tcPr>
            <w:tcW w:w="238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gridSpan w:val="10"/>
            <w:vMerge w:val="continue"/>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Statement of Consolidated</w:t>
            </w:r>
          </w:p>
        </w:tc>
        <w:tc>
          <w:tcPr>
            <w:tcW w:w="0" w:type="dxa"/>
            <w:vAlign w:val="bottom"/>
          </w:tcPr>
          <w:p>
            <w:pPr>
              <w:spacing w:after="0"/>
              <w:rPr>
                <w:sz w:val="1"/>
                <w:szCs w:val="1"/>
                <w:color w:val="auto"/>
              </w:rPr>
            </w:pPr>
          </w:p>
        </w:tc>
      </w:tr>
      <w:tr>
        <w:trPr>
          <w:trHeight w:val="213"/>
        </w:trPr>
        <w:tc>
          <w:tcPr>
            <w:tcW w:w="3880" w:type="dxa"/>
            <w:vAlign w:val="bottom"/>
            <w:gridSpan w:val="2"/>
          </w:tcPr>
          <w:p>
            <w:pPr>
              <w:ind w:left="480"/>
              <w:spacing w:after="0"/>
              <w:rPr>
                <w:sz w:val="20"/>
                <w:szCs w:val="20"/>
                <w:color w:val="auto"/>
              </w:rPr>
            </w:pPr>
            <w:r>
              <w:rPr>
                <w:rFonts w:ascii="Arial" w:cs="Arial" w:eastAsia="Arial" w:hAnsi="Arial"/>
                <w:sz w:val="16"/>
                <w:szCs w:val="16"/>
                <w:b w:val="1"/>
                <w:bCs w:val="1"/>
                <w:color w:val="auto"/>
              </w:rPr>
              <w:t>Comprehensive Income Components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80"/>
        </w:trPr>
        <w:tc>
          <w:tcPr>
            <w:tcW w:w="3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8"/>
                <w:szCs w:val="18"/>
                <w:color w:val="auto"/>
              </w:rPr>
              <w:t>Unrealized gains on available-for-sale debt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80" w:type="dxa"/>
            <w:vAlign w:val="bottom"/>
            <w:gridSpan w:val="2"/>
          </w:tcPr>
          <w:p>
            <w:pPr>
              <w:ind w:left="240"/>
              <w:spacing w:after="0" w:line="185" w:lineRule="exact"/>
              <w:rPr>
                <w:sz w:val="20"/>
                <w:szCs w:val="20"/>
                <w:color w:val="auto"/>
              </w:rPr>
            </w:pPr>
            <w:r>
              <w:rPr>
                <w:rFonts w:ascii="Arial" w:cs="Arial" w:eastAsia="Arial" w:hAnsi="Arial"/>
                <w:sz w:val="18"/>
                <w:szCs w:val="18"/>
                <w:color w:val="auto"/>
              </w:rPr>
              <w:t>Realized gain on sale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of securities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ind w:left="180"/>
              <w:spacing w:after="0"/>
              <w:rPr>
                <w:sz w:val="20"/>
                <w:szCs w:val="20"/>
                <w:color w:val="auto"/>
              </w:rPr>
            </w:pPr>
            <w:r>
              <w:rPr>
                <w:rFonts w:ascii="Arial" w:cs="Arial" w:eastAsia="Arial" w:hAnsi="Arial"/>
                <w:sz w:val="16"/>
                <w:szCs w:val="16"/>
                <w:color w:val="auto"/>
              </w:rPr>
              <w:t>332,872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140"/>
              <w:spacing w:after="0"/>
              <w:rPr>
                <w:sz w:val="20"/>
                <w:szCs w:val="20"/>
                <w:color w:val="auto"/>
              </w:rPr>
            </w:pPr>
            <w:r>
              <w:rPr>
                <w:rFonts w:ascii="Arial" w:cs="Arial" w:eastAsia="Arial" w:hAnsi="Arial"/>
                <w:sz w:val="16"/>
                <w:szCs w:val="16"/>
                <w:color w:val="auto"/>
              </w:rPr>
              <w:t>913,838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240"/>
              <w:spacing w:after="0"/>
              <w:rPr>
                <w:sz w:val="20"/>
                <w:szCs w:val="20"/>
                <w:color w:val="auto"/>
              </w:rPr>
            </w:pPr>
            <w:r>
              <w:rPr>
                <w:rFonts w:ascii="Arial" w:cs="Arial" w:eastAsia="Arial" w:hAnsi="Arial"/>
                <w:sz w:val="16"/>
                <w:szCs w:val="16"/>
                <w:color w:val="auto"/>
              </w:rPr>
              <w:t>777,625</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140"/>
              <w:spacing w:after="0"/>
              <w:rPr>
                <w:sz w:val="20"/>
                <w:szCs w:val="20"/>
                <w:color w:val="auto"/>
              </w:rPr>
            </w:pPr>
            <w:r>
              <w:rPr>
                <w:rFonts w:ascii="Arial" w:cs="Arial" w:eastAsia="Arial" w:hAnsi="Arial"/>
                <w:sz w:val="16"/>
                <w:szCs w:val="16"/>
                <w:color w:val="auto"/>
              </w:rPr>
              <w:t>950,812</w:t>
            </w: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186"/>
        </w:trPr>
        <w:tc>
          <w:tcPr>
            <w:tcW w:w="3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Provision for (Benefit from)</w:t>
            </w:r>
          </w:p>
        </w:tc>
        <w:tc>
          <w:tcPr>
            <w:tcW w:w="0" w:type="dxa"/>
            <w:vAlign w:val="bottom"/>
          </w:tcPr>
          <w:p>
            <w:pPr>
              <w:spacing w:after="0"/>
              <w:rPr>
                <w:sz w:val="1"/>
                <w:szCs w:val="1"/>
                <w:color w:val="auto"/>
              </w:rPr>
            </w:pPr>
          </w:p>
        </w:tc>
      </w:tr>
      <w:tr>
        <w:trPr>
          <w:trHeight w:val="213"/>
        </w:trPr>
        <w:tc>
          <w:tcPr>
            <w:tcW w:w="3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(191,906)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9"/>
              </w:rPr>
              <w:t>(163,301)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(199,671)</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0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262,969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721,932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614,324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751,141</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20" w:hanging="414"/>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45"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230"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w:t>
      </w:r>
    </w:p>
    <w:p>
      <w:pPr>
        <w:spacing w:after="0" w:line="200" w:lineRule="exact"/>
        <w:rPr>
          <w:sz w:val="20"/>
          <w:szCs w:val="20"/>
          <w:color w:val="auto"/>
        </w:rPr>
      </w:pPr>
    </w:p>
    <w:p>
      <w:pPr>
        <w:spacing w:after="0" w:line="38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left="640"/>
        <w:spacing w:after="0" w:line="252" w:lineRule="auto"/>
        <w:rPr>
          <w:sz w:val="20"/>
          <w:szCs w:val="20"/>
          <w:color w:val="auto"/>
        </w:rPr>
      </w:pPr>
      <w:r>
        <w:rPr>
          <w:rFonts w:ascii="Arial" w:cs="Arial" w:eastAsia="Arial" w:hAnsi="Arial"/>
          <w:sz w:val="18"/>
          <w:szCs w:val="18"/>
          <w:color w:val="auto"/>
        </w:rPr>
        <w:t>but are subject to certain covenants. As of June 30, 2021, there was no outstanding balance on the Revolver. The Revolver expires on October 15, 2023.</w:t>
      </w:r>
    </w:p>
    <w:p>
      <w:pPr>
        <w:spacing w:after="0" w:line="230" w:lineRule="exact"/>
        <w:rPr>
          <w:sz w:val="20"/>
          <w:szCs w:val="20"/>
          <w:color w:val="auto"/>
        </w:rPr>
      </w:pPr>
    </w:p>
    <w:p>
      <w:pPr>
        <w:ind w:left="640"/>
        <w:spacing w:after="0" w:line="25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2021, the Company is in compliance with its covenants under the Credit Agreement.</w:t>
      </w:r>
    </w:p>
    <w:p>
      <w:pPr>
        <w:spacing w:after="0" w:line="200" w:lineRule="exact"/>
        <w:rPr>
          <w:sz w:val="20"/>
          <w:szCs w:val="20"/>
          <w:color w:val="auto"/>
        </w:rPr>
      </w:pPr>
    </w:p>
    <w:p>
      <w:pPr>
        <w:spacing w:after="0" w:line="284" w:lineRule="exact"/>
        <w:rPr>
          <w:sz w:val="20"/>
          <w:szCs w:val="20"/>
          <w:color w:val="auto"/>
        </w:rPr>
      </w:pPr>
    </w:p>
    <w:p>
      <w:pPr>
        <w:ind w:left="420" w:hanging="414"/>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decrease in common stock during the six months ended June 30, 2021, was primarily due to the repurchases of 6.2 million shares, partially offset by the issuance of 1.4 million shares of the Company’s common stock under the Company’s stock-based compensation plans. The total net decrease was 4.7 million shares.</w:t>
      </w:r>
    </w:p>
    <w:p>
      <w:pPr>
        <w:spacing w:after="0" w:line="233"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Company recorded a cash dividend of $0.120 per share during the second quarter of 2021 as compared to a cash dividend of $0.120 per share during the second quarter of 2020. The second quarter 2021 dividend of $28.7 million was declared on June 7, 2021, and was paid on July 21, 2021.</w:t>
      </w:r>
    </w:p>
    <w:p>
      <w:pPr>
        <w:spacing w:after="0" w:line="200" w:lineRule="exact"/>
        <w:rPr>
          <w:sz w:val="20"/>
          <w:szCs w:val="20"/>
          <w:color w:val="auto"/>
        </w:rPr>
      </w:pPr>
    </w:p>
    <w:p>
      <w:pPr>
        <w:spacing w:after="0" w:line="273" w:lineRule="exact"/>
        <w:rPr>
          <w:sz w:val="20"/>
          <w:szCs w:val="20"/>
          <w:color w:val="auto"/>
        </w:rPr>
      </w:pPr>
    </w:p>
    <w:p>
      <w:pPr>
        <w:ind w:left="520" w:hanging="514"/>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2"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34" w:lineRule="exact"/>
        <w:rPr>
          <w:sz w:val="20"/>
          <w:szCs w:val="20"/>
          <w:color w:val="auto"/>
        </w:rPr>
      </w:pPr>
    </w:p>
    <w:p>
      <w:pPr>
        <w:ind w:left="840" w:hanging="515"/>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45" w:lineRule="exact"/>
        <w:rPr>
          <w:sz w:val="20"/>
          <w:szCs w:val="20"/>
          <w:color w:val="auto"/>
        </w:rPr>
      </w:pPr>
    </w:p>
    <w:p>
      <w:pPr>
        <w:jc w:val="both"/>
        <w:ind w:left="640"/>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In 2020, the Company acquired Vaporsens, which specializes in nanofiber chemical sensing. These three non-automotive segments are combined into the "Other" segment as shown below. In first quarter of 2021, the Company acquired Guardian, which is combined in the Automotive Segment below. Further information in regards to the Guardian transaction is included in </w:t>
      </w:r>
      <w:hyperlink w:anchor="page21">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w:t>
      </w:r>
    </w:p>
    <w:p>
      <w:pPr>
        <w:spacing w:after="0" w:line="2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308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3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06"/>
        </w:trPr>
        <w:tc>
          <w:tcPr>
            <w:tcW w:w="3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420,622,653</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222,067,846</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896,240,089</w:t>
            </w:r>
          </w:p>
        </w:tc>
        <w:tc>
          <w:tcPr>
            <w:tcW w:w="4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661,923,434</w:t>
            </w:r>
          </w:p>
        </w:tc>
      </w:tr>
      <w:tr>
        <w:trPr>
          <w:trHeight w:val="226"/>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7,382,373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7,857,710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15,489,776</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21,763,847</w:t>
            </w:r>
          </w:p>
        </w:tc>
      </w:tr>
      <w:tr>
        <w:trPr>
          <w:trHeight w:val="220"/>
        </w:trPr>
        <w:tc>
          <w:tcPr>
            <w:tcW w:w="336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428,005,026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229,925,556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911,729,865</w:t>
            </w:r>
          </w:p>
        </w:tc>
        <w:tc>
          <w:tcPr>
            <w:tcW w:w="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683,687,281</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3"/>
        </w:trPr>
        <w:tc>
          <w:tcPr>
            <w:tcW w:w="336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101,790,310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(6,054,235)</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236,458,363</w:t>
            </w:r>
          </w:p>
        </w:tc>
        <w:tc>
          <w:tcPr>
            <w:tcW w:w="4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94,721,308</w:t>
            </w:r>
          </w:p>
        </w:tc>
      </w:tr>
      <w:tr>
        <w:trPr>
          <w:trHeight w:val="226"/>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(2,800,041)</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3,567,602</w:t>
            </w:r>
          </w:p>
        </w:tc>
      </w:tr>
      <w:tr>
        <w:trPr>
          <w:trHeight w:val="220"/>
        </w:trPr>
        <w:tc>
          <w:tcPr>
            <w:tcW w:w="336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99,924,621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(6,738,256)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233,658,322</w:t>
            </w:r>
          </w:p>
        </w:tc>
        <w:tc>
          <w:tcPr>
            <w:tcW w:w="4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98,288,910</w:t>
            </w:r>
          </w:p>
        </w:tc>
      </w:tr>
      <w:tr>
        <w:trPr>
          <w:trHeight w:val="20"/>
        </w:trPr>
        <w:tc>
          <w:tcPr>
            <w:tcW w:w="3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 w:hanging="514"/>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2"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effective tax rate was 15.7% in the six months ended June 30, 2021, consistent with the effective tax rate of 15.7% for the same period in 2020.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235" w:lineRule="exact"/>
        <w:rPr>
          <w:sz w:val="20"/>
          <w:szCs w:val="20"/>
          <w:color w:val="auto"/>
        </w:rPr>
      </w:pPr>
    </w:p>
    <w:p>
      <w:pPr>
        <w:ind w:left="520" w:hanging="514"/>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Company’s Automotive revenue and Other Products revenue disaggregated by geographical location for</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Automotive Products for the three and six month periods ended June 30,2021 and June 30, 2020:</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8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3000" w:type="dxa"/>
            <w:vAlign w:val="bottom"/>
          </w:tcPr>
          <w:p>
            <w:pPr>
              <w:ind w:left="120"/>
              <w:spacing w:after="0"/>
              <w:rPr>
                <w:sz w:val="20"/>
                <w:szCs w:val="20"/>
                <w:color w:val="auto"/>
              </w:rPr>
            </w:pPr>
            <w:r>
              <w:rPr>
                <w:rFonts w:ascii="Arial" w:cs="Arial" w:eastAsia="Arial" w:hAnsi="Arial"/>
                <w:sz w:val="18"/>
                <w:szCs w:val="18"/>
                <w:color w:val="auto"/>
              </w:rPr>
              <w:t>U.S.</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135,857,058</w:t>
            </w: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55,849,461</w:t>
            </w:r>
          </w:p>
        </w:tc>
        <w:tc>
          <w:tcPr>
            <w:tcW w:w="14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282,282,375</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191,431,379</w:t>
            </w:r>
          </w:p>
        </w:tc>
      </w:tr>
      <w:tr>
        <w:trPr>
          <w:trHeight w:val="22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58,935,672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23,866,009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128,350,856</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96,651,733</w:t>
            </w:r>
          </w:p>
        </w:tc>
      </w:tr>
      <w:tr>
        <w:trPr>
          <w:trHeight w:val="225"/>
        </w:trPr>
        <w:tc>
          <w:tcPr>
            <w:tcW w:w="3000" w:type="dxa"/>
            <w:vAlign w:val="bottom"/>
          </w:tcPr>
          <w:p>
            <w:pPr>
              <w:ind w:left="120"/>
              <w:spacing w:after="0"/>
              <w:rPr>
                <w:sz w:val="20"/>
                <w:szCs w:val="20"/>
                <w:color w:val="auto"/>
              </w:rPr>
            </w:pPr>
            <w:r>
              <w:rPr>
                <w:rFonts w:ascii="Arial" w:cs="Arial" w:eastAsia="Arial" w:hAnsi="Arial"/>
                <w:sz w:val="18"/>
                <w:szCs w:val="18"/>
                <w:color w:val="auto"/>
              </w:rPr>
              <w:t>Japan</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54,160,515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37,333,947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108,064,110</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88,470,880</w:t>
            </w:r>
          </w:p>
        </w:tc>
      </w:tr>
      <w:tr>
        <w:trPr>
          <w:trHeight w:val="22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28,589,143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13,589,601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60,335,131</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59,540,082</w:t>
            </w:r>
          </w:p>
        </w:tc>
      </w:tr>
      <w:tr>
        <w:trPr>
          <w:trHeight w:val="225"/>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143,080,265</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91,428,828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317,207,617</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225,829,360</w:t>
            </w:r>
          </w:p>
        </w:tc>
      </w:tr>
      <w:tr>
        <w:trPr>
          <w:trHeight w:val="22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420,622,653</w:t>
            </w: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222,067,846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896,240,089</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661,923,434</w:t>
            </w:r>
          </w:p>
        </w:tc>
      </w:tr>
      <w:tr>
        <w:trPr>
          <w:trHeight w:val="225"/>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7,382,373</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7,857,710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15,489,776</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21,763,847</w:t>
            </w:r>
          </w:p>
        </w:tc>
      </w:tr>
      <w:tr>
        <w:trPr>
          <w:trHeight w:val="24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428,005,026</w:t>
            </w: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229,925,556</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911,729,865</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683,687,281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35" w:lineRule="exact"/>
        <w:rPr>
          <w:sz w:val="20"/>
          <w:szCs w:val="20"/>
          <w:color w:val="auto"/>
        </w:rPr>
      </w:pPr>
    </w:p>
    <w:p>
      <w:pPr>
        <w:ind w:left="640" w:right="100"/>
        <w:spacing w:after="0" w:line="252"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six month periods ended June 30, 2021 and June 30, 2020:</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8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390,074,655</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210,600,540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825,581,585</w:t>
            </w:r>
          </w:p>
        </w:tc>
        <w:tc>
          <w:tcPr>
            <w:tcW w:w="3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611,685,854</w:t>
            </w:r>
          </w:p>
        </w:tc>
      </w:tr>
      <w:tr>
        <w:trPr>
          <w:trHeight w:val="226"/>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30,547,998</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11,467,306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70,658,504</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50,237,580</w:t>
            </w:r>
          </w:p>
        </w:tc>
      </w:tr>
      <w:tr>
        <w:trPr>
          <w:trHeight w:val="220"/>
        </w:trPr>
        <w:tc>
          <w:tcPr>
            <w:tcW w:w="382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420,622,653</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222,067,846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896,240,089</w:t>
            </w: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661,923,434</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3"/>
        </w:trPr>
        <w:tc>
          <w:tcPr>
            <w:tcW w:w="3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6,319,662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12,123,820</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11,006,291</w:t>
            </w: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Windows Products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1,062,711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3,020,170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3,365,956</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10,757,557</w:t>
            </w:r>
          </w:p>
        </w:tc>
      </w:tr>
      <w:tr>
        <w:trPr>
          <w:trHeight w:val="24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7,382,373</w:t>
            </w:r>
          </w:p>
        </w:tc>
        <w:tc>
          <w:tcPr>
            <w:tcW w:w="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7,857,710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15,489,776</w:t>
            </w:r>
          </w:p>
        </w:tc>
        <w:tc>
          <w:tcPr>
            <w:tcW w:w="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21,763,848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50800</wp:posOffset>
            </wp:positionV>
            <wp:extent cx="6416675" cy="143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6675" cy="143510"/>
                    </a:xfrm>
                    <a:prstGeom prst="rect">
                      <a:avLst/>
                    </a:prstGeom>
                    <a:noFill/>
                  </pic:spPr>
                </pic:pic>
              </a:graphicData>
            </a:graphic>
          </wp:anchor>
        </w:drawing>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 w:hanging="514"/>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w:t>
      </w:r>
    </w:p>
    <w:p>
      <w:pPr>
        <w:spacing w:after="0" w:line="245"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June 30, 2021 was 2 years, with a weighted average discount rate of 1.1%.</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lease payments for operating leases as of June 30, 2021 were as follows: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-101600</wp:posOffset>
            </wp:positionV>
            <wp:extent cx="6661785" cy="126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1785" cy="12636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30, 2021)</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774,897</w:t>
            </w:r>
          </w:p>
        </w:tc>
        <w:tc>
          <w:tcPr>
            <w:tcW w:w="20" w:type="dxa"/>
            <w:vAlign w:val="bottom"/>
          </w:tcPr>
          <w:p>
            <w:pPr>
              <w:spacing w:after="0"/>
              <w:rPr>
                <w:sz w:val="19"/>
                <w:szCs w:val="19"/>
                <w:color w:val="auto"/>
              </w:rPr>
            </w:pPr>
          </w:p>
        </w:tc>
      </w:tr>
      <w:tr>
        <w:trPr>
          <w:trHeight w:val="225"/>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1,046,545</w:t>
            </w:r>
          </w:p>
        </w:tc>
        <w:tc>
          <w:tcPr>
            <w:tcW w:w="2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430,533</w:t>
            </w:r>
          </w:p>
        </w:tc>
        <w:tc>
          <w:tcPr>
            <w:tcW w:w="20" w:type="dxa"/>
            <w:vAlign w:val="bottom"/>
          </w:tcPr>
          <w:p>
            <w:pPr>
              <w:spacing w:after="0"/>
              <w:rPr>
                <w:sz w:val="19"/>
                <w:szCs w:val="19"/>
                <w:color w:val="auto"/>
              </w:rPr>
            </w:pPr>
          </w:p>
        </w:tc>
      </w:tr>
      <w:tr>
        <w:trPr>
          <w:trHeight w:val="225"/>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38,075</w:t>
            </w:r>
          </w:p>
        </w:tc>
        <w:tc>
          <w:tcPr>
            <w:tcW w:w="2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20" w:type="dxa"/>
            <w:vAlign w:val="bottom"/>
          </w:tcPr>
          <w:p>
            <w:pPr>
              <w:spacing w:after="0"/>
              <w:rPr>
                <w:sz w:val="19"/>
                <w:szCs w:val="19"/>
                <w:color w:val="auto"/>
              </w:rPr>
            </w:pPr>
          </w:p>
        </w:tc>
      </w:tr>
      <w:tr>
        <w:trPr>
          <w:trHeight w:val="225"/>
        </w:trPr>
        <w:tc>
          <w:tcPr>
            <w:tcW w:w="240" w:type="dxa"/>
            <w:vAlign w:val="bottom"/>
          </w:tcPr>
          <w:p>
            <w:pPr>
              <w:spacing w:after="0"/>
              <w:rPr>
                <w:sz w:val="19"/>
                <w:szCs w:val="19"/>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r>
      <w:tr>
        <w:trPr>
          <w:trHeight w:val="220"/>
        </w:trPr>
        <w:tc>
          <w:tcPr>
            <w:tcW w:w="2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2,296,546</w:t>
            </w:r>
          </w:p>
        </w:tc>
        <w:tc>
          <w:tcPr>
            <w:tcW w:w="20" w:type="dxa"/>
            <w:vAlign w:val="bottom"/>
          </w:tcPr>
          <w:p>
            <w:pPr>
              <w:spacing w:after="0"/>
              <w:rPr>
                <w:sz w:val="19"/>
                <w:szCs w:val="19"/>
                <w:color w:val="auto"/>
              </w:rPr>
            </w:pPr>
          </w:p>
        </w:tc>
      </w:tr>
      <w:tr>
        <w:trPr>
          <w:trHeight w:val="225"/>
        </w:trPr>
        <w:tc>
          <w:tcPr>
            <w:tcW w:w="240" w:type="dxa"/>
            <w:vAlign w:val="bottom"/>
          </w:tcPr>
          <w:p>
            <w:pPr>
              <w:spacing w:after="0"/>
              <w:rPr>
                <w:sz w:val="19"/>
                <w:szCs w:val="19"/>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(12,135)</w:t>
            </w:r>
          </w:p>
        </w:tc>
        <w:tc>
          <w:tcPr>
            <w:tcW w:w="2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2,284,411</w:t>
            </w:r>
          </w:p>
        </w:tc>
        <w:tc>
          <w:tcPr>
            <w:tcW w:w="20" w:type="dxa"/>
            <w:vAlign w:val="bottom"/>
          </w:tcPr>
          <w:p>
            <w:pPr>
              <w:spacing w:after="0"/>
              <w:rPr>
                <w:sz w:val="19"/>
                <w:szCs w:val="19"/>
                <w:color w:val="auto"/>
              </w:rPr>
            </w:pPr>
          </w:p>
        </w:tc>
      </w:tr>
      <w:tr>
        <w:trPr>
          <w:trHeight w:val="353"/>
        </w:trPr>
        <w:tc>
          <w:tcPr>
            <w:tcW w:w="80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8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June 30, 2021</w:t>
            </w: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r>
      <w:tr>
        <w:trPr>
          <w:trHeight w:val="246"/>
        </w:trPr>
        <w:tc>
          <w:tcPr>
            <w:tcW w:w="24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gridSpan w:val="2"/>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1,384,444</w:t>
            </w:r>
          </w:p>
        </w:tc>
        <w:tc>
          <w:tcPr>
            <w:tcW w:w="20" w:type="dxa"/>
            <w:vAlign w:val="bottom"/>
            <w:shd w:val="clear" w:color="auto" w:fill="CCEEFF"/>
          </w:tcPr>
          <w:p>
            <w:pPr>
              <w:spacing w:after="0"/>
              <w:rPr>
                <w:sz w:val="19"/>
                <w:szCs w:val="19"/>
                <w:color w:val="auto"/>
              </w:rPr>
            </w:pP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899,967</w:t>
            </w:r>
          </w:p>
        </w:tc>
        <w:tc>
          <w:tcPr>
            <w:tcW w:w="20" w:type="dxa"/>
            <w:vAlign w:val="bottom"/>
            <w:tcBorders>
              <w:bottom w:val="single" w:sz="8" w:color="auto"/>
            </w:tcBorders>
          </w:tcPr>
          <w:p>
            <w:pPr>
              <w:spacing w:after="0"/>
              <w:rPr>
                <w:sz w:val="19"/>
                <w:szCs w:val="19"/>
                <w:color w:val="auto"/>
              </w:rPr>
            </w:pPr>
          </w:p>
        </w:tc>
      </w:tr>
      <w:tr>
        <w:trPr>
          <w:trHeight w:val="219"/>
        </w:trPr>
        <w:tc>
          <w:tcPr>
            <w:tcW w:w="240" w:type="dxa"/>
            <w:vAlign w:val="bottom"/>
            <w:shd w:val="clear" w:color="auto" w:fill="CCEEFF"/>
          </w:tcPr>
          <w:p>
            <w:pPr>
              <w:spacing w:after="0"/>
              <w:rPr>
                <w:sz w:val="19"/>
                <w:szCs w:val="19"/>
                <w:color w:val="auto"/>
              </w:rPr>
            </w:pP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2,284,411</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hanging="494"/>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6"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On September 18, 2020, the Company acquired the stock of Air-Craftglass, a Belgian company specializing in research and development of transparent products for the aviation industry, for an initial payment of $1.1 million. The Company funded the acquisition with a cash payment from cash on hand. The transaction also included contingent consideration based on future revenues of Air-Craftglass. The Company is still in the process of verifying data and finalizing information related to the valuation and recording of identifiable intangible assets, deferred taxes, net working capital, contingent consideration liability, and the resulting effects on the amount of recorded goodwill. The Company expects to finalize these matters within the measurement period, which will remain open through the third quarter of 2021.</w:t>
      </w:r>
    </w:p>
    <w:p>
      <w:pPr>
        <w:spacing w:after="0" w:line="23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 xml:space="preserve">Air-Craftglass is now a 100% owned subsidiary of the Company, and is classified within the “Other” segment. The assets acquired and liabilities assumed as a part of this stock purchase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Air-Craftglass which were included in the Company’s condensed consolidated statements of income and comprehensive income for the year to date period ended June 30, 2021.</w:t>
      </w:r>
    </w:p>
    <w:p>
      <w:pPr>
        <w:spacing w:after="0" w:line="234"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On December 14, 2020, the Company acquired the stock of Argil for $3.7 million, which was in addition to the previous $4.2 million cash equity investment by the Company in Argil. The Company funded the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 w:name="page22"/>
    <w:bookmarkEnd w:id="2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acquisition with a cash payment from cash on hand. Argil specializes in electrochromic technology and research and development, which the Company anticipates using to complement and expand its product offerings and leverage for manufacturing efficiencies. The Company is still in the process of verifying data and finalizing information related to the valuation and recording of identifiable intangible assets, deferred taxes, net working capital, and the resulting effects on the amount of recorded goodwill. The Company expects to finalize these matters within the measurement period, which is currently expected to remain open through the fourth quarter of 2021.</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Argil is now a 100% owned subsidiary of the Company, and has been classified within the “Automotive” segment. The assets acquired and liabilities assumed as part of this stock purchase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Argil which were included in the Company’s condensed consolidated statement of income and comprehensive income for the year to date period ended June 30, 2021.</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3, 2021 the Company acquired Guardian for approximately $12.0 million. Guardian is an Israeli research and development company that specializes in in-cabin sensing technologies for the automotive industry. The Company funded the acquisition with a cash payment from cash on hand. The Company is still in the process of verifying data and finalizing information related to the valuation and recording of identifiable intangible assets, deferred taxes, net working capital, and the resulting effects on the amount of recorded goodwill. The Company expects to finalize these matters within the measurement period, which is currently expected to remain open through the fourth quarter of 2021.</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Guardian is now a 100% owned subsidiary of the Company, and is classified within the Automotive segment.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Guardian which were included in the Company’s condensed consolidated statement of income and comprehensive income for the year to date period ended June 30, 2021.</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 March 3,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Fair Value</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Personal Property</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R&amp;D</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10,945,367</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Asset</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1,049,073</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Assets Acquired</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12,041,440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June 30, 2021, the Company has incurred acquisition-related costs of approximately $350,000, which has been expensed as incurred in the "Selling, general &amp; administrative" section of its Condensed Consolidated Income Statement.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8"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SECOND QUARTER 2021 VERSUS SECOND QUARTER 2020</w:t>
      </w:r>
    </w:p>
    <w:p>
      <w:pPr>
        <w:spacing w:after="0" w:line="143" w:lineRule="exact"/>
        <w:rPr>
          <w:sz w:val="20"/>
          <w:szCs w:val="20"/>
          <w:color w:val="auto"/>
        </w:rPr>
      </w:pPr>
    </w:p>
    <w:p>
      <w:pPr>
        <w:jc w:val="both"/>
        <w:ind w:left="640"/>
        <w:spacing w:after="0" w:line="273"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2021 increased by $198.1 million or 86%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06" w:lineRule="exact"/>
        <w:rPr>
          <w:sz w:val="20"/>
          <w:szCs w:val="20"/>
          <w:color w:val="auto"/>
        </w:rPr>
      </w:pPr>
    </w:p>
    <w:p>
      <w:pPr>
        <w:jc w:val="both"/>
        <w:ind w:left="640"/>
        <w:spacing w:after="0" w:line="225" w:lineRule="auto"/>
        <w:rPr>
          <w:sz w:val="20"/>
          <w:szCs w:val="20"/>
          <w:color w:val="auto"/>
        </w:rPr>
      </w:pPr>
      <w:r>
        <w:rPr>
          <w:rFonts w:ascii="Arial" w:cs="Arial" w:eastAsia="Arial" w:hAnsi="Arial"/>
          <w:sz w:val="18"/>
          <w:szCs w:val="18"/>
          <w:color w:val="auto"/>
        </w:rPr>
        <w:t>Automotive net sales for the second quarter of 2021 were $420.6 million, compared with automotive net sales of $ 222.1 million in the second quarter of 2020. Auto-dimming mirror unit shipments grew 98% during the quarter, highlighted by 140% growth in exterior-mirror unit shipments, in each case compared to the second quarter of 2020.</w:t>
      </w:r>
    </w:p>
    <w:p>
      <w:pPr>
        <w:spacing w:after="0" w:line="229" w:lineRule="exact"/>
        <w:rPr>
          <w:sz w:val="20"/>
          <w:szCs w:val="20"/>
          <w:color w:val="auto"/>
        </w:rPr>
      </w:pPr>
    </w:p>
    <w:p>
      <w:pPr>
        <w:ind w:left="640" w:right="60"/>
        <w:spacing w:after="0" w:line="25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2021, and 2020 </w:t>
      </w:r>
      <w:r>
        <w:rPr>
          <w:rFonts w:ascii="Arial" w:cs="Arial" w:eastAsia="Arial" w:hAnsi="Arial"/>
          <w:sz w:val="18"/>
          <w:szCs w:val="18"/>
          <w:i w:val="1"/>
          <w:iCs w:val="1"/>
          <w:color w:val="auto"/>
        </w:rPr>
        <w:t>(in thousands).</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2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 June 30,</w:t>
            </w:r>
          </w:p>
        </w:tc>
      </w:tr>
      <w:tr>
        <w:trPr>
          <w:trHeight w:val="179"/>
        </w:trPr>
        <w:tc>
          <w:tcPr>
            <w:tcW w:w="38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138%</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3,946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2,806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41%</w:t>
            </w: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9"/>
              </w:rPr>
              <w:t>229%</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2,990</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1,689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77%</w:t>
            </w:r>
          </w:p>
        </w:tc>
      </w:tr>
      <w:tr>
        <w:trPr>
          <w:trHeight w:val="22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171%</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6,936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4,495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r>
      <w:tr>
        <w:trPr>
          <w:trHeight w:val="266"/>
        </w:trPr>
        <w:tc>
          <w:tcPr>
            <w:tcW w:w="3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9"/>
              </w:rPr>
              <w:t>65%</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10,590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7,948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33%</w:t>
            </w: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9"/>
              </w:rPr>
              <w:t>103%</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4,676</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3,211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46%</w:t>
            </w:r>
          </w:p>
        </w:tc>
      </w:tr>
      <w:tr>
        <w:trPr>
          <w:trHeight w:val="220"/>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9"/>
              </w:rPr>
              <w:t>76%</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15,266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11,159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37%</w:t>
            </w:r>
          </w:p>
        </w:tc>
      </w:tr>
      <w:tr>
        <w:trPr>
          <w:trHeight w:val="266"/>
        </w:trPr>
        <w:tc>
          <w:tcPr>
            <w:tcW w:w="3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9"/>
              </w:rPr>
              <w:t>81%</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14,535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10,754</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35%</w:t>
            </w: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9"/>
              </w:rPr>
              <w:t>140%</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7,666</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4,900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56%</w:t>
            </w:r>
          </w:p>
        </w:tc>
      </w:tr>
      <w:tr>
        <w:trPr>
          <w:trHeight w:val="245"/>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Auto-Dimming Mirror Units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right="73"/>
              <w:spacing w:after="0"/>
              <w:rPr>
                <w:sz w:val="20"/>
                <w:szCs w:val="20"/>
                <w:color w:val="auto"/>
              </w:rPr>
            </w:pPr>
            <w:r>
              <w:rPr>
                <w:rFonts w:ascii="Arial" w:cs="Arial" w:eastAsia="Arial" w:hAnsi="Arial"/>
                <w:sz w:val="18"/>
                <w:szCs w:val="18"/>
                <w:color w:val="auto"/>
                <w:w w:val="99"/>
              </w:rPr>
              <w:t>98%</w:t>
            </w: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22,202</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15,654</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63"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Other net sales were $7.4 million in the second quarter of 2021, a decrease of 6%, compared to $7.9 million in the second quarter of 2020. This decrease is in large part attributable to a 65% quarter over quarter decline in variable dimmable aircraft windows sales, which decreased to $1.1 million in the second quarter of 2021 from $3.0 million in the second quarter of 2020. Fire protection sales increased by 31% in the second quarter of 2021 to $6.3 million, compared to $4.8 million in the second quarter of 2020.</w:t>
      </w:r>
    </w:p>
    <w:p>
      <w:pPr>
        <w:spacing w:after="0" w:line="203" w:lineRule="exact"/>
        <w:rPr>
          <w:sz w:val="20"/>
          <w:szCs w:val="20"/>
          <w:color w:val="auto"/>
        </w:rPr>
      </w:pPr>
    </w:p>
    <w:p>
      <w:pPr>
        <w:jc w:val="both"/>
        <w:ind w:left="640"/>
        <w:spacing w:after="0" w:line="221"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64.6% in the second quarter of 2021 versus 80.9%</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2020. Compared to the COVID-19 impacted second quarter of 2020, gross margins improved due to the higher sales levels, significantly better overhead leverage, the structural cost savings put in place during 2020, and positive product mix on a quarter over quarter basis. On a quarter over quarter basis, the fixed overhead leverage had a positive impact of approximately 1,000 basis points (10 percentage points) on the gross margin, and the savings as a result of structural cost reductions that took place in the second quarter of 2020 had a positive impact of approximately 200 - 300 basis points on gross margin. The above-referenced positive product mix had a positive impact of approximately 100 - 150 basis points on gross margin on a quarter over quarter basis. These positive impacts were partially offset by annual customer price reductions, which had a negative impact of approximately 150 basis points on gross margin on a quarter over quarter basis.</w:t>
      </w:r>
    </w:p>
    <w:p>
      <w:pPr>
        <w:spacing w:after="0" w:line="213"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second quarter of 2021 increased by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second quarter of 2020.</w:t>
      </w:r>
    </w:p>
    <w:p>
      <w:pPr>
        <w:spacing w:after="0"/>
        <w:rPr>
          <w:sz w:val="20"/>
          <w:szCs w:val="20"/>
          <w:color w:val="auto"/>
        </w:rPr>
      </w:pPr>
      <w:r>
        <w:rPr>
          <w:rFonts w:ascii="Arial" w:cs="Arial" w:eastAsia="Arial" w:hAnsi="Arial"/>
          <w:sz w:val="18"/>
          <w:szCs w:val="18"/>
          <w:color w:val="FAAC16"/>
        </w:rPr>
        <w:t>.</w:t>
      </w:r>
    </w:p>
    <w:p>
      <w:pPr>
        <w:spacing w:after="0" w:line="6"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Selling, general and administrative ("S, G &amp; A") expenses increased by 4% or $0.9 million for the second quarter of 2021 compared to the second quarter of 2020. S, G &amp; A expenses were 5% of net sales in the second quarter of 2021, compared to 9% of net sales in the second quarter of 2020. S, G, &amp; A expenses increased on a quarter over quarter basis primarily due to increases in wages and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3" w:name="page24"/>
    <w:bookmarkEnd w:id="23"/>
    <w:p>
      <w:pPr>
        <w:jc w:val="both"/>
        <w:spacing w:after="0" w:line="252" w:lineRule="auto"/>
        <w:rPr>
          <w:sz w:val="20"/>
          <w:szCs w:val="20"/>
          <w:color w:val="auto"/>
        </w:rPr>
      </w:pPr>
      <w:r>
        <w:rPr>
          <w:rFonts w:ascii="Arial" w:cs="Arial" w:eastAsia="Arial" w:hAnsi="Arial"/>
          <w:sz w:val="18"/>
          <w:szCs w:val="18"/>
          <w:color w:val="auto"/>
        </w:rPr>
        <w:t>Total operating expenses were $51.7 million in the second quarter of 2021, which increased by 2% or $1.0 million, from $50.7 million in the second quarter of 2020.</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second quarter of 2021 decreased by $1.0 million when compared with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15.0% for, and an income tax expense of $15.3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2021 compared to an income tax benefit of $1.5 million for the same quarter of 2020.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second quarter of 2021 was $86.5 million, compared to a net loss of $2.4 million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increase in net income was driven by the quarter over quarter increase in sales, gross margins, and operating profits.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u w:val="single" w:color="auto"/>
          <w:color w:val="auto"/>
        </w:rPr>
        <w:t>Earnings (Loss)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second quarter of 2021 of $0.36, compared to a loss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$0.01 for the second quarter of 2020. The increase in earnings per diluted share was the result of higher net income compared to the second quarter of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2021 VERSUS SIX MONTHS ENDED JUNE 30, 2020</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2021 increased by $228.0 million or 33%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Automotive net sales for the first six months of 2021 were $896.2 million, up 35% compared with automotive net sales of $661.9 million for the first six months of 2020, driven by a 42% period over period increase in automotive mirror unit shipments. North American automotive mirror shipments in the six months ended June 30, 2021 increased 54% to 6.9 million units compared with the same period in 2020.</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63.3% for the first six months of 2021, versus</w:t>
      </w:r>
      <w:r>
        <w:rPr>
          <w:rFonts w:ascii="Arial" w:cs="Arial" w:eastAsia="Arial" w:hAnsi="Arial"/>
          <w:sz w:val="18"/>
          <w:szCs w:val="18"/>
          <w:i w:val="1"/>
          <w:iCs w:val="1"/>
          <w:color w:val="auto"/>
        </w:rPr>
        <w:t xml:space="preserve"> </w:t>
      </w:r>
      <w:r>
        <w:rPr>
          <w:rFonts w:ascii="Arial" w:cs="Arial" w:eastAsia="Arial" w:hAnsi="Arial"/>
          <w:sz w:val="18"/>
          <w:szCs w:val="18"/>
          <w:color w:val="auto"/>
        </w:rPr>
        <w:t>70.7% in the same period last year. The period over period increase in the gross profit margin was primarily the result of the Company's better leverage of fixed overhead, positive structural cost savings put in place during the second quarter of 2020, and purchasing cost reductions. These improvements in gross margin were partially offset by annual customer price reductions. On a period over period basis, better fixed overhead leverage had a positive impact of approximately 400 - 450 basis points on gross margin, and the savings as a result of structural cost reductions that took place in the second quarter of 2020 had a positive impact of approximately 200 - 250 basis points on gross margin. Purchasing cost reductions had a positive impact of approximately 50 - 100 basis points on gross margin, each on a period over period basis. These positive impacts were partially offset by annual customer price reductions, which had a negative impact of approximately 150 - 200 basis points on gross margin on a period over period basis.</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for the six months ended June 30, 2021 decreased 3% or $1.9 million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The decrease in E, R &amp; D was primarily due reductions in wages and discretionary spending stemming from the structural cost reductions put in place in the second quarter of 2020.</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 G &amp; A for the first six months of 2021 increased 2.0% or $0.9 million when compared with the same period last year. In the first six months of 2021, the Company recognized S, G &amp; A savings from the structural cost savings put in place in the second quarter of 2020, but those savings were mostly offset by increases in professional fees and outbound freight costs. A lack of international travel and the cancellation of all industry-based trade shows due to the COVID-19 pandemic also impacted operating expenses.</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six months ended June 30, 2021 was $3.4 million compared with $5.1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15.7% for the six months ended June 30, 2021 compared to 15.7%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36"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2021 increased by $112.8 million or 129% to $200.0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$87.1 million in the same period last year. The increase in net income was driven by the period over period increase in sales, improved product mix, higher gross margins and the continued operating leverage as a result of the structural cost savings that were put in place during the second quarter of 2020.</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six months ended June 30, 2021 of $0.82 which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diluted share of $0.35 for the six months ended June 30, 2020. The increase in earnings per share is the result of the higher net income and a lower diluted share count when compared to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0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cash and cash equivalents as of June 30, 2021 were $353.0 million, which decreased $70.3 million compared to $423.4 million as of December 31, 2020. The decrease was primarily due to share repurchases, dividend payments and capital expenditures, which were partially offset by cash flows from operations, during the six months ended June 30, 2021.</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Short-term investments as of June 30, 2021 were $13.8 million, down from $27.2 million as of December 31, 2020, and long-term investments were $193.4 million as of June 30, 2021, compared to $162.0 million as of December 31, 2020. Changes in the investment balances were primarily driven by maturities of investments and additional investment purchases during the six months ended June 30, 2021.</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Accounts receivable as of June 30, 2021 decreased approximately $50.8 million compared to December 31, 2020, primarily due to the timing of sales during the most recently completed six months. As of June 30, 2021, all of the Company's material tier one and OEM customers continue to be in good standing.</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as of June 30, 2021 were $263.9 million, compared to $226.3 million as of December 31, 2020, primarily due to increases in raw materials and finished goods.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Accounts payable as of June 30, 2021 increased approximately $16.5 million to $101.3 million when compared to December 31, 2020, primarily driven by month end payment timing.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Accrued liabilities as of June 30, 2021 increased approximately $2.2 million compared to December 31, 2020, primarily due to an increase in accrued salaries and wages.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from operating activities for the six months ended June 30, 2021 increased $61.8 million to $252.2 million, compared with $190.5 million during the same six month period last year, primarily due to increased net income and changes in working capital.</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Capital expenditures for the six months ended June 30, 2021 were approximately $31.4 million, compared with approximately $28.8 million for the same six month period last year.</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54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 2020</w:t>
            </w:r>
          </w:p>
        </w:tc>
      </w:tr>
      <w:tr>
        <w:trPr>
          <w:trHeight w:val="21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728,179,559</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801,593,707</w:t>
            </w: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193,418,570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162,028,068</w:t>
            </w: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921,598,129</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963,621,775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At a recent meeting, the Company's Board of Directors authorized the repurchase of an additional 25,000,000 shares under the plan. During the six months ended June 30, 2021, the Company repurchased 6,166,196 shares. The Company has 28,253,070 shares remaining under the plan as of June 30, 2021, as is further detailed in </w:t>
      </w:r>
      <w:hyperlink w:anchor="page37">
        <w:r>
          <w:rPr>
            <w:rFonts w:ascii="Arial" w:cs="Arial" w:eastAsia="Arial" w:hAnsi="Arial"/>
            <w:sz w:val="18"/>
            <w:szCs w:val="18"/>
            <w:u w:val="single" w:color="auto"/>
            <w:color w:val="auto"/>
          </w:rPr>
          <w:t xml:space="preserve">Part II, Item 2 </w:t>
        </w:r>
      </w:hyperlink>
      <w:r>
        <w:rPr>
          <w:rFonts w:ascii="Arial" w:cs="Arial" w:eastAsia="Arial" w:hAnsi="Arial"/>
          <w:sz w:val="18"/>
          <w:szCs w:val="18"/>
          <w:color w:val="auto"/>
        </w:rPr>
        <w:t>of this Form 10-Q.</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6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54"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For the second quarter of 2021, the Company reported net sales of $428.0 million, which was an increase of 86% compared to net sales of $229.9 million in the second quarter of 2020. On a quarter-over-quarter basis, global light vehicle production in the Company's primary regions of Europe, North America, Japan/Korea and China increased 36% when compared to the COVID-19 impacted second quarter of 2020. However, when compared to the mid-April 2021 IHS Markit light vehicle production forecast in the Company's primary regions, actual light vehicle production in the second quarter of 2021 declined approximately 1.1 million units, or 7% as a result of industry-wide part shortages and global supply chain constraints. The largest deviation from the forecasted production within the quarter came in North America, which saw an actual light vehicle production decline in excess of 15% compared to the mid-April 2021 forecast. The reduction in light vehicle production compared to forecast was led by certain OEM customers that deploy high levels of the Company's product content, including both interior and exterior auto-dimming mirrors and other electronic features such as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HomeLink</w:t>
      </w:r>
      <w:r>
        <w:rPr>
          <w:rFonts w:ascii="Arial" w:cs="Arial" w:eastAsia="Arial" w:hAnsi="Arial"/>
          <w:sz w:val="22"/>
          <w:szCs w:val="22"/>
          <w:color w:val="auto"/>
          <w:vertAlign w:val="superscript"/>
        </w:rPr>
        <w:t>®</w:t>
      </w:r>
      <w:r>
        <w:rPr>
          <w:rFonts w:ascii="Arial" w:cs="Arial" w:eastAsia="Arial" w:hAnsi="Arial"/>
          <w:sz w:val="17"/>
          <w:szCs w:val="17"/>
          <w:color w:val="auto"/>
        </w:rPr>
        <w:t>. In total, the impact from the shortfall in vehicle production compared to forecast, led to an estimated mirror unit shipment reduction of approximately 2 million units versus the Company's beginning of the quarter expectations.</w:t>
      </w:r>
    </w:p>
    <w:p>
      <w:pPr>
        <w:spacing w:after="0" w:line="21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initial forecast for the second quarter was for sales to be one of the largest quarters in the Company's history, but the continual changes in releases and orders resulted in the push out of approximately 2 million units. The unit shipment changes were most severe in North America where the Company's dollar content per vehicle is above the corporate average. When looking forward into the second half of the year and into 2022, the Company believes that the overall demand for vehicles and its products should still provide opportunities for the Company to continue to outperform the underlying market.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2021, the Company had 29 total launches of interior and exterior auto-dimming mirrors and electronic features.</w:t>
      </w:r>
    </w:p>
    <w:p>
      <w:pPr>
        <w:spacing w:after="0"/>
        <w:rPr>
          <w:sz w:val="20"/>
          <w:szCs w:val="20"/>
          <w:color w:val="auto"/>
        </w:rPr>
      </w:pPr>
      <w:r>
        <w:rPr>
          <w:rFonts w:ascii="Arial" w:cs="Arial" w:eastAsia="Arial" w:hAnsi="Arial"/>
          <w:sz w:val="18"/>
          <w:szCs w:val="18"/>
          <w:color w:val="auto"/>
        </w:rPr>
        <w:t>Of these new launches, 45% contained advanced features with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being the primary driver.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6" w:lineRule="exact"/>
        <w:rPr>
          <w:sz w:val="20"/>
          <w:szCs w:val="20"/>
          <w:color w:val="auto"/>
        </w:rPr>
      </w:pPr>
    </w:p>
    <w:p>
      <w:pPr>
        <w:jc w:val="both"/>
        <w:spacing w:after="0" w:line="195" w:lineRule="auto"/>
        <w:rPr>
          <w:sz w:val="20"/>
          <w:szCs w:val="20"/>
          <w:color w:val="auto"/>
        </w:rPr>
      </w:pPr>
      <w:r>
        <w:rPr>
          <w:rFonts w:ascii="Arial" w:cs="Arial" w:eastAsia="Arial" w:hAnsi="Arial"/>
          <w:sz w:val="18"/>
          <w:szCs w:val="18"/>
          <w:color w:val="auto"/>
        </w:rPr>
        <w:t>As of the second quarter of 2021,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nine different automaker customers, which are General Motors, Subaru, Toyota, Nissan, Jaguar Land Rover, Mitsubishi, Aston Martin, Stellantis, and Maserati. As of the end of the second quarter of 2021,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56 nameplates, and is forecasting at least 10 new vehicle nameplate launches for the second half of 2021. The second quarter 2020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Toyota Harrier was the first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launch with Digital Video Recording ("DVR") capability.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Per OEM request, the data is stored to an SD storage card. This integrated solution provides consumers with the features they want, while allowing the OEM to control the integration and execution in the vehicle.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54" w:right="339" w:bottom="1440" w:gutter="0" w:footer="0" w:header="0"/>
        </w:sectPr>
      </w:pPr>
    </w:p>
    <w:bookmarkStart w:id="27" w:name="page28"/>
    <w:bookmarkEnd w:id="27"/>
    <w:p>
      <w:pPr>
        <w:jc w:val="both"/>
        <w:spacing w:after="0" w:line="208" w:lineRule="auto"/>
        <w:rPr>
          <w:sz w:val="20"/>
          <w:szCs w:val="20"/>
          <w:color w:val="auto"/>
        </w:rPr>
      </w:pPr>
      <w:r>
        <w:rPr>
          <w:rFonts w:ascii="Arial" w:cs="Arial" w:eastAsia="Arial" w:hAnsi="Arial"/>
          <w:sz w:val="18"/>
          <w:szCs w:val="18"/>
          <w:color w:val="auto"/>
        </w:rPr>
        <w:t>product road-map for future vehicles. As of the end of the second quarter of 2021 the Company has been awarded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programs with 14 OEMs.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2014, the Alliance of Automobile Manufacturers petitioned the National Highway Traffic Safety Administration ("NHTSA")</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1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13" w:right="339" w:bottom="1440" w:gutter="0" w:footer="0" w:header="0"/>
        </w:sectPr>
      </w:pPr>
    </w:p>
    <w:bookmarkStart w:id="28" w:name="page29"/>
    <w:bookmarkEnd w:id="28"/>
    <w:p>
      <w:pPr>
        <w:jc w:val="both"/>
        <w:spacing w:after="0" w:line="233" w:lineRule="auto"/>
        <w:rPr>
          <w:sz w:val="20"/>
          <w:szCs w:val="20"/>
          <w:color w:val="auto"/>
        </w:rPr>
      </w:pPr>
      <w:r>
        <w:rPr>
          <w:rFonts w:ascii="Arial" w:cs="Arial" w:eastAsia="Arial" w:hAnsi="Arial"/>
          <w:sz w:val="18"/>
          <w:szCs w:val="18"/>
          <w:color w:val="auto"/>
        </w:rPr>
        <w:t>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w:t>
      </w:r>
    </w:p>
    <w:p>
      <w:pPr>
        <w:spacing w:after="0" w:line="3" w:lineRule="exact"/>
        <w:rPr>
          <w:sz w:val="20"/>
          <w:szCs w:val="20"/>
          <w:color w:val="auto"/>
        </w:rPr>
      </w:pPr>
    </w:p>
    <w:p>
      <w:pPr>
        <w:jc w:val="both"/>
        <w:ind w:firstLine="198"/>
        <w:spacing w:after="0" w:line="216" w:lineRule="auto"/>
        <w:rPr>
          <w:sz w:val="20"/>
          <w:szCs w:val="20"/>
          <w:color w:val="auto"/>
        </w:rPr>
      </w:pPr>
      <w:r>
        <w:rPr>
          <w:rFonts w:ascii="Arial" w:cs="Arial" w:eastAsia="Arial" w:hAnsi="Arial"/>
          <w:sz w:val="18"/>
          <w:szCs w:val="18"/>
          <w:color w:val="auto"/>
        </w:rPr>
        <w:t>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 There are multiple bills being discussed in both the U.S. House of Representatives and the U.S. Senate that relate to NCAP.</w:t>
      </w:r>
    </w:p>
    <w:p>
      <w:pPr>
        <w:spacing w:after="0" w:line="22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6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083" w:right="339" w:bottom="1440" w:gutter="0" w:footer="0" w:header="0"/>
        </w:sectPr>
      </w:pPr>
    </w:p>
    <w:bookmarkStart w:id="29" w:name="page30"/>
    <w:bookmarkEnd w:id="29"/>
    <w:p>
      <w:pPr>
        <w:jc w:val="both"/>
        <w:spacing w:after="0" w:line="232" w:lineRule="auto"/>
        <w:rPr>
          <w:sz w:val="20"/>
          <w:szCs w:val="20"/>
          <w:color w:val="auto"/>
        </w:rPr>
      </w:pPr>
      <w:r>
        <w:rPr>
          <w:rFonts w:ascii="Arial" w:cs="Arial" w:eastAsia="Arial" w:hAnsi="Arial"/>
          <w:sz w:val="17"/>
          <w:szCs w:val="17"/>
          <w:color w:val="auto"/>
        </w:rPr>
        <w:t>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2"/>
          <w:szCs w:val="22"/>
          <w:color w:val="auto"/>
          <w:vertAlign w:val="superscript"/>
        </w:rPr>
        <w:t>®</w:t>
      </w:r>
      <w:r>
        <w:rPr>
          <w:rFonts w:ascii="Arial" w:cs="Arial" w:eastAsia="Arial" w:hAnsi="Arial"/>
          <w:sz w:val="17"/>
          <w:szCs w:val="17"/>
          <w:color w:val="auto"/>
        </w:rPr>
        <w:t>, commonly referred to as HomeLink Connect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uses both RF and wireless cloud-based connectivity to deliver complete vehicle-to-home automation.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a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button press communicates with the HomeLink Connect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enabled mirror for home automation that works in conjunction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The Company further continues to work with compatibility partners for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and products. In 2017, the Company began its first volume production shipments of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units on vehicles for the China market.</w:t>
      </w:r>
    </w:p>
    <w:p>
      <w:pPr>
        <w:spacing w:after="0" w:line="17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 January 2017, the Company signed an extension of its agreement, in the ordinary course of business, which enables the Company to offer the Integrated Toll Module system in Canada and Mexico. In September 2019, the Company signed a new agreement with TransCore, in the ordinary course of business, which extended the term of the partnership.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22"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9 platforms, which are: the A4, A5, A6, A7, Q5,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2022 and 2023, as well as the initial launch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its second OEM. The launch is targeted to begin production shipments in the second half of calendar year 2021.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3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083" w:right="339" w:bottom="1440" w:gutter="0" w:footer="0" w:header="0"/>
        </w:sectPr>
      </w:pPr>
    </w:p>
    <w:bookmarkStart w:id="30" w:name="page31"/>
    <w:bookmarkEnd w:id="30"/>
    <w:p>
      <w:pPr>
        <w:jc w:val="both"/>
        <w:spacing w:after="0" w:line="216" w:lineRule="auto"/>
        <w:rPr>
          <w:sz w:val="20"/>
          <w:szCs w:val="20"/>
          <w:color w:val="auto"/>
        </w:rPr>
      </w:pPr>
      <w:r>
        <w:rPr>
          <w:rFonts w:ascii="Arial" w:cs="Arial" w:eastAsia="Arial" w:hAnsi="Arial"/>
          <w:sz w:val="18"/>
          <w:szCs w:val="18"/>
          <w:color w:val="auto"/>
        </w:rPr>
        <w:t>In January 2018, the Company also announced that an agreement had been signed with Yonomi Inc., in the ordinary course of business, to access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home automation app that pairs with the vehicle and allows drivers to operate home automation devices from the vehicle. Drivers of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and will allow users to program their HomeLink® buttons and control cloud-based devices from their vehicles.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an aircraft with production starting in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2021, the Company continues to further develop and work on the intelligent medical lighting system in order to assess system performance and work toward obtaining any necessary approvals.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Automotive revenues represent approximately 98% - 99% of the Company's total revenue, consisting of interior and exterior electrochromic automatic-dimming rearview mirrors and automotive electronics.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76" w:right="3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18"/>
          <w:szCs w:val="18"/>
          <w:color w:val="auto"/>
        </w:rPr>
        <w:t>The Company continues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 and industry-wide parts shortages and global supply constraints.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3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most recent forecasts for light vehicle production for the second half of 2021, and full years 2021 and 2022 are based on the mid-July 2021 IHS Markit light vehicle production forecast for light vehicle production in North America, Europe, Japan/Korea and China. Second half of 2021, and calendar years 2021 and 2022 forecasted light vehicle production volumes are shown below:</w:t>
      </w:r>
    </w:p>
    <w:p>
      <w:pPr>
        <w:jc w:val="center"/>
        <w:ind w:right="3600"/>
        <w:spacing w:after="0" w:line="232" w:lineRule="auto"/>
        <w:rPr>
          <w:sz w:val="20"/>
          <w:szCs w:val="20"/>
          <w:color w:val="auto"/>
        </w:rPr>
      </w:pPr>
      <w:r>
        <w:rPr>
          <w:rFonts w:ascii="Arial" w:cs="Arial" w:eastAsia="Arial" w:hAnsi="Arial"/>
          <w:sz w:val="19"/>
          <w:szCs w:val="19"/>
          <w:b w:val="1"/>
          <w:bCs w:val="1"/>
          <w:color w:val="auto"/>
        </w:rPr>
        <w:t>Light Vehicle Production (per IHS Markit Automotive mid-July light vehicle</w:t>
      </w:r>
    </w:p>
    <w:p>
      <w:pPr>
        <w:jc w:val="center"/>
        <w:ind w:right="3600"/>
        <w:spacing w:after="0"/>
        <w:rPr>
          <w:sz w:val="20"/>
          <w:szCs w:val="20"/>
          <w:color w:val="auto"/>
        </w:rPr>
      </w:pPr>
      <w:r>
        <w:rPr>
          <w:rFonts w:ascii="Arial" w:cs="Arial" w:eastAsia="Arial" w:hAnsi="Arial"/>
          <w:sz w:val="19"/>
          <w:szCs w:val="19"/>
          <w:b w:val="1"/>
          <w:bCs w:val="1"/>
          <w:color w:val="auto"/>
        </w:rPr>
        <w:t>production forecast)</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9"/>
          <w:szCs w:val="19"/>
          <w:b w:val="1"/>
          <w:bCs w:val="1"/>
          <w:i w:val="1"/>
          <w:i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2h</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2h</w:t>
            </w:r>
          </w:p>
        </w:tc>
        <w:tc>
          <w:tcPr>
            <w:tcW w:w="7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Calendar Calendar Calendar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2022 vs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2021 vs</w:t>
            </w:r>
          </w:p>
        </w:tc>
        <w:tc>
          <w:tcPr>
            <w:tcW w:w="0" w:type="dxa"/>
            <w:vAlign w:val="bottom"/>
          </w:tcPr>
          <w:p>
            <w:pPr>
              <w:spacing w:after="0"/>
              <w:rPr>
                <w:sz w:val="1"/>
                <w:szCs w:val="1"/>
                <w:color w:val="auto"/>
              </w:rPr>
            </w:pPr>
          </w:p>
        </w:tc>
      </w:tr>
      <w:tr>
        <w:trPr>
          <w:trHeight w:val="133"/>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5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8"/>
              <w:spacing w:after="0" w:line="133"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Year</w:t>
            </w:r>
          </w:p>
        </w:tc>
        <w:tc>
          <w:tcPr>
            <w:tcW w:w="70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Year</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1340" w:type="dxa"/>
            <w:vAlign w:val="bottom"/>
            <w:vMerge w:val="continue"/>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9"/>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7.83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7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17.03</w:t>
            </w:r>
          </w:p>
        </w:tc>
        <w:tc>
          <w:tcPr>
            <w:tcW w:w="6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14.63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5"/>
        </w:trPr>
        <w:tc>
          <w:tcPr>
            <w:tcW w:w="1340" w:type="dxa"/>
            <w:vAlign w:val="bottom"/>
          </w:tcPr>
          <w:p>
            <w:pPr>
              <w:ind w:left="20"/>
              <w:spacing w:after="0"/>
              <w:rPr>
                <w:sz w:val="20"/>
                <w:szCs w:val="20"/>
                <w:color w:val="auto"/>
              </w:rPr>
            </w:pPr>
            <w:r>
              <w:rPr>
                <w:rFonts w:ascii="Arial" w:cs="Arial" w:eastAsia="Arial" w:hAnsi="Arial"/>
                <w:sz w:val="18"/>
                <w:szCs w:val="18"/>
                <w:color w:val="auto"/>
              </w:rPr>
              <w:t>Europe</w:t>
            </w:r>
          </w:p>
        </w:tc>
        <w:tc>
          <w:tcPr>
            <w:tcW w:w="560" w:type="dxa"/>
            <w:vAlign w:val="bottom"/>
          </w:tcPr>
          <w:p>
            <w:pPr>
              <w:ind w:left="120"/>
              <w:spacing w:after="0"/>
              <w:rPr>
                <w:sz w:val="20"/>
                <w:szCs w:val="20"/>
                <w:color w:val="auto"/>
              </w:rPr>
            </w:pPr>
            <w:r>
              <w:rPr>
                <w:rFonts w:ascii="Arial" w:cs="Arial" w:eastAsia="Arial" w:hAnsi="Arial"/>
                <w:sz w:val="18"/>
                <w:szCs w:val="18"/>
                <w:color w:val="auto"/>
              </w:rPr>
              <w:t>9.11</w:t>
            </w:r>
          </w:p>
        </w:tc>
        <w:tc>
          <w:tcPr>
            <w:tcW w:w="520" w:type="dxa"/>
            <w:vAlign w:val="bottom"/>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ind w:left="30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20.29</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18.05</w:t>
            </w:r>
          </w:p>
        </w:tc>
        <w:tc>
          <w:tcPr>
            <w:tcW w:w="62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Japan and</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12.40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5"/>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13.26 14.24</w:t>
            </w: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26.60</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66"/>
        </w:trPr>
        <w:tc>
          <w:tcPr>
            <w:tcW w:w="134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Total Light</w:t>
            </w: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Vehicle</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36.24 37.87</w:t>
            </w:r>
          </w:p>
        </w:tc>
        <w:tc>
          <w:tcPr>
            <w:tcW w:w="7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76.32</w:t>
            </w: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69.47</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7"/>
        </w:trPr>
        <w:tc>
          <w:tcPr>
            <w:tcW w:w="134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gridSpan w:val="2"/>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the aforementioned light vehicle production forecast,and the results for the first six months of 2021, the Company has provided guidance for the second half of 2021 as shown below. This guidance includes manual adjustments to the Company's forecasts as a result of customer order changes due to part shortages that have impacted the second quarter and will likely continue to impact demand in the second half of this year and perhaps even into 2022. The Company has also updated the cost and profitability model to include impacts due to elevated raw material prices, freight expenses and labor costs. In addition, over the last several quarters, the Company has been closely monitoring the tariff discussions between the US and the EU with respect to EU Regulation 2018/0886, which was scheduled to go into effect on June 1, 2021. The EU, however, suspended the implementation until November 30, 2021 as part of on-going discussions. The Company remains hopeful that a trade agreement can be reached before this date so that the increased tariffs do not take effect. The guidance for the second half of 2021 is a follows, which does NOT take into account the aforementioned potential increased tariff costs:</w:t>
      </w:r>
    </w:p>
    <w:p>
      <w:pPr>
        <w:spacing w:after="0" w:line="23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is expected to be between $970 million and $1.07 billion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is expected to be between 37.5% and 38.5%</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$105 to $110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16% and 18%</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are expected to be between $50 and $60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$54 and $59 million</w:t>
      </w:r>
    </w:p>
    <w:p>
      <w:pPr>
        <w:spacing w:after="0" w:line="24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Ongoing uncertainties remain around the impact of the COVID-19 pandemic on customer demand and restrictions on operations. COVID-19 has created unprecedented circumstances for the Company's industries, which included massive changes to production levels at its customers that occurred in a very short time period. Beyond the impact of the COVID-19 pandemic, other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accordance with the previously announced share repurchase plan, the Company continue to will consider the appropriateness of any share repurchases for the remainder of 2021. This determination will take into account macroeconomic issues (including the impact of the COVID-19 pandemic and industry-wide parts shortages and global supply chain constraints), market trends, and other factors that the Company deems appropriate (including the market price of the stock, anti-dilutive effect of repurchases, tax rates, and available cash). At a recent meeting, the Company's Board of Directors authorized the repurchase of an</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67" w:right="339" w:bottom="1440" w:gutter="0" w:footer="0" w:header="0"/>
        </w:sectPr>
      </w:pPr>
    </w:p>
    <w:bookmarkStart w:id="33" w:name="page34"/>
    <w:bookmarkEnd w:id="33"/>
    <w:p>
      <w:pPr>
        <w:jc w:val="both"/>
        <w:spacing w:after="0" w:line="238" w:lineRule="auto"/>
        <w:rPr>
          <w:sz w:val="20"/>
          <w:szCs w:val="20"/>
          <w:color w:val="auto"/>
        </w:rPr>
      </w:pPr>
      <w:r>
        <w:rPr>
          <w:rFonts w:ascii="Arial" w:cs="Arial" w:eastAsia="Arial" w:hAnsi="Arial"/>
          <w:sz w:val="18"/>
          <w:szCs w:val="18"/>
          <w:color w:val="auto"/>
        </w:rPr>
        <w:t>additional 25,000,000 shares under the plan. As of June 30, 2021, the Company has 28.3 million shares remaining available for repurchase under the previously announced share repurchase plan.</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based on the mid-July 2021 light vehicle production estimates for 2022, the Company is providing revenue guidance for 2022, despite the fact that there continues to be significant uncertainty regarding macroeconomic conditions, underlying overall consumer demand for light vehicles worldwide, and the continued impact from the COVID-19 pandemic. The Company estimates that revenue for calendar year 2022 will be approximately 10% - 15% higher than estimated revenue in calendar year 2021.</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36"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1"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30"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2020.</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During the quarter ended June 30, 2021, any material changes in risk factors that were disclosed in the Company's report on Form 10-K for the year ended December 31, 2020 are set forth herein.</w:t>
      </w:r>
    </w:p>
    <w:p>
      <w:pPr>
        <w:spacing w:after="0" w:line="141"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the Company has been and will continue to be affected by uncertain economic conditions in North American and foreign markets that have and could continue to reduce demand for its products.</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35" w:name="page36"/>
    <w:bookmarkEnd w:id="35"/>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45"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2021, and have concluded that as of that date, the Company's disclosure controls and procedures are effective.</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2021 that materially affected, or are reasonably likely to materially affect, the Company's internal control over financial reporting.</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00" w:lineRule="exact"/>
        <w:rPr>
          <w:sz w:val="20"/>
          <w:szCs w:val="20"/>
          <w:color w:val="auto"/>
        </w:rPr>
      </w:pPr>
    </w:p>
    <w:p>
      <w:pPr>
        <w:spacing w:after="0" w:line="21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"optimistic," “plan,” “poised,” "predict," “project,” "should," "strategy," "target,"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and global supply chain constraints; supply chain disruptions; our dependence of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52" w:lineRule="exact"/>
        <w:rPr>
          <w:sz w:val="20"/>
          <w:szCs w:val="20"/>
          <w:color w:val="auto"/>
        </w:rPr>
      </w:pPr>
    </w:p>
    <w:p>
      <w:pPr>
        <w:jc w:val="both"/>
        <w:ind w:left="640"/>
        <w:spacing w:after="0" w:line="233"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industry-wide parts shortages and global supply chain contraints that have affected, are affecting and will continue to affect, general economic and industry conditions, customers, suppliers, and the regulatory environment in which the Company operates. Includes content supplied by IHS Markit Light Vehicle Production Forecast of July 16, 2021 (http://www.gentex.com/forecast-disclaimer).</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2020. There have been material changes to the risk factors previously disclosed in the Company’s report on Form 10-K for the year ended December 31, 2020, as described in Part I – Item 2 and Item 3 of this Form 10-Q, and otherwise herein, as well as the following revised risk factor:</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SUPPLY CHAIN DISRUPTIONS</w:t>
      </w:r>
    </w:p>
    <w:p>
      <w:pPr>
        <w:spacing w:after="0" w:line="360"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As a result of just-in-time supply chains within our business and the automotive industry, disruptions in our supply chain have occurred, are occurring, and are expected to continue to occur due to the COVID-19 pandemic and industry-wide parts shortages and global supply chain constraints. Disruptions can also occur due to natural disasters, other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5" w:lineRule="exact"/>
        <w:rPr>
          <w:sz w:val="20"/>
          <w:szCs w:val="20"/>
          <w:color w:val="auto"/>
        </w:rPr>
      </w:pPr>
    </w:p>
    <w:p>
      <w:pPr>
        <w:ind w:left="420" w:hanging="414"/>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67"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second quarter of 2021, the Company repurchased 3,411,131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market trends, and other factors the Company deems appropriate (including the market price of the stock, anti-dilutive effect of repurchases, and available cash).</w:t>
      </w:r>
    </w:p>
    <w:p>
      <w:pPr>
        <w:spacing w:after="0" w:line="223"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At a recent meeting, the Company's Board of Directors authorized the repurchase of an additional 25,000,000 shares under the plan. After the Company repurchased 6,166,196 shares during the first six months of 2021, the Company has 28.3 million shares remaining under the plan as of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The  following  is  a</w:t>
            </w:r>
          </w:p>
        </w:tc>
        <w:tc>
          <w:tcPr>
            <w:tcW w:w="2720" w:type="dxa"/>
            <w:vAlign w:val="bottom"/>
            <w:gridSpan w:val="3"/>
          </w:tcPr>
          <w:p>
            <w:pPr>
              <w:spacing w:after="0"/>
              <w:rPr>
                <w:sz w:val="20"/>
                <w:szCs w:val="20"/>
                <w:color w:val="auto"/>
              </w:rPr>
            </w:pPr>
            <w:r>
              <w:rPr>
                <w:rFonts w:ascii="Arial" w:cs="Arial" w:eastAsia="Arial" w:hAnsi="Arial"/>
                <w:sz w:val="18"/>
                <w:szCs w:val="18"/>
                <w:color w:val="auto"/>
              </w:rPr>
              <w:t>summary  of  share  repurchase</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activity  during  each  month  of  the</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quarter  ended  June  30,  2021: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gridSpan w:val="4"/>
          </w:tcPr>
          <w:p>
            <w:pPr>
              <w:jc w:val="right"/>
              <w:ind w:right="1517"/>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Purchased As Part of a</w:t>
            </w:r>
          </w:p>
        </w:tc>
        <w:tc>
          <w:tcPr>
            <w:tcW w:w="2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580" w:type="dxa"/>
            <w:vAlign w:val="bottom"/>
          </w:tcPr>
          <w:p>
            <w:pPr>
              <w:spacing w:after="0"/>
              <w:rPr>
                <w:sz w:val="11"/>
                <w:szCs w:val="11"/>
                <w:color w:val="auto"/>
              </w:rPr>
            </w:pPr>
          </w:p>
        </w:tc>
        <w:tc>
          <w:tcPr>
            <w:tcW w:w="326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Total Number of Shares   Average Price Paid</w:t>
            </w:r>
          </w:p>
        </w:tc>
        <w:tc>
          <w:tcPr>
            <w:tcW w:w="2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Publicly Announced Plan or</w:t>
            </w:r>
          </w:p>
        </w:tc>
        <w:tc>
          <w:tcPr>
            <w:tcW w:w="28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ind w:left="560"/>
              <w:spacing w:after="0"/>
              <w:rPr>
                <w:sz w:val="20"/>
                <w:szCs w:val="20"/>
                <w:color w:val="auto"/>
              </w:rPr>
            </w:pPr>
            <w:r>
              <w:rPr>
                <w:rFonts w:ascii="Arial" w:cs="Arial" w:eastAsia="Arial" w:hAnsi="Arial"/>
                <w:sz w:val="14"/>
                <w:szCs w:val="14"/>
                <w:b w:val="1"/>
                <w:bCs w:val="1"/>
                <w:color w:val="auto"/>
              </w:rPr>
              <w:t>Purchased</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Per 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Program</w:t>
            </w:r>
          </w:p>
        </w:tc>
        <w:tc>
          <w:tcPr>
            <w:tcW w:w="28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2021</w:t>
            </w:r>
          </w:p>
        </w:tc>
        <w:tc>
          <w:tcPr>
            <w:tcW w:w="58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9,419,266</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February 2021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1,005,009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35.27</w:t>
            </w:r>
          </w:p>
        </w:tc>
        <w:tc>
          <w:tcPr>
            <w:tcW w:w="2060" w:type="dxa"/>
            <w:vAlign w:val="bottom"/>
          </w:tcPr>
          <w:p>
            <w:pPr>
              <w:jc w:val="right"/>
              <w:spacing w:after="0"/>
              <w:rPr>
                <w:sz w:val="20"/>
                <w:szCs w:val="20"/>
                <w:color w:val="auto"/>
              </w:rPr>
            </w:pPr>
            <w:r>
              <w:rPr>
                <w:rFonts w:ascii="Arial" w:cs="Arial" w:eastAsia="Arial" w:hAnsi="Arial"/>
                <w:sz w:val="18"/>
                <w:szCs w:val="18"/>
                <w:color w:val="auto"/>
              </w:rPr>
              <w:t>1,005,009</w:t>
            </w:r>
          </w:p>
        </w:tc>
        <w:tc>
          <w:tcPr>
            <w:tcW w:w="2060" w:type="dxa"/>
            <w:vAlign w:val="bottom"/>
          </w:tcPr>
          <w:p>
            <w:pPr>
              <w:jc w:val="right"/>
              <w:spacing w:after="0"/>
              <w:rPr>
                <w:sz w:val="20"/>
                <w:szCs w:val="20"/>
                <w:color w:val="auto"/>
              </w:rPr>
            </w:pPr>
            <w:r>
              <w:rPr>
                <w:rFonts w:ascii="Arial" w:cs="Arial" w:eastAsia="Arial" w:hAnsi="Arial"/>
                <w:sz w:val="18"/>
                <w:szCs w:val="18"/>
                <w:color w:val="auto"/>
              </w:rPr>
              <w:t>8,414,257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5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1,750,056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1,750,056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6,664,201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9"/>
              </w:rPr>
              <w:t>1st Quarter 2021 Total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2,755,065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35.46</w:t>
            </w:r>
          </w:p>
        </w:tc>
        <w:tc>
          <w:tcPr>
            <w:tcW w:w="2060" w:type="dxa"/>
            <w:vAlign w:val="bottom"/>
          </w:tcPr>
          <w:p>
            <w:pPr>
              <w:jc w:val="right"/>
              <w:spacing w:after="0"/>
              <w:rPr>
                <w:sz w:val="20"/>
                <w:szCs w:val="20"/>
                <w:color w:val="auto"/>
              </w:rPr>
            </w:pPr>
            <w:r>
              <w:rPr>
                <w:rFonts w:ascii="Arial" w:cs="Arial" w:eastAsia="Arial" w:hAnsi="Arial"/>
                <w:sz w:val="18"/>
                <w:szCs w:val="18"/>
                <w:color w:val="auto"/>
              </w:rPr>
              <w:t>2,755,065</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April 2021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35.66</w:t>
            </w:r>
          </w:p>
        </w:tc>
        <w:tc>
          <w:tcPr>
            <w:tcW w:w="2060" w:type="dxa"/>
            <w:vAlign w:val="bottom"/>
          </w:tcPr>
          <w:p>
            <w:pPr>
              <w:jc w:val="right"/>
              <w:spacing w:after="0"/>
              <w:rPr>
                <w:sz w:val="20"/>
                <w:szCs w:val="20"/>
                <w:color w:val="auto"/>
              </w:rPr>
            </w:pPr>
            <w:r>
              <w:rPr>
                <w:rFonts w:ascii="Arial" w:cs="Arial" w:eastAsia="Arial" w:hAnsi="Arial"/>
                <w:sz w:val="18"/>
                <w:szCs w:val="18"/>
                <w:color w:val="auto"/>
              </w:rPr>
              <w:t>250,000</w:t>
            </w:r>
          </w:p>
        </w:tc>
        <w:tc>
          <w:tcPr>
            <w:tcW w:w="2060" w:type="dxa"/>
            <w:vAlign w:val="bottom"/>
          </w:tcPr>
          <w:p>
            <w:pPr>
              <w:jc w:val="right"/>
              <w:spacing w:after="0"/>
              <w:rPr>
                <w:sz w:val="20"/>
                <w:szCs w:val="20"/>
                <w:color w:val="auto"/>
              </w:rPr>
            </w:pPr>
            <w:r>
              <w:rPr>
                <w:rFonts w:ascii="Arial" w:cs="Arial" w:eastAsia="Arial" w:hAnsi="Arial"/>
                <w:sz w:val="18"/>
                <w:szCs w:val="18"/>
                <w:color w:val="auto"/>
              </w:rPr>
              <w:t>6,414,201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1,175,144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1,175,144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30,239,057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2021</w:t>
            </w:r>
          </w:p>
        </w:tc>
        <w:tc>
          <w:tcPr>
            <w:tcW w:w="5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1,985,987</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1,985,987</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28,253,070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2nd Quarter 2021 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3,411,131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3,411,131</w:t>
            </w:r>
          </w:p>
        </w:tc>
        <w:tc>
          <w:tcPr>
            <w:tcW w:w="206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4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Total</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6,166,196</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6,166,196</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28,253,070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850"/>
        </w:trPr>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7" w:name="page38"/>
    <w:bookmarkEnd w:id="37"/>
    <w:p>
      <w:pPr>
        <w:ind w:left="640" w:right="200"/>
        <w:spacing w:after="0" w:line="252" w:lineRule="auto"/>
        <w:rPr>
          <w:sz w:val="20"/>
          <w:szCs w:val="20"/>
          <w:color w:val="auto"/>
        </w:rPr>
      </w:pPr>
      <w:r>
        <w:rPr>
          <w:rFonts w:ascii="Arial" w:cs="Arial" w:eastAsia="Arial" w:hAnsi="Arial"/>
          <w:sz w:val="18"/>
          <w:szCs w:val="18"/>
          <w:color w:val="auto"/>
        </w:rPr>
        <w:t>As of June 30, 2021 the Company has repurchased 143,746,658 shares at a total cost of $2,375,681,751 under its share repurchase plan or as otherwise previously disclosed.</w:t>
      </w:r>
    </w:p>
    <w:p>
      <w:pPr>
        <w:spacing w:after="0" w:line="200" w:lineRule="exact"/>
        <w:rPr>
          <w:sz w:val="20"/>
          <w:szCs w:val="20"/>
          <w:color w:val="auto"/>
        </w:rPr>
      </w:pPr>
    </w:p>
    <w:p>
      <w:pPr>
        <w:spacing w:after="0" w:line="2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68"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8">
        <w:r>
          <w:rPr>
            <w:rFonts w:ascii="Arial" w:cs="Arial" w:eastAsia="Arial" w:hAnsi="Arial"/>
            <w:sz w:val="18"/>
            <w:szCs w:val="18"/>
            <w:u w:val="single" w:color="auto"/>
            <w:color w:val="0000FF"/>
          </w:rPr>
          <w:t>39</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20"/>
              <w:spacing w:after="0"/>
              <w:rPr>
                <w:sz w:val="20"/>
                <w:szCs w:val="20"/>
                <w:color w:val="auto"/>
              </w:rPr>
            </w:pPr>
            <w:r>
              <w:rPr>
                <w:rFonts w:ascii="Arial" w:cs="Arial" w:eastAsia="Arial" w:hAnsi="Arial"/>
                <w:sz w:val="18"/>
                <w:szCs w:val="18"/>
                <w:color w:val="auto"/>
              </w:rPr>
              <w:t>August 5, 2021</w:t>
            </w:r>
          </w:p>
        </w:tc>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9"/>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6"/>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6"/>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20"/>
              <w:spacing w:after="0"/>
              <w:rPr>
                <w:sz w:val="20"/>
                <w:szCs w:val="20"/>
                <w:color w:val="auto"/>
              </w:rPr>
            </w:pPr>
            <w:r>
              <w:rPr>
                <w:rFonts w:ascii="Arial" w:cs="Arial" w:eastAsia="Arial" w:hAnsi="Arial"/>
                <w:sz w:val="18"/>
                <w:szCs w:val="18"/>
                <w:color w:val="auto"/>
              </w:rPr>
              <w:t>August 5, 2021</w:t>
            </w:r>
          </w:p>
        </w:tc>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9"/>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6"/>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6"/>
        </w:trPr>
        <w:tc>
          <w:tcPr>
            <w:tcW w:w="5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720" w:type="dxa"/>
            <w:vAlign w:val="bottom"/>
          </w:tcPr>
          <w:p>
            <w:pPr>
              <w:ind w:left="20"/>
              <w:spacing w:after="0" w:line="187"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12"/>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00" w:type="dxa"/>
            <w:vAlign w:val="bottom"/>
            <w:gridSpan w:val="3"/>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402"/>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00" w:type="dxa"/>
            <w:vAlign w:val="bottom"/>
            <w:gridSpan w:val="3"/>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1320" w:type="dxa"/>
            <w:vAlign w:val="bottom"/>
          </w:tcPr>
          <w:p>
            <w:pPr>
              <w:ind w:left="20"/>
              <w:spacing w:after="0" w:line="184" w:lineRule="exact"/>
              <w:rPr>
                <w:sz w:val="20"/>
                <w:szCs w:val="20"/>
                <w:color w:val="auto"/>
              </w:rPr>
            </w:pPr>
            <w:r>
              <w:rPr>
                <w:rFonts w:ascii="Arial" w:cs="Arial" w:eastAsia="Arial" w:hAnsi="Arial"/>
                <w:sz w:val="18"/>
                <w:szCs w:val="18"/>
                <w:color w:val="auto"/>
              </w:rPr>
              <w:t>31.1</w:t>
            </w:r>
          </w:p>
        </w:tc>
        <w:tc>
          <w:tcPr>
            <w:tcW w:w="9880" w:type="dxa"/>
            <w:vAlign w:val="bottom"/>
            <w:gridSpan w:val="5"/>
          </w:tcPr>
          <w:p>
            <w:pPr>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63"/>
        </w:trPr>
        <w:tc>
          <w:tcPr>
            <w:tcW w:w="13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rPr>
            </w:pPr>
            <w:hyperlink w:anchor="page40">
              <w:r>
                <w:rPr>
                  <w:rFonts w:ascii="Arial" w:cs="Arial" w:eastAsia="Arial" w:hAnsi="Arial"/>
                  <w:sz w:val="17"/>
                  <w:szCs w:val="17"/>
                  <w:color w:val="0000FF"/>
                </w:rPr>
                <w:t>(18 U.S.C. 1350).</w:t>
              </w:r>
            </w:hyperlink>
          </w:p>
        </w:tc>
        <w:tc>
          <w:tcPr>
            <w:tcW w:w="822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31.2</w:t>
            </w:r>
          </w:p>
        </w:tc>
        <w:tc>
          <w:tcPr>
            <w:tcW w:w="9880" w:type="dxa"/>
            <w:vAlign w:val="bottom"/>
            <w:gridSpan w:val="5"/>
            <w:shd w:val="clear" w:color="auto" w:fill="CCEEFF"/>
          </w:tcPr>
          <w:p>
            <w:pPr>
              <w:spacing w:after="0" w:line="196" w:lineRule="exact"/>
              <w:rPr>
                <w:rFonts w:ascii="Arial" w:cs="Arial" w:eastAsia="Arial" w:hAnsi="Arial"/>
                <w:sz w:val="18"/>
                <w:szCs w:val="18"/>
                <w:color w:val="0000FF"/>
                <w:w w:val="98"/>
              </w:rPr>
            </w:pPr>
            <w:hyperlink w:anchor="page41">
              <w:r>
                <w:rPr>
                  <w:rFonts w:ascii="Arial" w:cs="Arial" w:eastAsia="Arial" w:hAnsi="Arial"/>
                  <w:sz w:val="18"/>
                  <w:szCs w:val="18"/>
                  <w:color w:val="0000FF"/>
                  <w:w w:val="98"/>
                </w:rPr>
                <w:t>Certificate of the Chief Financial Officer of Gentex Corporation pursuant to Section 302 of the Sarbanes-Oxley Act of 2002 (18</w:t>
              </w:r>
            </w:hyperlink>
          </w:p>
        </w:tc>
      </w:tr>
      <w:tr>
        <w:trPr>
          <w:trHeight w:val="153"/>
        </w:trPr>
        <w:tc>
          <w:tcPr>
            <w:tcW w:w="13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4"/>
            <w:shd w:val="clear" w:color="auto" w:fill="CCEEFF"/>
          </w:tcPr>
          <w:p>
            <w:pPr>
              <w:spacing w:after="0" w:line="153" w:lineRule="exact"/>
              <w:rPr>
                <w:rFonts w:ascii="Arial" w:cs="Arial" w:eastAsia="Arial" w:hAnsi="Arial"/>
                <w:sz w:val="17"/>
                <w:szCs w:val="17"/>
                <w:color w:val="0000FF"/>
              </w:rPr>
            </w:pPr>
            <w:hyperlink w:anchor="page41">
              <w:r>
                <w:rPr>
                  <w:rFonts w:ascii="Arial" w:cs="Arial" w:eastAsia="Arial" w:hAnsi="Arial"/>
                  <w:sz w:val="17"/>
                  <w:szCs w:val="17"/>
                  <w:color w:val="0000FF"/>
                </w:rPr>
                <w:t>U.S.C. 1350).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40"/>
        </w:trPr>
        <w:tc>
          <w:tcPr>
            <w:tcW w:w="1320" w:type="dxa"/>
            <w:vAlign w:val="bottom"/>
            <w:shd w:val="clear" w:color="auto" w:fill="CCEE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12" w:lineRule="exact"/>
        <w:rPr>
          <w:sz w:val="20"/>
          <w:szCs w:val="20"/>
          <w:color w:val="auto"/>
        </w:rPr>
      </w:pPr>
    </w:p>
    <w:p>
      <w:pPr>
        <w:ind w:left="1320" w:right="440" w:hanging="1296"/>
        <w:spacing w:after="0" w:line="223" w:lineRule="auto"/>
        <w:tabs>
          <w:tab w:leader="none" w:pos="1320" w:val="left"/>
        </w:tabs>
        <w:numPr>
          <w:ilvl w:val="0"/>
          <w:numId w:val="23"/>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Sarbanes-Oxley Act of 2002 (18 U.S.C. 1350).</w:t>
        </w:r>
      </w:hyperlink>
    </w:p>
    <w:tbl>
      <w:tblPr>
        <w:tblLayout w:type="fixed"/>
        <w:tblInd w:w="0" w:type="dxa"/>
        <w:tblCellMar>
          <w:top w:w="0" w:type="dxa"/>
          <w:left w:w="0" w:type="dxa"/>
          <w:bottom w:w="0" w:type="dxa"/>
          <w:right w:w="0" w:type="dxa"/>
        </w:tblCellMar>
      </w:tblPr>
      <w:tr>
        <w:trPr>
          <w:trHeight w:val="187"/>
        </w:trPr>
        <w:tc>
          <w:tcPr>
            <w:tcW w:w="10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101.INS</w:t>
            </w:r>
          </w:p>
        </w:tc>
        <w:tc>
          <w:tcPr>
            <w:tcW w:w="10180" w:type="dxa"/>
            <w:vAlign w:val="bottom"/>
            <w:shd w:val="clear" w:color="auto" w:fill="CCEEFF"/>
          </w:tcPr>
          <w:p>
            <w:pPr>
              <w:ind w:left="300"/>
              <w:spacing w:after="0" w:line="187"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r>
      <w:tr>
        <w:trPr>
          <w:trHeight w:val="214"/>
        </w:trPr>
        <w:tc>
          <w:tcPr>
            <w:tcW w:w="1020" w:type="dxa"/>
            <w:vAlign w:val="bottom"/>
            <w:shd w:val="clear" w:color="auto" w:fill="CCEEFF"/>
          </w:tcPr>
          <w:p>
            <w:pPr>
              <w:spacing w:after="0"/>
              <w:rPr>
                <w:sz w:val="18"/>
                <w:szCs w:val="18"/>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are embedded within the Inline XBRL document</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0180" w:type="dxa"/>
            <w:vAlign w:val="bottom"/>
          </w:tcPr>
          <w:p>
            <w:pPr>
              <w:ind w:left="300"/>
              <w:spacing w:after="0"/>
              <w:rPr>
                <w:sz w:val="20"/>
                <w:szCs w:val="20"/>
                <w:color w:val="auto"/>
              </w:rPr>
            </w:pPr>
            <w:r>
              <w:rPr>
                <w:rFonts w:ascii="Arial" w:cs="Arial" w:eastAsia="Arial" w:hAnsi="Arial"/>
                <w:sz w:val="18"/>
                <w:szCs w:val="18"/>
                <w:color w:val="auto"/>
              </w:rPr>
              <w:t>Inline XBRL Taxonomy Extension Schema</w:t>
            </w:r>
          </w:p>
        </w:tc>
      </w:tr>
      <w:tr>
        <w:trPr>
          <w:trHeight w:val="22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Calculation Linkbase</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018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w:t>
            </w:r>
          </w:p>
        </w:tc>
      </w:tr>
      <w:tr>
        <w:trPr>
          <w:trHeight w:val="22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Label Linkbase</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018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1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31.1</w:t>
      </w:r>
    </w:p>
    <w:p>
      <w:pPr>
        <w:spacing w:after="0" w:line="24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45" w:lineRule="exact"/>
        <w:rPr>
          <w:sz w:val="20"/>
          <w:szCs w:val="20"/>
          <w:color w:val="auto"/>
        </w:rPr>
      </w:pPr>
    </w:p>
    <w:p>
      <w:pPr>
        <w:ind w:left="200" w:hanging="194"/>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45"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240" w:hanging="234"/>
        <w:spacing w:after="0" w:line="281" w:lineRule="auto"/>
        <w:tabs>
          <w:tab w:leader="none" w:pos="2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Arial" w:cs="Arial" w:eastAsia="Arial" w:hAnsi="Arial"/>
          <w:sz w:val="17"/>
          <w:szCs w:val="17"/>
          <w:color w:val="auto"/>
        </w:rPr>
      </w:pPr>
    </w:p>
    <w:p>
      <w:pPr>
        <w:ind w:left="640" w:hanging="226"/>
        <w:spacing w:after="0" w:line="252" w:lineRule="auto"/>
        <w:tabs>
          <w:tab w:leader="none" w:pos="6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Arial" w:cs="Arial" w:eastAsia="Arial" w:hAnsi="Arial"/>
          <w:sz w:val="18"/>
          <w:szCs w:val="18"/>
          <w:color w:val="auto"/>
        </w:rPr>
      </w:pPr>
    </w:p>
    <w:p>
      <w:pPr>
        <w:ind w:left="640" w:hanging="226"/>
        <w:spacing w:after="0" w:line="252" w:lineRule="auto"/>
        <w:tabs>
          <w:tab w:leader="none" w:pos="6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31.2</w:t>
      </w:r>
    </w:p>
    <w:p>
      <w:pPr>
        <w:spacing w:after="0" w:line="24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45" w:lineRule="exact"/>
        <w:rPr>
          <w:sz w:val="20"/>
          <w:szCs w:val="20"/>
          <w:color w:val="auto"/>
        </w:rPr>
      </w:pPr>
    </w:p>
    <w:p>
      <w:pPr>
        <w:ind w:left="200" w:hanging="194"/>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45"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09"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240" w:hanging="234"/>
        <w:spacing w:after="0" w:line="281"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Arial" w:cs="Arial" w:eastAsia="Arial" w:hAnsi="Arial"/>
          <w:sz w:val="17"/>
          <w:szCs w:val="17"/>
          <w:color w:val="auto"/>
        </w:rPr>
      </w:pPr>
    </w:p>
    <w:p>
      <w:pPr>
        <w:ind w:left="640" w:hanging="226"/>
        <w:spacing w:after="0" w:line="252" w:lineRule="auto"/>
        <w:tabs>
          <w:tab w:leader="none" w:pos="6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Arial" w:cs="Arial" w:eastAsia="Arial" w:hAnsi="Arial"/>
          <w:sz w:val="18"/>
          <w:szCs w:val="18"/>
          <w:color w:val="auto"/>
        </w:rPr>
      </w:pPr>
    </w:p>
    <w:p>
      <w:pPr>
        <w:ind w:left="640" w:hanging="226"/>
        <w:spacing w:after="0" w:line="252" w:lineRule="auto"/>
        <w:tabs>
          <w:tab w:leader="none" w:pos="6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1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30" w:lineRule="exact"/>
        <w:rPr>
          <w:sz w:val="20"/>
          <w:szCs w:val="20"/>
          <w:color w:val="auto"/>
        </w:rPr>
      </w:pPr>
    </w:p>
    <w:p>
      <w:pPr>
        <w:ind w:left="240" w:hanging="234"/>
        <w:spacing w:after="0" w:line="252"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2021, which this statement accompanies, fully complies with the requirements of Section 13(a) or 15(d) of the Securities Exchange Act of 1934; and</w:t>
      </w:r>
    </w:p>
    <w:p>
      <w:pPr>
        <w:spacing w:after="0" w:line="230" w:lineRule="exact"/>
        <w:rPr>
          <w:rFonts w:ascii="Arial" w:cs="Arial" w:eastAsia="Arial" w:hAnsi="Arial"/>
          <w:sz w:val="18"/>
          <w:szCs w:val="18"/>
          <w:color w:val="auto"/>
        </w:rPr>
      </w:pPr>
    </w:p>
    <w:p>
      <w:pPr>
        <w:ind w:left="240" w:hanging="234"/>
        <w:spacing w:after="0" w:line="252" w:lineRule="auto"/>
        <w:tabs>
          <w:tab w:leader="none" w:pos="2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2021,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12"/>
    </w:lvl>
  </w:abstractNum>
  <w:abstractNum w:abstractNumId="17">
    <w:nsid w:val="721DA317"/>
    <w:multiLevelType w:val="hybridMultilevel"/>
    <w:lvl w:ilvl="0">
      <w:lvlJc w:val="left"/>
      <w:lvlText w:val="(%1)"/>
      <w:numFmt w:val="decimal"/>
      <w:start w:val="13"/>
    </w:lvl>
  </w:abstractNum>
  <w:abstractNum w:abstractNumId="18">
    <w:nsid w:val="2443A858"/>
    <w:multiLevelType w:val="hybridMultilevel"/>
    <w:lvl w:ilvl="0">
      <w:lvlJc w:val="left"/>
      <w:lvlText w:val="(%1)"/>
      <w:numFmt w:val="decimal"/>
      <w:start w:val="14"/>
    </w:lvl>
  </w:abstractNum>
  <w:abstractNum w:abstractNumId="19">
    <w:nsid w:val="2D1D5AE9"/>
    <w:multiLevelType w:val="hybridMultilevel"/>
    <w:lvl w:ilvl="0">
      <w:lvlJc w:val="left"/>
      <w:lvlText w:val="(%1)"/>
      <w:numFmt w:val="decimal"/>
      <w:start w:val="15"/>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2021-08-05T08:02:54Z</dcterms:created>
  <dcterms:modified xsi:type="dcterms:W3CDTF">2021-08-05T08:02:54Z</dcterms:modified>
</cp:coreProperties>
</file>