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2"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June 30, 2023 or</w:t>
      </w:r>
    </w:p>
    <w:p>
      <w:pPr>
        <w:spacing w:after="0" w:line="281"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60" w:type="dxa"/>
            <w:vAlign w:val="bottom"/>
            <w:gridSpan w:val="2"/>
            <w:vMerge w:val="restart"/>
          </w:tcPr>
          <w:p>
            <w:pPr>
              <w:jc w:val="center"/>
              <w:ind w:right="420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32"/>
        </w:trPr>
        <w:tc>
          <w:tcPr>
            <w:tcW w:w="2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520" w:type="dxa"/>
            <w:vAlign w:val="bottom"/>
            <w:gridSpan w:val="3"/>
          </w:tcPr>
          <w:p>
            <w:pPr>
              <w:jc w:val="center"/>
              <w:ind w:right="364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63"/>
        </w:trPr>
        <w:tc>
          <w:tcPr>
            <w:tcW w:w="2420" w:type="dxa"/>
            <w:vAlign w:val="bottom"/>
          </w:tcPr>
          <w:p>
            <w:pPr>
              <w:spacing w:after="0"/>
              <w:rPr>
                <w:sz w:val="22"/>
                <w:szCs w:val="22"/>
                <w:color w:val="auto"/>
              </w:rPr>
            </w:pPr>
          </w:p>
        </w:tc>
        <w:tc>
          <w:tcPr>
            <w:tcW w:w="1860" w:type="dxa"/>
            <w:vAlign w:val="bottom"/>
            <w:gridSpan w:val="5"/>
          </w:tcPr>
          <w:p>
            <w:pPr>
              <w:jc w:val="center"/>
              <w:ind w:right="1028"/>
              <w:spacing w:after="0"/>
              <w:rPr>
                <w:sz w:val="20"/>
                <w:szCs w:val="20"/>
                <w:color w:val="auto"/>
              </w:rPr>
            </w:pPr>
            <w:r>
              <w:rPr>
                <w:rFonts w:ascii="Arial" w:cs="Arial" w:eastAsia="Arial" w:hAnsi="Arial"/>
                <w:sz w:val="18"/>
                <w:szCs w:val="18"/>
                <w:b w:val="1"/>
                <w:bCs w:val="1"/>
                <w:color w:val="auto"/>
                <w:w w:val="97"/>
              </w:rPr>
              <w:t>Michigan</w:t>
            </w:r>
          </w:p>
        </w:tc>
        <w:tc>
          <w:tcPr>
            <w:tcW w:w="2220" w:type="dxa"/>
            <w:vAlign w:val="bottom"/>
          </w:tcPr>
          <w:p>
            <w:pPr>
              <w:spacing w:after="0"/>
              <w:rPr>
                <w:sz w:val="22"/>
                <w:szCs w:val="22"/>
                <w:color w:val="auto"/>
              </w:rPr>
            </w:pPr>
          </w:p>
        </w:tc>
        <w:tc>
          <w:tcPr>
            <w:tcW w:w="4740" w:type="dxa"/>
            <w:vAlign w:val="bottom"/>
          </w:tcPr>
          <w:p>
            <w:pPr>
              <w:jc w:val="right"/>
              <w:ind w:right="224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5"/>
              <w:spacing w:after="0" w:line="149" w:lineRule="exact"/>
              <w:rPr>
                <w:sz w:val="20"/>
                <w:szCs w:val="20"/>
                <w:color w:val="auto"/>
              </w:rPr>
            </w:pPr>
            <w:r>
              <w:rPr>
                <w:rFonts w:ascii="Arial" w:cs="Arial" w:eastAsia="Arial" w:hAnsi="Arial"/>
                <w:sz w:val="14"/>
                <w:szCs w:val="14"/>
                <w:color w:val="auto"/>
              </w:rPr>
              <w:t>(State or other jurisdiction of</w:t>
            </w:r>
          </w:p>
        </w:tc>
        <w:tc>
          <w:tcPr>
            <w:tcW w:w="2220" w:type="dxa"/>
            <w:vAlign w:val="bottom"/>
          </w:tcPr>
          <w:p>
            <w:pPr>
              <w:spacing w:after="0"/>
              <w:rPr>
                <w:sz w:val="12"/>
                <w:szCs w:val="12"/>
                <w:color w:val="auto"/>
              </w:rPr>
            </w:pPr>
          </w:p>
        </w:tc>
        <w:tc>
          <w:tcPr>
            <w:tcW w:w="4740" w:type="dxa"/>
            <w:vAlign w:val="bottom"/>
          </w:tcPr>
          <w:p>
            <w:pPr>
              <w:jc w:val="center"/>
              <w:ind w:right="763"/>
              <w:spacing w:after="0" w:line="149"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2"/>
        </w:trPr>
        <w:tc>
          <w:tcPr>
            <w:tcW w:w="4280" w:type="dxa"/>
            <w:vAlign w:val="bottom"/>
            <w:gridSpan w:val="6"/>
          </w:tcPr>
          <w:p>
            <w:pPr>
              <w:jc w:val="center"/>
              <w:ind w:left="1245"/>
              <w:spacing w:after="0"/>
              <w:rPr>
                <w:sz w:val="20"/>
                <w:szCs w:val="20"/>
                <w:color w:val="auto"/>
              </w:rPr>
            </w:pPr>
            <w:r>
              <w:rPr>
                <w:rFonts w:ascii="Arial" w:cs="Arial" w:eastAsia="Arial" w:hAnsi="Arial"/>
                <w:sz w:val="14"/>
                <w:szCs w:val="14"/>
                <w:color w:val="auto"/>
              </w:rPr>
              <w:t>incorporation or organization)</w:t>
            </w:r>
          </w:p>
        </w:tc>
        <w:tc>
          <w:tcPr>
            <w:tcW w:w="2220" w:type="dxa"/>
            <w:vAlign w:val="bottom"/>
          </w:tcPr>
          <w:p>
            <w:pPr>
              <w:spacing w:after="0"/>
              <w:rPr>
                <w:sz w:val="15"/>
                <w:szCs w:val="15"/>
                <w:color w:val="auto"/>
              </w:rPr>
            </w:pPr>
          </w:p>
        </w:tc>
        <w:tc>
          <w:tcPr>
            <w:tcW w:w="474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77"/>
        </w:trPr>
        <w:tc>
          <w:tcPr>
            <w:tcW w:w="4280" w:type="dxa"/>
            <w:vAlign w:val="bottom"/>
            <w:gridSpan w:val="6"/>
          </w:tcPr>
          <w:p>
            <w:pPr>
              <w:jc w:val="center"/>
              <w:ind w:left="1245"/>
              <w:spacing w:after="0"/>
              <w:rPr>
                <w:sz w:val="20"/>
                <w:szCs w:val="20"/>
                <w:color w:val="auto"/>
              </w:rPr>
            </w:pPr>
            <w:r>
              <w:rPr>
                <w:rFonts w:ascii="Arial" w:cs="Arial" w:eastAsia="Arial" w:hAnsi="Arial"/>
                <w:sz w:val="16"/>
                <w:szCs w:val="16"/>
                <w:b w:val="1"/>
                <w:bCs w:val="1"/>
                <w:color w:val="auto"/>
              </w:rPr>
              <w:t>600 N. Centennial</w:t>
            </w:r>
          </w:p>
        </w:tc>
        <w:tc>
          <w:tcPr>
            <w:tcW w:w="22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68"/>
              <w:spacing w:after="0"/>
              <w:rPr>
                <w:sz w:val="20"/>
                <w:szCs w:val="20"/>
                <w:color w:val="auto"/>
              </w:rPr>
            </w:pPr>
            <w:r>
              <w:rPr>
                <w:rFonts w:ascii="Arial" w:cs="Arial" w:eastAsia="Arial" w:hAnsi="Arial"/>
                <w:sz w:val="16"/>
                <w:szCs w:val="16"/>
                <w:b w:val="1"/>
                <w:bCs w:val="1"/>
                <w:color w:val="auto"/>
                <w:w w:val="99"/>
              </w:rPr>
              <w:t>Zeeland</w:t>
            </w:r>
          </w:p>
        </w:tc>
        <w:tc>
          <w:tcPr>
            <w:tcW w:w="2220" w:type="dxa"/>
            <w:vAlign w:val="bottom"/>
          </w:tcPr>
          <w:p>
            <w:pPr>
              <w:spacing w:after="0"/>
              <w:rPr>
                <w:sz w:val="18"/>
                <w:szCs w:val="18"/>
                <w:color w:val="auto"/>
              </w:rPr>
            </w:pPr>
          </w:p>
        </w:tc>
        <w:tc>
          <w:tcPr>
            <w:tcW w:w="4740" w:type="dxa"/>
            <w:vAlign w:val="bottom"/>
            <w:vMerge w:val="restart"/>
          </w:tcPr>
          <w:p>
            <w:pPr>
              <w:jc w:val="right"/>
              <w:ind w:right="246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42"/>
        </w:trPr>
        <w:tc>
          <w:tcPr>
            <w:tcW w:w="2420" w:type="dxa"/>
            <w:vAlign w:val="bottom"/>
          </w:tcPr>
          <w:p>
            <w:pPr>
              <w:spacing w:after="0"/>
              <w:rPr>
                <w:sz w:val="21"/>
                <w:szCs w:val="21"/>
                <w:color w:val="auto"/>
              </w:rPr>
            </w:pPr>
          </w:p>
        </w:tc>
        <w:tc>
          <w:tcPr>
            <w:tcW w:w="1860" w:type="dxa"/>
            <w:vAlign w:val="bottom"/>
            <w:gridSpan w:val="5"/>
          </w:tcPr>
          <w:p>
            <w:pPr>
              <w:jc w:val="center"/>
              <w:ind w:right="1028"/>
              <w:spacing w:after="0"/>
              <w:rPr>
                <w:sz w:val="20"/>
                <w:szCs w:val="20"/>
                <w:color w:val="auto"/>
              </w:rPr>
            </w:pPr>
            <w:r>
              <w:rPr>
                <w:rFonts w:ascii="Arial" w:cs="Arial" w:eastAsia="Arial" w:hAnsi="Arial"/>
                <w:sz w:val="16"/>
                <w:szCs w:val="16"/>
                <w:b w:val="1"/>
                <w:bCs w:val="1"/>
                <w:color w:val="auto"/>
              </w:rPr>
              <w:t>Michigan</w:t>
            </w:r>
          </w:p>
        </w:tc>
        <w:tc>
          <w:tcPr>
            <w:tcW w:w="2220" w:type="dxa"/>
            <w:vAlign w:val="bottom"/>
          </w:tcPr>
          <w:p>
            <w:pPr>
              <w:spacing w:after="0"/>
              <w:rPr>
                <w:sz w:val="21"/>
                <w:szCs w:val="21"/>
                <w:color w:val="auto"/>
              </w:rPr>
            </w:pPr>
          </w:p>
        </w:tc>
        <w:tc>
          <w:tcPr>
            <w:tcW w:w="4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280" w:type="dxa"/>
            <w:vAlign w:val="bottom"/>
            <w:gridSpan w:val="6"/>
          </w:tcPr>
          <w:p>
            <w:pPr>
              <w:jc w:val="center"/>
              <w:ind w:left="1225"/>
              <w:spacing w:after="0"/>
              <w:rPr>
                <w:sz w:val="20"/>
                <w:szCs w:val="20"/>
                <w:color w:val="auto"/>
              </w:rPr>
            </w:pPr>
            <w:r>
              <w:rPr>
                <w:rFonts w:ascii="Arial" w:cs="Arial" w:eastAsia="Arial" w:hAnsi="Arial"/>
                <w:sz w:val="14"/>
                <w:szCs w:val="14"/>
                <w:color w:val="auto"/>
              </w:rPr>
              <w:t>(Address of principal executive offices)</w:t>
            </w:r>
          </w:p>
        </w:tc>
        <w:tc>
          <w:tcPr>
            <w:tcW w:w="2220" w:type="dxa"/>
            <w:vAlign w:val="bottom"/>
          </w:tcPr>
          <w:p>
            <w:pPr>
              <w:spacing w:after="0"/>
              <w:rPr>
                <w:sz w:val="15"/>
                <w:szCs w:val="15"/>
                <w:color w:val="auto"/>
              </w:rPr>
            </w:pPr>
          </w:p>
        </w:tc>
        <w:tc>
          <w:tcPr>
            <w:tcW w:w="474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4"/>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tcPr>
          <w:p>
            <w:pPr>
              <w:jc w:val="right"/>
              <w:ind w:right="175"/>
              <w:spacing w:after="0"/>
              <w:rPr>
                <w:sz w:val="20"/>
                <w:szCs w:val="20"/>
                <w:color w:val="auto"/>
              </w:rPr>
            </w:pPr>
            <w:r>
              <w:rPr>
                <w:rFonts w:ascii="Arial" w:cs="Arial" w:eastAsia="Arial" w:hAnsi="Arial"/>
                <w:sz w:val="18"/>
                <w:szCs w:val="18"/>
                <w:b w:val="1"/>
                <w:bCs w:val="1"/>
                <w:color w:val="auto"/>
              </w:rPr>
              <w:t>(616) 772-1800</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520" w:type="dxa"/>
            <w:vAlign w:val="bottom"/>
            <w:gridSpan w:val="3"/>
          </w:tcPr>
          <w:p>
            <w:pPr>
              <w:jc w:val="center"/>
              <w:ind w:right="3623"/>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38"/>
        </w:trPr>
        <w:tc>
          <w:tcPr>
            <w:tcW w:w="2420" w:type="dxa"/>
            <w:vAlign w:val="bottom"/>
          </w:tcPr>
          <w:p>
            <w:pPr>
              <w:spacing w:after="0"/>
              <w:rPr>
                <w:sz w:val="11"/>
                <w:szCs w:val="11"/>
                <w:color w:val="auto"/>
              </w:rPr>
            </w:pPr>
          </w:p>
        </w:tc>
        <w:tc>
          <w:tcPr>
            <w:tcW w:w="8820" w:type="dxa"/>
            <w:vAlign w:val="bottom"/>
            <w:gridSpan w:val="7"/>
          </w:tcPr>
          <w:p>
            <w:pPr>
              <w:jc w:val="right"/>
              <w:ind w:right="386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28"/>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40" w:type="dxa"/>
            <w:vAlign w:val="bottom"/>
            <w:gridSpan w:val="5"/>
          </w:tcPr>
          <w:p>
            <w:pPr>
              <w:jc w:val="center"/>
              <w:ind w:right="290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87"/>
        </w:trPr>
        <w:tc>
          <w:tcPr>
            <w:tcW w:w="428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96"/>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238" w:lineRule="exact"/>
        <w:rPr>
          <w:sz w:val="24"/>
          <w:szCs w:val="24"/>
          <w:color w:val="auto"/>
        </w:rPr>
      </w:pPr>
    </w:p>
    <w:p>
      <w:pPr>
        <w:ind w:right="120"/>
        <w:spacing w:after="0" w:line="26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o</w:t>
      </w:r>
    </w:p>
    <w:p>
      <w:pPr>
        <w:spacing w:after="0" w:line="170" w:lineRule="exact"/>
        <w:rPr>
          <w:sz w:val="24"/>
          <w:szCs w:val="24"/>
          <w:color w:val="auto"/>
        </w:rPr>
      </w:pPr>
    </w:p>
    <w:p>
      <w:pPr>
        <w:ind w:right="520"/>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8" w:lineRule="exact"/>
        <w:rPr>
          <w:sz w:val="24"/>
          <w:szCs w:val="24"/>
          <w:color w:val="auto"/>
        </w:rPr>
      </w:pPr>
    </w:p>
    <w:p>
      <w:pPr>
        <w:ind w:right="2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6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9" w:lineRule="exact"/>
        <w:rPr>
          <w:sz w:val="24"/>
          <w:szCs w:val="24"/>
          <w:color w:val="auto"/>
        </w:rPr>
      </w:pPr>
    </w:p>
    <w:p>
      <w:pPr>
        <w:spacing w:after="0" w:line="161" w:lineRule="exact"/>
        <w:tabs>
          <w:tab w:leader="none" w:pos="828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sz w:val="20"/>
          <w:szCs w:val="20"/>
          <w:color w:val="auto"/>
        </w:rPr>
        <w:tab/>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77" w:lineRule="exact"/>
        <w:rPr>
          <w:sz w:val="24"/>
          <w:szCs w:val="24"/>
          <w:color w:val="auto"/>
        </w:rPr>
      </w:pPr>
    </w:p>
    <w:p>
      <w:pPr>
        <w:ind w:right="540"/>
        <w:spacing w:after="0" w:line="191"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8"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20" w:type="dxa"/>
            <w:vAlign w:val="bottom"/>
          </w:tcPr>
          <w:p>
            <w:pPr>
              <w:spacing w:after="0"/>
              <w:rPr>
                <w:sz w:val="17"/>
                <w:szCs w:val="17"/>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July 28, 2023</w:t>
            </w:r>
          </w:p>
        </w:tc>
      </w:tr>
      <w:tr>
        <w:trPr>
          <w:trHeight w:val="185"/>
        </w:trPr>
        <w:tc>
          <w:tcPr>
            <w:tcW w:w="5180" w:type="dxa"/>
            <w:vAlign w:val="bottom"/>
          </w:tcPr>
          <w:p>
            <w:pPr>
              <w:jc w:val="center"/>
              <w:spacing w:after="0"/>
              <w:rPr>
                <w:sz w:val="20"/>
                <w:szCs w:val="20"/>
                <w:color w:val="auto"/>
              </w:rPr>
            </w:pPr>
            <w:r>
              <w:rPr>
                <w:rFonts w:ascii="Arial" w:cs="Arial" w:eastAsia="Arial" w:hAnsi="Arial"/>
                <w:sz w:val="14"/>
                <w:szCs w:val="14"/>
                <w:color w:val="auto"/>
              </w:rPr>
              <w:t>Common Stock, $.06 Par Value</w:t>
            </w:r>
          </w:p>
        </w:tc>
        <w:tc>
          <w:tcPr>
            <w:tcW w:w="5620" w:type="dxa"/>
            <w:vAlign w:val="bottom"/>
            <w:gridSpan w:val="2"/>
          </w:tcPr>
          <w:p>
            <w:pPr>
              <w:jc w:val="right"/>
              <w:ind w:right="2268"/>
              <w:spacing w:after="0"/>
              <w:rPr>
                <w:sz w:val="20"/>
                <w:szCs w:val="20"/>
                <w:color w:val="auto"/>
              </w:rPr>
            </w:pPr>
            <w:r>
              <w:rPr>
                <w:rFonts w:ascii="Arial" w:cs="Arial" w:eastAsia="Arial" w:hAnsi="Arial"/>
                <w:sz w:val="14"/>
                <w:szCs w:val="14"/>
                <w:color w:val="auto"/>
              </w:rPr>
              <w:t>233,435,809</w:t>
            </w:r>
          </w:p>
        </w:tc>
      </w:tr>
    </w:tbl>
    <w:p>
      <w:pPr>
        <w:spacing w:after="0" w:line="200" w:lineRule="exact"/>
        <w:rPr>
          <w:sz w:val="24"/>
          <w:szCs w:val="24"/>
          <w:color w:val="auto"/>
        </w:rPr>
      </w:pPr>
    </w:p>
    <w:p>
      <w:pPr>
        <w:sectPr>
          <w:pgSz w:w="11900" w:h="16838" w:orient="portrait"/>
          <w:cols w:equalWidth="0" w:num="1">
            <w:col w:w="11240"/>
          </w:cols>
          <w:pgMar w:left="320" w:top="60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080" w:type="dxa"/>
            <w:vAlign w:val="bottom"/>
            <w:gridSpan w:val="14"/>
          </w:tcPr>
          <w:p>
            <w:pPr>
              <w:spacing w:after="0"/>
              <w:rPr>
                <w:sz w:val="20"/>
                <w:szCs w:val="20"/>
                <w:color w:val="auto"/>
              </w:rPr>
            </w:pPr>
            <w:r>
              <w:rPr>
                <w:rFonts w:ascii="Arial" w:cs="Arial" w:eastAsia="Arial" w:hAnsi="Arial"/>
                <w:sz w:val="22"/>
                <w:szCs w:val="22"/>
                <w:b w:val="1"/>
                <w:bCs w:val="1"/>
                <w:color w:val="auto"/>
              </w:rPr>
              <w:t>Part I - Financial Information</w:t>
            </w:r>
          </w:p>
        </w:tc>
        <w:tc>
          <w:tcPr>
            <w:tcW w:w="2460" w:type="dxa"/>
            <w:vAlign w:val="bottom"/>
            <w:gridSpan w:val="3"/>
          </w:tcPr>
          <w:p>
            <w:pPr>
              <w:jc w:val="center"/>
              <w:ind w:left="1849"/>
              <w:spacing w:after="0"/>
              <w:rPr>
                <w:sz w:val="20"/>
                <w:szCs w:val="20"/>
                <w:color w:val="auto"/>
              </w:rPr>
            </w:pPr>
            <w:r>
              <w:rPr>
                <w:rFonts w:ascii="Arial" w:cs="Arial" w:eastAsia="Arial" w:hAnsi="Arial"/>
                <w:sz w:val="22"/>
                <w:szCs w:val="22"/>
                <w:b w:val="1"/>
                <w:bCs w:val="1"/>
                <w:color w:val="auto"/>
                <w:w w:val="98"/>
              </w:rPr>
              <w:t>Page</w:t>
            </w:r>
          </w:p>
        </w:tc>
      </w:tr>
      <w:tr>
        <w:trPr>
          <w:trHeight w:val="188"/>
        </w:trPr>
        <w:tc>
          <w:tcPr>
            <w:tcW w:w="1020" w:type="dxa"/>
            <w:vAlign w:val="bottom"/>
          </w:tcPr>
          <w:p>
            <w:pPr>
              <w:spacing w:after="0" w:line="189" w:lineRule="exact"/>
              <w:rPr>
                <w:sz w:val="20"/>
                <w:szCs w:val="20"/>
                <w:color w:val="auto"/>
              </w:rPr>
            </w:pPr>
            <w:r>
              <w:rPr>
                <w:rFonts w:ascii="Arial" w:cs="Arial" w:eastAsia="Arial" w:hAnsi="Arial"/>
                <w:sz w:val="18"/>
                <w:szCs w:val="18"/>
                <w:color w:val="auto"/>
              </w:rPr>
              <w:t>Item 1.</w:t>
            </w:r>
          </w:p>
        </w:tc>
        <w:tc>
          <w:tcPr>
            <w:tcW w:w="7060" w:type="dxa"/>
            <w:vAlign w:val="bottom"/>
            <w:gridSpan w:val="13"/>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2240" w:type="dxa"/>
            <w:vAlign w:val="bottom"/>
            <w:gridSpan w:val="2"/>
          </w:tcPr>
          <w:p>
            <w:pPr>
              <w:jc w:val="center"/>
              <w:ind w:left="2049"/>
              <w:spacing w:after="0" w:line="189" w:lineRule="exact"/>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6"/>
                <w:szCs w:val="16"/>
                <w:color w:val="auto"/>
              </w:rPr>
            </w:pPr>
          </w:p>
        </w:tc>
      </w:tr>
      <w:tr>
        <w:trPr>
          <w:trHeight w:val="209"/>
        </w:trPr>
        <w:tc>
          <w:tcPr>
            <w:tcW w:w="1020" w:type="dxa"/>
            <w:vAlign w:val="bottom"/>
          </w:tcPr>
          <w:p>
            <w:pPr>
              <w:spacing w:after="0"/>
              <w:rPr>
                <w:sz w:val="18"/>
                <w:szCs w:val="18"/>
                <w:color w:val="auto"/>
              </w:rPr>
            </w:pPr>
          </w:p>
        </w:tc>
        <w:tc>
          <w:tcPr>
            <w:tcW w:w="462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Unaudited Condensed Consolidated Balance Sheets</w:t>
            </w:r>
          </w:p>
        </w:tc>
        <w:tc>
          <w:tcPr>
            <w:tcW w:w="2440" w:type="dxa"/>
            <w:vAlign w:val="bottom"/>
            <w:gridSpan w:val="7"/>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47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Unaudited Condensed Consolidated Statements of Income</w:t>
            </w:r>
          </w:p>
        </w:tc>
        <w:tc>
          <w:tcPr>
            <w:tcW w:w="2360" w:type="dxa"/>
            <w:vAlign w:val="bottom"/>
            <w:gridSpan w:val="6"/>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4</w:t>
            </w:r>
          </w:p>
        </w:tc>
        <w:tc>
          <w:tcPr>
            <w:tcW w:w="220" w:type="dxa"/>
            <w:vAlign w:val="bottom"/>
          </w:tcPr>
          <w:p>
            <w:pPr>
              <w:spacing w:after="0"/>
              <w:rPr>
                <w:sz w:val="19"/>
                <w:szCs w:val="19"/>
                <w:color w:val="auto"/>
              </w:rPr>
            </w:pPr>
          </w:p>
        </w:tc>
      </w:tr>
      <w:tr>
        <w:trPr>
          <w:trHeight w:val="209"/>
        </w:trPr>
        <w:tc>
          <w:tcPr>
            <w:tcW w:w="102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8"/>
                <w:szCs w:val="18"/>
                <w:color w:val="0000FF"/>
              </w:rPr>
              <w:t>Unaudited Condensed Consolidated Statements of Comprehensive Income</w:t>
            </w:r>
          </w:p>
        </w:tc>
        <w:tc>
          <w:tcPr>
            <w:tcW w:w="2240" w:type="dxa"/>
            <w:vAlign w:val="bottom"/>
            <w:gridSpan w:val="2"/>
          </w:tcPr>
          <w:p>
            <w:pPr>
              <w:jc w:val="center"/>
              <w:ind w:left="2049"/>
              <w:spacing w:after="0"/>
              <w:rPr>
                <w:sz w:val="20"/>
                <w:szCs w:val="20"/>
                <w:color w:val="auto"/>
              </w:rPr>
            </w:pPr>
            <w:r>
              <w:rPr>
                <w:rFonts w:ascii="Arial" w:cs="Arial" w:eastAsia="Arial" w:hAnsi="Arial"/>
                <w:sz w:val="18"/>
                <w:szCs w:val="18"/>
                <w:color w:val="0000FF"/>
                <w:w w:val="99"/>
              </w:rPr>
              <w:t>5</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61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Unaudited Condensed Consolidated Statements of Shareholders' Investment</w:t>
            </w:r>
          </w:p>
        </w:tc>
        <w:tc>
          <w:tcPr>
            <w:tcW w:w="9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6</w:t>
            </w:r>
          </w:p>
        </w:tc>
        <w:tc>
          <w:tcPr>
            <w:tcW w:w="220" w:type="dxa"/>
            <w:vAlign w:val="bottom"/>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060" w:type="dxa"/>
            <w:vAlign w:val="bottom"/>
            <w:gridSpan w:val="13"/>
          </w:tcPr>
          <w:p>
            <w:pPr>
              <w:spacing w:after="0"/>
              <w:rPr>
                <w:sz w:val="20"/>
                <w:szCs w:val="20"/>
                <w:color w:val="auto"/>
              </w:rPr>
            </w:pPr>
            <w:r>
              <w:rPr>
                <w:rFonts w:ascii="Arial" w:cs="Arial" w:eastAsia="Arial" w:hAnsi="Arial"/>
                <w:sz w:val="18"/>
                <w:szCs w:val="18"/>
                <w:color w:val="0000FF"/>
              </w:rPr>
              <w:t>Unaudited Condensed Consolidated Statements of Cash Flows</w:t>
            </w:r>
          </w:p>
        </w:tc>
        <w:tc>
          <w:tcPr>
            <w:tcW w:w="2240" w:type="dxa"/>
            <w:vAlign w:val="bottom"/>
            <w:gridSpan w:val="2"/>
          </w:tcPr>
          <w:p>
            <w:pPr>
              <w:jc w:val="center"/>
              <w:ind w:left="2049"/>
              <w:spacing w:after="0"/>
              <w:rPr>
                <w:sz w:val="20"/>
                <w:szCs w:val="20"/>
                <w:color w:val="auto"/>
              </w:rPr>
            </w:pPr>
            <w:r>
              <w:rPr>
                <w:rFonts w:ascii="Arial" w:cs="Arial" w:eastAsia="Arial" w:hAnsi="Arial"/>
                <w:sz w:val="18"/>
                <w:szCs w:val="18"/>
                <w:color w:val="0000FF"/>
                <w:w w:val="99"/>
              </w:rPr>
              <w:t>8</w:t>
            </w:r>
          </w:p>
        </w:tc>
        <w:tc>
          <w:tcPr>
            <w:tcW w:w="2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2240" w:type="dxa"/>
            <w:vAlign w:val="bottom"/>
            <w:gridSpan w:val="2"/>
          </w:tcPr>
          <w:p>
            <w:pPr>
              <w:jc w:val="center"/>
              <w:ind w:left="2049"/>
              <w:spacing w:after="0"/>
              <w:rPr>
                <w:sz w:val="20"/>
                <w:szCs w:val="20"/>
                <w:color w:val="auto"/>
              </w:rPr>
            </w:pPr>
            <w:r>
              <w:rPr>
                <w:rFonts w:ascii="Arial" w:cs="Arial" w:eastAsia="Arial" w:hAnsi="Arial"/>
                <w:sz w:val="18"/>
                <w:szCs w:val="18"/>
                <w:color w:val="0000FF"/>
                <w:w w:val="99"/>
              </w:rPr>
              <w:t>9</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060" w:type="dxa"/>
            <w:vAlign w:val="bottom"/>
            <w:gridSpan w:val="13"/>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22</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7060" w:type="dxa"/>
            <w:vAlign w:val="bottom"/>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33</w:t>
            </w:r>
          </w:p>
        </w:tc>
        <w:tc>
          <w:tcPr>
            <w:tcW w:w="2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4"/>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3"/>
          </w:tcPr>
          <w:p>
            <w:pPr>
              <w:spacing w:after="0"/>
              <w:rPr>
                <w:sz w:val="18"/>
                <w:szCs w:val="18"/>
                <w:color w:val="auto"/>
              </w:rPr>
            </w:pPr>
          </w:p>
        </w:tc>
        <w:tc>
          <w:tcPr>
            <w:tcW w:w="2360" w:type="dxa"/>
            <w:vAlign w:val="bottom"/>
            <w:gridSpan w:val="6"/>
          </w:tcPr>
          <w:p>
            <w:pPr>
              <w:spacing w:after="0"/>
              <w:rPr>
                <w:sz w:val="18"/>
                <w:szCs w:val="18"/>
                <w:color w:val="auto"/>
              </w:rPr>
            </w:pP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33</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561"/>
        </w:trPr>
        <w:tc>
          <w:tcPr>
            <w:tcW w:w="8080" w:type="dxa"/>
            <w:vAlign w:val="bottom"/>
            <w:gridSpan w:val="14"/>
          </w:tcPr>
          <w:p>
            <w:pPr>
              <w:spacing w:after="0"/>
              <w:rPr>
                <w:sz w:val="20"/>
                <w:szCs w:val="20"/>
                <w:color w:val="auto"/>
              </w:rPr>
            </w:pPr>
            <w:r>
              <w:rPr>
                <w:rFonts w:ascii="Arial" w:cs="Arial" w:eastAsia="Arial" w:hAnsi="Arial"/>
                <w:sz w:val="22"/>
                <w:szCs w:val="22"/>
                <w:b w:val="1"/>
                <w:bCs w:val="1"/>
                <w:color w:val="auto"/>
              </w:rPr>
              <w:t>Part II - Other Information</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8"/>
        </w:trPr>
        <w:tc>
          <w:tcPr>
            <w:tcW w:w="1020" w:type="dxa"/>
            <w:vAlign w:val="bottom"/>
          </w:tcPr>
          <w:p>
            <w:pPr>
              <w:spacing w:after="0" w:line="189" w:lineRule="exact"/>
              <w:rPr>
                <w:sz w:val="20"/>
                <w:szCs w:val="20"/>
                <w:color w:val="auto"/>
              </w:rPr>
            </w:pPr>
            <w:r>
              <w:rPr>
                <w:rFonts w:ascii="Arial" w:cs="Arial" w:eastAsia="Arial" w:hAnsi="Arial"/>
                <w:sz w:val="18"/>
                <w:szCs w:val="18"/>
                <w:color w:val="auto"/>
              </w:rPr>
              <w:t>Item 1A.</w:t>
            </w:r>
          </w:p>
        </w:tc>
        <w:tc>
          <w:tcPr>
            <w:tcW w:w="7060" w:type="dxa"/>
            <w:vAlign w:val="bottom"/>
            <w:gridSpan w:val="13"/>
          </w:tcPr>
          <w:p>
            <w:pPr>
              <w:spacing w:after="0" w:line="189" w:lineRule="exact"/>
              <w:rPr>
                <w:sz w:val="20"/>
                <w:szCs w:val="20"/>
                <w:color w:val="auto"/>
              </w:rPr>
            </w:pPr>
            <w:r>
              <w:rPr>
                <w:rFonts w:ascii="Arial" w:cs="Arial" w:eastAsia="Arial" w:hAnsi="Arial"/>
                <w:sz w:val="18"/>
                <w:szCs w:val="18"/>
                <w:color w:val="0000FF"/>
              </w:rPr>
              <w:t>Risk Factors</w:t>
            </w:r>
          </w:p>
        </w:tc>
        <w:tc>
          <w:tcPr>
            <w:tcW w:w="2240" w:type="dxa"/>
            <w:vAlign w:val="bottom"/>
            <w:gridSpan w:val="2"/>
          </w:tcPr>
          <w:p>
            <w:pPr>
              <w:jc w:val="center"/>
              <w:ind w:left="1949"/>
              <w:spacing w:after="0" w:line="189" w:lineRule="exact"/>
              <w:rPr>
                <w:sz w:val="20"/>
                <w:szCs w:val="20"/>
                <w:color w:val="auto"/>
              </w:rPr>
            </w:pPr>
            <w:r>
              <w:rPr>
                <w:rFonts w:ascii="Arial" w:cs="Arial" w:eastAsia="Arial" w:hAnsi="Arial"/>
                <w:sz w:val="18"/>
                <w:szCs w:val="18"/>
                <w:color w:val="0000FF"/>
                <w:w w:val="99"/>
              </w:rPr>
              <w:t>35</w:t>
            </w:r>
          </w:p>
        </w:tc>
        <w:tc>
          <w:tcPr>
            <w:tcW w:w="2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5"/>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2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8"/>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200" w:type="dxa"/>
            <w:vAlign w:val="bottom"/>
            <w:gridSpan w:val="5"/>
          </w:tcPr>
          <w:p>
            <w:pPr>
              <w:spacing w:after="0"/>
              <w:rPr>
                <w:sz w:val="19"/>
                <w:szCs w:val="19"/>
                <w:color w:val="auto"/>
              </w:rPr>
            </w:pP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35</w:t>
            </w:r>
          </w:p>
        </w:tc>
        <w:tc>
          <w:tcPr>
            <w:tcW w:w="2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7"/>
          </w:tcPr>
          <w:p>
            <w:pPr>
              <w:spacing w:after="0"/>
              <w:rPr>
                <w:sz w:val="18"/>
                <w:szCs w:val="18"/>
                <w:color w:val="auto"/>
              </w:rPr>
            </w:pPr>
          </w:p>
        </w:tc>
        <w:tc>
          <w:tcPr>
            <w:tcW w:w="2200" w:type="dxa"/>
            <w:vAlign w:val="bottom"/>
            <w:gridSpan w:val="5"/>
          </w:tcPr>
          <w:p>
            <w:pPr>
              <w:spacing w:after="0"/>
              <w:rPr>
                <w:sz w:val="18"/>
                <w:szCs w:val="18"/>
                <w:color w:val="auto"/>
              </w:rPr>
            </w:pP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35</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60" w:type="dxa"/>
            <w:vAlign w:val="bottom"/>
            <w:gridSpan w:val="10"/>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8"/>
                <w:szCs w:val="18"/>
                <w:color w:val="0302FF"/>
              </w:rPr>
              <w:t>Signatures</w:t>
            </w: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35</w:t>
            </w:r>
          </w:p>
        </w:tc>
        <w:tc>
          <w:tcPr>
            <w:tcW w:w="22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302FF"/>
          </w:tcPr>
          <w:p>
            <w:pPr>
              <w:spacing w:after="0" w:line="20" w:lineRule="exact"/>
              <w:rPr>
                <w:sz w:val="1"/>
                <w:szCs w:val="1"/>
                <w:color w:val="auto"/>
              </w:rPr>
            </w:pPr>
          </w:p>
        </w:tc>
        <w:tc>
          <w:tcPr>
            <w:tcW w:w="220" w:type="dxa"/>
            <w:vAlign w:val="bottom"/>
            <w:shd w:val="clear" w:color="auto" w:fill="030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r>
        <w:trPr>
          <w:trHeight w:val="223"/>
        </w:trPr>
        <w:tc>
          <w:tcPr>
            <w:tcW w:w="1020" w:type="dxa"/>
            <w:vAlign w:val="bottom"/>
          </w:tcPr>
          <w:p>
            <w:pPr>
              <w:spacing w:after="0"/>
              <w:rPr>
                <w:sz w:val="19"/>
                <w:szCs w:val="19"/>
                <w:color w:val="auto"/>
              </w:rPr>
            </w:pPr>
          </w:p>
        </w:tc>
        <w:tc>
          <w:tcPr>
            <w:tcW w:w="1000" w:type="dxa"/>
            <w:vAlign w:val="bottom"/>
            <w:gridSpan w:val="3"/>
          </w:tcPr>
          <w:p>
            <w:pPr>
              <w:spacing w:after="0"/>
              <w:rPr>
                <w:sz w:val="20"/>
                <w:szCs w:val="20"/>
                <w:color w:val="auto"/>
              </w:rPr>
            </w:pPr>
            <w:r>
              <w:rPr>
                <w:rFonts w:ascii="Arial" w:cs="Arial" w:eastAsia="Arial" w:hAnsi="Arial"/>
                <w:sz w:val="18"/>
                <w:szCs w:val="18"/>
                <w:color w:val="0000FF"/>
                <w:w w:val="93"/>
              </w:rPr>
              <w:t>Exhibit Index</w:t>
            </w:r>
          </w:p>
        </w:tc>
        <w:tc>
          <w:tcPr>
            <w:tcW w:w="6060" w:type="dxa"/>
            <w:vAlign w:val="bottom"/>
            <w:gridSpan w:val="10"/>
          </w:tcPr>
          <w:p>
            <w:pPr>
              <w:spacing w:after="0"/>
              <w:rPr>
                <w:sz w:val="19"/>
                <w:szCs w:val="19"/>
                <w:color w:val="auto"/>
              </w:rPr>
            </w:pPr>
          </w:p>
        </w:tc>
        <w:tc>
          <w:tcPr>
            <w:tcW w:w="2240" w:type="dxa"/>
            <w:vAlign w:val="bottom"/>
            <w:gridSpan w:val="2"/>
          </w:tcPr>
          <w:p>
            <w:pPr>
              <w:jc w:val="center"/>
              <w:ind w:left="1949"/>
              <w:spacing w:after="0"/>
              <w:rPr>
                <w:sz w:val="20"/>
                <w:szCs w:val="20"/>
                <w:color w:val="auto"/>
              </w:rPr>
            </w:pPr>
            <w:r>
              <w:rPr>
                <w:rFonts w:ascii="Arial" w:cs="Arial" w:eastAsia="Arial" w:hAnsi="Arial"/>
                <w:sz w:val="18"/>
                <w:szCs w:val="18"/>
                <w:color w:val="0000FF"/>
                <w:w w:val="99"/>
              </w:rPr>
              <w:t>37</w:t>
            </w:r>
          </w:p>
        </w:tc>
        <w:tc>
          <w:tcPr>
            <w:tcW w:w="22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69850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2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2023 and December 31, 2022</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June 30, 2023 (Unaudited)</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237,665,601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214,754,638</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20,172,297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23,007,385</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350,409,472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276,493,752</w:t>
            </w:r>
          </w:p>
        </w:tc>
        <w:tc>
          <w:tcPr>
            <w:tcW w:w="0" w:type="dxa"/>
            <w:vAlign w:val="bottom"/>
          </w:tcPr>
          <w:p>
            <w:pPr>
              <w:spacing w:after="0"/>
              <w:rPr>
                <w:sz w:val="1"/>
                <w:szCs w:val="1"/>
                <w:color w:val="auto"/>
              </w:rPr>
            </w:pPr>
          </w:p>
        </w:tc>
      </w:tr>
      <w:tr>
        <w:trPr>
          <w:trHeight w:val="236"/>
        </w:trPr>
        <w:tc>
          <w:tcPr>
            <w:tcW w:w="6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390,026,268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404,360,270</w:t>
            </w:r>
          </w:p>
        </w:tc>
        <w:tc>
          <w:tcPr>
            <w:tcW w:w="0" w:type="dxa"/>
            <w:vAlign w:val="bottom"/>
          </w:tcPr>
          <w:p>
            <w:pPr>
              <w:spacing w:after="0"/>
              <w:rPr>
                <w:sz w:val="1"/>
                <w:szCs w:val="1"/>
                <w:color w:val="auto"/>
              </w:rPr>
            </w:pPr>
          </w:p>
        </w:tc>
      </w:tr>
      <w:tr>
        <w:trPr>
          <w:trHeight w:val="236"/>
        </w:trPr>
        <w:tc>
          <w:tcPr>
            <w:tcW w:w="6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27,032,788</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26,036,331</w:t>
            </w:r>
          </w:p>
        </w:tc>
        <w:tc>
          <w:tcPr>
            <w:tcW w:w="0" w:type="dxa"/>
            <w:vAlign w:val="bottom"/>
          </w:tcPr>
          <w:p>
            <w:pPr>
              <w:spacing w:after="0"/>
              <w:rPr>
                <w:sz w:val="1"/>
                <w:szCs w:val="1"/>
                <w:color w:val="auto"/>
              </w:rPr>
            </w:pPr>
          </w:p>
        </w:tc>
      </w:tr>
      <w:tr>
        <w:trPr>
          <w:trHeight w:val="223"/>
        </w:trPr>
        <w:tc>
          <w:tcPr>
            <w:tcW w:w="68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1,025,306,426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948,652,376</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PLANT AND EQUIPMENT—NET</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596,694,337</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550,033,036</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313,647,268</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313,807,494</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239,621,466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202,331,983</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209,710,910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219,360,910</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28,943,561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25,528,700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Patents and other assets, net</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73,183,124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67,515,425</w:t>
            </w:r>
          </w:p>
        </w:tc>
        <w:tc>
          <w:tcPr>
            <w:tcW w:w="0" w:type="dxa"/>
            <w:vAlign w:val="bottom"/>
          </w:tcPr>
          <w:p>
            <w:pPr>
              <w:spacing w:after="0"/>
              <w:rPr>
                <w:sz w:val="1"/>
                <w:szCs w:val="1"/>
                <w:color w:val="auto"/>
              </w:rPr>
            </w:pPr>
          </w:p>
        </w:tc>
      </w:tr>
      <w:tr>
        <w:trPr>
          <w:trHeight w:val="223"/>
        </w:trPr>
        <w:tc>
          <w:tcPr>
            <w:tcW w:w="6820" w:type="dxa"/>
            <w:vAlign w:val="bottom"/>
          </w:tcPr>
          <w:p>
            <w:pPr>
              <w:ind w:left="46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865,106,329</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828,544,512</w:t>
            </w:r>
          </w:p>
        </w:tc>
        <w:tc>
          <w:tcPr>
            <w:tcW w:w="0" w:type="dxa"/>
            <w:vAlign w:val="bottom"/>
          </w:tcPr>
          <w:p>
            <w:pPr>
              <w:spacing w:after="0"/>
              <w:rPr>
                <w:sz w:val="1"/>
                <w:szCs w:val="1"/>
                <w:color w:val="auto"/>
              </w:rPr>
            </w:pPr>
          </w:p>
        </w:tc>
      </w:tr>
      <w:tr>
        <w:trPr>
          <w:trHeight w:val="25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2,487,107,092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2,327,229,924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SHAREHOLDERS’ INVESTMENT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168,456,476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151,740,046</w:t>
            </w: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107,605,540</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98,812,706</w:t>
            </w:r>
          </w:p>
        </w:tc>
        <w:tc>
          <w:tcPr>
            <w:tcW w:w="0" w:type="dxa"/>
            <w:vAlign w:val="bottom"/>
          </w:tcPr>
          <w:p>
            <w:pPr>
              <w:spacing w:after="0"/>
              <w:rPr>
                <w:sz w:val="1"/>
                <w:szCs w:val="1"/>
                <w:color w:val="auto"/>
              </w:rPr>
            </w:pPr>
          </w:p>
        </w:tc>
      </w:tr>
      <w:tr>
        <w:trPr>
          <w:trHeight w:val="223"/>
        </w:trPr>
        <w:tc>
          <w:tcPr>
            <w:tcW w:w="682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276,062,016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250,552,752</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15,095,750</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10,884,351</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291,157,766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261,437,103</w:t>
            </w:r>
          </w:p>
        </w:tc>
        <w:tc>
          <w:tcPr>
            <w:tcW w:w="0" w:type="dxa"/>
            <w:vAlign w:val="bottom"/>
          </w:tcPr>
          <w:p>
            <w:pPr>
              <w:spacing w:after="0"/>
              <w:rPr>
                <w:sz w:val="1"/>
                <w:szCs w:val="1"/>
                <w:color w:val="auto"/>
              </w:rPr>
            </w:pPr>
          </w:p>
        </w:tc>
      </w:tr>
      <w:tr>
        <w:trPr>
          <w:trHeight w:val="236"/>
        </w:trPr>
        <w:tc>
          <w:tcPr>
            <w:tcW w:w="6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SHAREHOLDERS’ INVESTMENT</w:t>
            </w:r>
          </w:p>
        </w:tc>
        <w:tc>
          <w:tcPr>
            <w:tcW w:w="1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14,005,799</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14,050,160</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942,660,764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917,499,323</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1,252,525,531</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1,148,386,272</w:t>
            </w: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(13,242,768)</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(14,142,934)</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shareholders’ investment</w:t>
            </w: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2,195,949,326</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2,065,792,821</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2,487,107,092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2,327,229,924</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right="80"/>
        <w:spacing w:after="0" w:line="255" w:lineRule="auto"/>
        <w:rPr>
          <w:sz w:val="20"/>
          <w:szCs w:val="20"/>
          <w:color w:val="auto"/>
        </w:rPr>
      </w:pPr>
      <w:r>
        <w:rPr>
          <w:rFonts w:ascii="Arial" w:cs="Arial" w:eastAsia="Arial" w:hAnsi="Arial"/>
          <w:sz w:val="13"/>
          <w:szCs w:val="13"/>
          <w:color w:val="auto"/>
        </w:rPr>
        <w:t>Note: The condensed consolidated balance sheet at December 31, 2022 has been derived from the audited consolidated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 w:name="page4"/>
    <w:bookmarkEnd w:id="3"/>
    <w:p>
      <w:pPr>
        <w:jc w:val="center"/>
        <w:spacing w:after="0" w:line="463"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Six Months Ended June 30, 2023 and 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2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203"/>
        </w:trPr>
        <w:tc>
          <w:tcPr>
            <w:tcW w:w="4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224"/>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583,472,846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463,423,002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1,134,234,157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931,673,777</w:t>
            </w:r>
          </w:p>
        </w:tc>
      </w:tr>
      <w:tr>
        <w:trPr>
          <w:trHeight w:val="230"/>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390,389,807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315,055,988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766,413,887</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622,894,804</w:t>
            </w:r>
          </w:p>
        </w:tc>
      </w:tr>
      <w:tr>
        <w:trPr>
          <w:trHeight w:val="223"/>
        </w:trPr>
        <w:tc>
          <w:tcPr>
            <w:tcW w:w="4440" w:type="dxa"/>
            <w:vAlign w:val="bottom"/>
          </w:tcPr>
          <w:p>
            <w:pPr>
              <w:ind w:left="46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193,083,039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148,367,014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367,820,270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308,778,973</w:t>
            </w:r>
          </w:p>
        </w:tc>
      </w:tr>
      <w:tr>
        <w:trPr>
          <w:trHeight w:val="229"/>
        </w:trPr>
        <w:tc>
          <w:tcPr>
            <w:tcW w:w="4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6"/>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Engineering, research and development</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37,973,790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32,857,419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72,627,537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64,832,406</w:t>
            </w:r>
          </w:p>
        </w:tc>
      </w:tr>
      <w:tr>
        <w:trPr>
          <w:trHeight w:val="230"/>
        </w:trPr>
        <w:tc>
          <w:tcPr>
            <w:tcW w:w="4440" w:type="dxa"/>
            <w:vAlign w:val="bottom"/>
          </w:tcPr>
          <w:p>
            <w:pPr>
              <w:ind w:left="240"/>
              <w:spacing w:after="0"/>
              <w:rPr>
                <w:sz w:val="20"/>
                <w:szCs w:val="20"/>
                <w:color w:val="auto"/>
              </w:rPr>
            </w:pPr>
            <w:r>
              <w:rPr>
                <w:rFonts w:ascii="Arial" w:cs="Arial" w:eastAsia="Arial" w:hAnsi="Arial"/>
                <w:sz w:val="18"/>
                <w:szCs w:val="18"/>
                <w:color w:val="auto"/>
              </w:rPr>
              <w:t>Selling, general &amp; administrative</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27,819,861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29,718,626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54,652,698</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54,849,694</w:t>
            </w:r>
          </w:p>
        </w:tc>
      </w:tr>
      <w:tr>
        <w:trPr>
          <w:trHeight w:val="237"/>
        </w:trPr>
        <w:tc>
          <w:tcPr>
            <w:tcW w:w="4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65,793,651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62,576,045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127,280,235</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119,682,100</w:t>
            </w:r>
          </w:p>
        </w:tc>
      </w:tr>
      <w:tr>
        <w:trPr>
          <w:trHeight w:val="209"/>
        </w:trPr>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127,289,388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85,790,969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240,540,035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189,096,873</w:t>
            </w:r>
          </w:p>
        </w:tc>
      </w:tr>
      <w:tr>
        <w:trPr>
          <w:trHeight w:val="229"/>
        </w:trPr>
        <w:tc>
          <w:tcPr>
            <w:tcW w:w="4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6"/>
        </w:trPr>
        <w:tc>
          <w:tcPr>
            <w:tcW w:w="444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2,890,934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920,284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5,830,128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1,708,600</w:t>
            </w:r>
          </w:p>
        </w:tc>
      </w:tr>
      <w:tr>
        <w:trPr>
          <w:trHeight w:val="236"/>
        </w:trPr>
        <w:tc>
          <w:tcPr>
            <w:tcW w:w="4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loss, net</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9"/>
              </w:rPr>
              <w:t>(1,576,538)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(1,771,277)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(2,702,079)</w:t>
            </w:r>
          </w:p>
        </w:tc>
      </w:tr>
      <w:tr>
        <w:trPr>
          <w:trHeight w:val="223"/>
        </w:trPr>
        <w:tc>
          <w:tcPr>
            <w:tcW w:w="4440" w:type="dxa"/>
            <w:vAlign w:val="bottom"/>
          </w:tcPr>
          <w:p>
            <w:pPr>
              <w:ind w:left="460"/>
              <w:spacing w:after="0"/>
              <w:rPr>
                <w:sz w:val="20"/>
                <w:szCs w:val="20"/>
                <w:color w:val="auto"/>
              </w:rPr>
            </w:pPr>
            <w:r>
              <w:rPr>
                <w:rFonts w:ascii="Arial" w:cs="Arial" w:eastAsia="Arial" w:hAnsi="Arial"/>
                <w:sz w:val="18"/>
                <w:szCs w:val="18"/>
                <w:color w:val="auto"/>
              </w:rPr>
              <w:t>Total other income (loss)</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1,314,396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(982,985)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4,058,851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(993,479)</w:t>
            </w:r>
          </w:p>
        </w:tc>
      </w:tr>
      <w:tr>
        <w:trPr>
          <w:trHeight w:val="223"/>
        </w:trPr>
        <w:tc>
          <w:tcPr>
            <w:tcW w:w="4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6"/>
        </w:trPr>
        <w:tc>
          <w:tcPr>
            <w:tcW w:w="4440" w:type="dxa"/>
            <w:vAlign w:val="bottom"/>
          </w:tcPr>
          <w:p>
            <w:pPr>
              <w:ind w:left="20"/>
              <w:spacing w:after="0"/>
              <w:rPr>
                <w:sz w:val="20"/>
                <w:szCs w:val="20"/>
                <w:color w:val="auto"/>
              </w:rPr>
            </w:pPr>
            <w:r>
              <w:rPr>
                <w:rFonts w:ascii="Arial" w:cs="Arial" w:eastAsia="Arial" w:hAnsi="Arial"/>
                <w:sz w:val="18"/>
                <w:szCs w:val="18"/>
                <w:color w:val="auto"/>
                <w:w w:val="99"/>
              </w:rPr>
              <w:t>INCOME BEFORE PROVISION FOR INCOME TAXES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128,603,784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84,807,984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244,598,886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188,103,394</w:t>
            </w:r>
          </w:p>
        </w:tc>
      </w:tr>
      <w:tr>
        <w:trPr>
          <w:trHeight w:val="236"/>
        </w:trPr>
        <w:tc>
          <w:tcPr>
            <w:tcW w:w="4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19,448,381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12,403,581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37,865,222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28,170,366</w:t>
            </w:r>
          </w:p>
        </w:tc>
      </w:tr>
      <w:tr>
        <w:trPr>
          <w:trHeight w:val="230"/>
        </w:trPr>
        <w:tc>
          <w:tcPr>
            <w:tcW w:w="44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109,155,403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72,404,403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206,733,664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159,933,028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36"/>
        </w:trPr>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0.68</w:t>
            </w:r>
          </w:p>
        </w:tc>
      </w:tr>
      <w:tr>
        <w:trPr>
          <w:trHeight w:val="236"/>
        </w:trPr>
        <w:tc>
          <w:tcPr>
            <w:tcW w:w="4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0.240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0.240</w:t>
            </w:r>
          </w:p>
        </w:tc>
      </w:tr>
    </w:tbl>
    <w:p>
      <w:pPr>
        <w:spacing w:after="0" w:line="278" w:lineRule="exact"/>
        <w:rPr>
          <w:sz w:val="20"/>
          <w:szCs w:val="20"/>
          <w:color w:val="auto"/>
        </w:rPr>
      </w:pPr>
    </w:p>
    <w:p>
      <w:pPr>
        <w:ind w:left="180" w:hanging="154"/>
        <w:spacing w:after="0"/>
        <w:tabs>
          <w:tab w:leader="none" w:pos="18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80"/>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Six Months Ended June 30,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109,155,403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72,404,403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206,733,664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159,933,028</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(1,456,377)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(3,131,326)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(1,577,544)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(4,027,746)</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gains (losses) on debt securities, net</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554,565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(3,414,108)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3,136,342</w:t>
            </w:r>
          </w:p>
        </w:tc>
        <w:tc>
          <w:tcPr>
            <w:tcW w:w="1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(11,209,338)</w:t>
            </w: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(6,545,434)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1,558,798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(15,237,084)</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Income tax impact related to components of other</w:t>
            </w:r>
          </w:p>
        </w:tc>
        <w:tc>
          <w:tcPr>
            <w:tcW w:w="2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116,459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(716,963)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658,632</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(2,353,961)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(5,828,471)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900,166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(12,883,123)</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108,137,132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66,575,932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207,633,830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147,049,905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INVESTMENT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1060" w:type="dxa"/>
            <w:vAlign w:val="bottom"/>
            <w:vMerge w:val="restart"/>
          </w:tcPr>
          <w:p>
            <w:pPr>
              <w:jc w:val="center"/>
              <w:ind w:right="166"/>
              <w:spacing w:after="0"/>
              <w:rPr>
                <w:sz w:val="20"/>
                <w:szCs w:val="20"/>
                <w:color w:val="auto"/>
              </w:rPr>
            </w:pPr>
            <w:r>
              <w:rPr>
                <w:rFonts w:ascii="Arial" w:cs="Arial" w:eastAsia="Arial" w:hAnsi="Arial"/>
                <w:sz w:val="16"/>
                <w:szCs w:val="16"/>
                <w:b w:val="1"/>
                <w:bCs w:val="1"/>
                <w:color w:val="auto"/>
              </w:rPr>
              <w:t>Common</w:t>
            </w:r>
          </w:p>
        </w:tc>
        <w:tc>
          <w:tcPr>
            <w:tcW w:w="220" w:type="dxa"/>
            <w:vAlign w:val="bottom"/>
          </w:tcPr>
          <w:p>
            <w:pPr>
              <w:spacing w:after="0"/>
              <w:rPr>
                <w:sz w:val="16"/>
                <w:szCs w:val="16"/>
                <w:color w:val="auto"/>
              </w:rPr>
            </w:pPr>
          </w:p>
        </w:tc>
        <w:tc>
          <w:tcPr>
            <w:tcW w:w="1080" w:type="dxa"/>
            <w:vAlign w:val="bottom"/>
            <w:vMerge w:val="restart"/>
          </w:tcPr>
          <w:p>
            <w:pPr>
              <w:jc w:val="right"/>
              <w:ind w:right="186"/>
              <w:spacing w:after="0"/>
              <w:rPr>
                <w:sz w:val="20"/>
                <w:szCs w:val="20"/>
                <w:color w:val="auto"/>
              </w:rPr>
            </w:pPr>
            <w:r>
              <w:rPr>
                <w:rFonts w:ascii="Arial" w:cs="Arial" w:eastAsia="Arial" w:hAnsi="Arial"/>
                <w:sz w:val="16"/>
                <w:szCs w:val="16"/>
                <w:b w:val="1"/>
                <w:bCs w:val="1"/>
                <w:color w:val="auto"/>
              </w:rPr>
              <w:t>Additional</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45"/>
              <w:spacing w:after="0"/>
              <w:rPr>
                <w:sz w:val="20"/>
                <w:szCs w:val="20"/>
                <w:color w:val="auto"/>
              </w:rPr>
            </w:pPr>
            <w:r>
              <w:rPr>
                <w:rFonts w:ascii="Arial" w:cs="Arial" w:eastAsia="Arial" w:hAnsi="Arial"/>
                <w:sz w:val="16"/>
                <w:szCs w:val="16"/>
                <w:b w:val="1"/>
                <w:bCs w:val="1"/>
                <w:color w:val="auto"/>
              </w:rPr>
              <w:t>Accumulated</w:t>
            </w: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320" w:type="dxa"/>
            <w:vAlign w:val="bottom"/>
            <w:vMerge w:val="restart"/>
          </w:tcPr>
          <w:p>
            <w:pPr>
              <w:jc w:val="right"/>
              <w:ind w:right="26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20" w:type="dxa"/>
            <w:vAlign w:val="bottom"/>
          </w:tcPr>
          <w:p>
            <w:pPr>
              <w:jc w:val="center"/>
              <w:ind w:right="125"/>
              <w:spacing w:after="0" w:line="162" w:lineRule="exact"/>
              <w:rPr>
                <w:sz w:val="20"/>
                <w:szCs w:val="20"/>
                <w:color w:val="auto"/>
              </w:rPr>
            </w:pPr>
            <w:r>
              <w:rPr>
                <w:rFonts w:ascii="Arial" w:cs="Arial" w:eastAsia="Arial" w:hAnsi="Arial"/>
                <w:sz w:val="16"/>
                <w:szCs w:val="16"/>
                <w:b w:val="1"/>
                <w:bCs w:val="1"/>
                <w:color w:val="auto"/>
              </w:rPr>
              <w:t>Other</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4"/>
                <w:szCs w:val="14"/>
                <w:color w:val="auto"/>
              </w:rPr>
            </w:pPr>
          </w:p>
        </w:tc>
        <w:tc>
          <w:tcPr>
            <w:tcW w:w="1080" w:type="dxa"/>
            <w:vAlign w:val="bottom"/>
          </w:tcPr>
          <w:p>
            <w:pPr>
              <w:jc w:val="right"/>
              <w:ind w:right="286"/>
              <w:spacing w:after="0" w:line="162" w:lineRule="exact"/>
              <w:rPr>
                <w:sz w:val="20"/>
                <w:szCs w:val="20"/>
                <w:color w:val="auto"/>
              </w:rPr>
            </w:pPr>
            <w:r>
              <w:rPr>
                <w:rFonts w:ascii="Arial" w:cs="Arial" w:eastAsia="Arial" w:hAnsi="Arial"/>
                <w:sz w:val="16"/>
                <w:szCs w:val="16"/>
                <w:b w:val="1"/>
                <w:bCs w:val="1"/>
                <w:color w:val="auto"/>
              </w:rPr>
              <w:t>Paid-In</w:t>
            </w:r>
          </w:p>
        </w:tc>
        <w:tc>
          <w:tcPr>
            <w:tcW w:w="1320" w:type="dxa"/>
            <w:vAlign w:val="bottom"/>
            <w:vMerge w:val="continue"/>
          </w:tcPr>
          <w:p>
            <w:pPr>
              <w:spacing w:after="0"/>
              <w:rPr>
                <w:sz w:val="14"/>
                <w:szCs w:val="14"/>
                <w:color w:val="auto"/>
              </w:rPr>
            </w:pPr>
          </w:p>
        </w:tc>
        <w:tc>
          <w:tcPr>
            <w:tcW w:w="1520" w:type="dxa"/>
            <w:vAlign w:val="bottom"/>
            <w:gridSpan w:val="2"/>
          </w:tcPr>
          <w:p>
            <w:pPr>
              <w:jc w:val="right"/>
              <w:ind w:right="65"/>
              <w:spacing w:after="0" w:line="162" w:lineRule="exact"/>
              <w:rPr>
                <w:sz w:val="20"/>
                <w:szCs w:val="20"/>
                <w:color w:val="auto"/>
              </w:rPr>
            </w:pPr>
            <w:r>
              <w:rPr>
                <w:rFonts w:ascii="Arial" w:cs="Arial" w:eastAsia="Arial" w:hAnsi="Arial"/>
                <w:sz w:val="16"/>
                <w:szCs w:val="16"/>
                <w:b w:val="1"/>
                <w:bCs w:val="1"/>
                <w:color w:val="auto"/>
              </w:rPr>
              <w:t>Comprehensive</w:t>
            </w:r>
          </w:p>
        </w:tc>
        <w:tc>
          <w:tcPr>
            <w:tcW w:w="1240" w:type="dxa"/>
            <w:vAlign w:val="bottom"/>
          </w:tcPr>
          <w:p>
            <w:pPr>
              <w:jc w:val="center"/>
              <w:ind w:left="6"/>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Capital</w:t>
            </w:r>
          </w:p>
        </w:tc>
        <w:tc>
          <w:tcPr>
            <w:tcW w:w="132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05"/>
              <w:spacing w:after="0"/>
              <w:rPr>
                <w:sz w:val="20"/>
                <w:szCs w:val="20"/>
                <w:color w:val="auto"/>
              </w:rPr>
            </w:pPr>
            <w:r>
              <w:rPr>
                <w:rFonts w:ascii="Arial" w:cs="Arial" w:eastAsia="Arial" w:hAnsi="Arial"/>
                <w:sz w:val="16"/>
                <w:szCs w:val="16"/>
                <w:b w:val="1"/>
                <w:bCs w:val="1"/>
                <w:color w:val="auto"/>
              </w:rPr>
              <w:t>Income (Loss)</w:t>
            </w:r>
          </w:p>
        </w:tc>
        <w:tc>
          <w:tcPr>
            <w:tcW w:w="1240" w:type="dxa"/>
            <w:vAlign w:val="bottom"/>
            <w:tcBorders>
              <w:bottom w:val="single" w:sz="8" w:color="auto"/>
            </w:tcBorders>
          </w:tcPr>
          <w:p>
            <w:pPr>
              <w:jc w:val="center"/>
              <w:ind w:left="2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APRIL 1, 2023</w:t>
            </w:r>
          </w:p>
        </w:tc>
        <w:tc>
          <w:tcPr>
            <w:tcW w:w="122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233,726,045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14,023,563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928,284,892</w:t>
            </w:r>
          </w:p>
        </w:tc>
        <w:tc>
          <w:tcPr>
            <w:tcW w:w="132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$ 1,193,171,690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(12,224,497)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$ 2,123,255,648</w:t>
            </w:r>
          </w:p>
        </w:tc>
        <w:tc>
          <w:tcPr>
            <w:tcW w:w="0" w:type="dxa"/>
            <w:vAlign w:val="bottom"/>
          </w:tcPr>
          <w:p>
            <w:pPr>
              <w:spacing w:after="0"/>
              <w:rPr>
                <w:sz w:val="1"/>
                <w:szCs w:val="1"/>
                <w:color w:val="auto"/>
              </w:rPr>
            </w:pPr>
          </w:p>
        </w:tc>
      </w:tr>
      <w:tr>
        <w:trPr>
          <w:trHeight w:val="165"/>
        </w:trPr>
        <w:tc>
          <w:tcPr>
            <w:tcW w:w="3360" w:type="dxa"/>
            <w:vAlign w:val="bottom"/>
          </w:tcPr>
          <w:p>
            <w:pPr>
              <w:ind w:left="20"/>
              <w:spacing w:after="0" w:line="165" w:lineRule="exact"/>
              <w:rPr>
                <w:sz w:val="20"/>
                <w:szCs w:val="20"/>
                <w:color w:val="auto"/>
              </w:rPr>
            </w:pPr>
            <w:r>
              <w:rPr>
                <w:rFonts w:ascii="Arial" w:cs="Arial" w:eastAsia="Arial" w:hAnsi="Arial"/>
                <w:sz w:val="16"/>
                <w:szCs w:val="16"/>
                <w:color w:val="auto"/>
              </w:rPr>
              <w:t>Issuance of common stock from stock plan</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220" w:type="dxa"/>
            <w:vAlign w:val="bottom"/>
          </w:tcPr>
          <w:p>
            <w:pPr>
              <w:jc w:val="right"/>
              <w:ind w:right="86"/>
              <w:spacing w:after="0"/>
              <w:rPr>
                <w:sz w:val="20"/>
                <w:szCs w:val="20"/>
                <w:color w:val="auto"/>
              </w:rPr>
            </w:pPr>
            <w:r>
              <w:rPr>
                <w:rFonts w:ascii="Arial" w:cs="Arial" w:eastAsia="Arial" w:hAnsi="Arial"/>
                <w:sz w:val="14"/>
                <w:szCs w:val="14"/>
                <w:color w:val="auto"/>
              </w:rPr>
              <w:t>624,323</w:t>
            </w:r>
          </w:p>
        </w:tc>
        <w:tc>
          <w:tcPr>
            <w:tcW w:w="22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37,459</w:t>
            </w:r>
          </w:p>
        </w:tc>
        <w:tc>
          <w:tcPr>
            <w:tcW w:w="2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7,889,328</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7,926,787</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2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(920,374)</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(55,223)</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(3,258,126)</w:t>
            </w:r>
          </w:p>
        </w:tc>
        <w:tc>
          <w:tcPr>
            <w:tcW w:w="13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(21,790,142)</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(25,103,491)</w:t>
            </w:r>
          </w:p>
        </w:tc>
        <w:tc>
          <w:tcPr>
            <w:tcW w:w="0" w:type="dxa"/>
            <w:vAlign w:val="bottom"/>
          </w:tcPr>
          <w:p>
            <w:pPr>
              <w:spacing w:after="0"/>
              <w:rPr>
                <w:sz w:val="1"/>
                <w:szCs w:val="1"/>
                <w:color w:val="auto"/>
              </w:rPr>
            </w:pPr>
          </w:p>
        </w:tc>
      </w:tr>
      <w:tr>
        <w:trPr>
          <w:trHeight w:val="165"/>
        </w:trPr>
        <w:tc>
          <w:tcPr>
            <w:tcW w:w="3360" w:type="dxa"/>
            <w:vAlign w:val="bottom"/>
          </w:tcPr>
          <w:p>
            <w:pPr>
              <w:ind w:left="20"/>
              <w:spacing w:after="0" w:line="165" w:lineRule="exact"/>
              <w:rPr>
                <w:sz w:val="20"/>
                <w:szCs w:val="20"/>
                <w:color w:val="auto"/>
              </w:rPr>
            </w:pPr>
            <w:r>
              <w:rPr>
                <w:rFonts w:ascii="Arial" w:cs="Arial" w:eastAsia="Arial" w:hAnsi="Arial"/>
                <w:sz w:val="16"/>
                <w:szCs w:val="16"/>
                <w:color w:val="auto"/>
              </w:rPr>
              <w:t>Stock-based compensation expense related</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0"/>
              <w:spacing w:after="0" w:line="162" w:lineRule="exact"/>
              <w:rPr>
                <w:sz w:val="20"/>
                <w:szCs w:val="20"/>
                <w:color w:val="auto"/>
              </w:rPr>
            </w:pPr>
            <w:r>
              <w:rPr>
                <w:rFonts w:ascii="Arial" w:cs="Arial" w:eastAsia="Arial" w:hAnsi="Arial"/>
                <w:sz w:val="16"/>
                <w:szCs w:val="16"/>
                <w:color w:val="auto"/>
              </w:rPr>
              <w:t>to stock options, employee stock purchases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tcPr>
          <w:p>
            <w:pPr>
              <w:ind w:left="20"/>
              <w:spacing w:after="0"/>
              <w:rPr>
                <w:sz w:val="20"/>
                <w:szCs w:val="20"/>
                <w:color w:val="auto"/>
              </w:rPr>
            </w:pPr>
            <w:r>
              <w:rPr>
                <w:rFonts w:ascii="Arial" w:cs="Arial" w:eastAsia="Arial" w:hAnsi="Arial"/>
                <w:sz w:val="16"/>
                <w:szCs w:val="16"/>
                <w:color w:val="auto"/>
              </w:rPr>
              <w:t>and restricted stock</w:t>
            </w:r>
          </w:p>
        </w:tc>
        <w:tc>
          <w:tcPr>
            <w:tcW w:w="12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9,744,670</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9,744,670</w:t>
            </w:r>
          </w:p>
        </w:tc>
        <w:tc>
          <w:tcPr>
            <w:tcW w:w="0" w:type="dxa"/>
            <w:vAlign w:val="bottom"/>
          </w:tcPr>
          <w:p>
            <w:pPr>
              <w:spacing w:after="0"/>
              <w:rPr>
                <w:sz w:val="1"/>
                <w:szCs w:val="1"/>
                <w:color w:val="auto"/>
              </w:rPr>
            </w:pPr>
          </w:p>
        </w:tc>
      </w:tr>
      <w:tr>
        <w:trPr>
          <w:trHeight w:val="24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($0.12 per share)</w:t>
            </w:r>
          </w:p>
        </w:tc>
        <w:tc>
          <w:tcPr>
            <w:tcW w:w="122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(28,011,420)</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(28,011,420)</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6"/>
              <w:spacing w:after="0"/>
              <w:rPr>
                <w:sz w:val="20"/>
                <w:szCs w:val="20"/>
                <w:color w:val="auto"/>
              </w:rPr>
            </w:pPr>
            <w:r>
              <w:rPr>
                <w:rFonts w:ascii="Arial" w:cs="Arial" w:eastAsia="Arial" w:hAnsi="Arial"/>
                <w:sz w:val="14"/>
                <w:szCs w:val="14"/>
                <w:color w:val="auto"/>
              </w:rPr>
              <w:t>109,155,403</w:t>
            </w:r>
          </w:p>
        </w:tc>
        <w:tc>
          <w:tcPr>
            <w:tcW w:w="200" w:type="dxa"/>
            <w:vAlign w:val="bottom"/>
          </w:tcPr>
          <w:p>
            <w:pPr>
              <w:spacing w:after="0"/>
              <w:rPr>
                <w:sz w:val="18"/>
                <w:szCs w:val="18"/>
                <w:color w:val="auto"/>
              </w:rPr>
            </w:pPr>
          </w:p>
        </w:tc>
        <w:tc>
          <w:tcPr>
            <w:tcW w:w="1320" w:type="dxa"/>
            <w:vAlign w:val="bottom"/>
          </w:tcPr>
          <w:p>
            <w:pPr>
              <w:jc w:val="right"/>
              <w:ind w:right="65"/>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109,155,403</w:t>
            </w:r>
          </w:p>
        </w:tc>
        <w:tc>
          <w:tcPr>
            <w:tcW w:w="0" w:type="dxa"/>
            <w:vAlign w:val="bottom"/>
          </w:tcPr>
          <w:p>
            <w:pPr>
              <w:spacing w:after="0"/>
              <w:rPr>
                <w:sz w:val="1"/>
                <w:szCs w:val="1"/>
                <w:color w:val="auto"/>
              </w:rPr>
            </w:pPr>
          </w:p>
        </w:tc>
      </w:tr>
      <w:tr>
        <w:trPr>
          <w:trHeight w:val="205"/>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(1,018,271)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(1,018,271)</w:t>
            </w: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233,429,994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14,005,799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942,660,764</w:t>
            </w:r>
          </w:p>
        </w:tc>
        <w:tc>
          <w:tcPr>
            <w:tcW w:w="13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$ 1,252,525,531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(13,242,768)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$ 2,195,949,326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color w:val="auto"/>
        </w:rPr>
        <w:t>BALANCE AS OF APRIL 1, 2022</w:t>
      </w:r>
    </w:p>
    <w:p>
      <w:pPr>
        <w:spacing w:after="0" w:line="22" w:lineRule="exact"/>
        <w:rPr>
          <w:sz w:val="20"/>
          <w:szCs w:val="20"/>
          <w:color w:val="auto"/>
        </w:rPr>
      </w:pPr>
    </w:p>
    <w:p>
      <w:pPr>
        <w:ind w:left="20" w:right="10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ind w:left="20" w:right="520"/>
        <w:spacing w:after="0"/>
        <w:rPr>
          <w:sz w:val="20"/>
          <w:szCs w:val="20"/>
          <w:color w:val="auto"/>
        </w:rPr>
      </w:pPr>
      <w:r>
        <w:rPr>
          <w:rFonts w:ascii="Arial" w:cs="Arial" w:eastAsia="Arial" w:hAnsi="Arial"/>
          <w:sz w:val="16"/>
          <w:szCs w:val="16"/>
          <w:color w:val="auto"/>
        </w:rPr>
        <w:t>Issuance of common stock related to acquisitions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ind w:left="20"/>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right="740"/>
        <w:spacing w:after="0" w:line="311" w:lineRule="auto"/>
        <w:rPr>
          <w:sz w:val="20"/>
          <w:szCs w:val="20"/>
          <w:color w:val="auto"/>
        </w:rPr>
      </w:pPr>
      <w:r>
        <w:rPr>
          <w:rFonts w:ascii="Arial" w:cs="Arial" w:eastAsia="Arial" w:hAnsi="Arial"/>
          <w:sz w:val="16"/>
          <w:szCs w:val="16"/>
          <w:color w:val="auto"/>
        </w:rPr>
        <w:t>Other comprehensive loss BALANCE AS OF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234,477,338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14,068,640</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881,371,438</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$ 1,038,656,230</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(5,127,408)</w:t>
            </w:r>
          </w:p>
        </w:tc>
        <w:tc>
          <w:tcPr>
            <w:tcW w:w="1240" w:type="dxa"/>
            <w:vAlign w:val="bottom"/>
          </w:tcPr>
          <w:p>
            <w:pPr>
              <w:jc w:val="right"/>
              <w:spacing w:after="0"/>
              <w:rPr>
                <w:sz w:val="20"/>
                <w:szCs w:val="20"/>
                <w:color w:val="auto"/>
              </w:rPr>
            </w:pPr>
            <w:r>
              <w:rPr>
                <w:rFonts w:ascii="Arial" w:cs="Arial" w:eastAsia="Arial" w:hAnsi="Arial"/>
                <w:sz w:val="14"/>
                <w:szCs w:val="14"/>
                <w:color w:val="auto"/>
              </w:rPr>
              <w:t>$ 1,928,968,900</w:t>
            </w:r>
          </w:p>
        </w:tc>
      </w:tr>
      <w:tr>
        <w:trPr>
          <w:trHeight w:val="378"/>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492,494</w:t>
            </w:r>
          </w:p>
        </w:tc>
        <w:tc>
          <w:tcPr>
            <w:tcW w:w="3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29,550</w:t>
            </w:r>
          </w:p>
        </w:tc>
        <w:tc>
          <w:tcPr>
            <w:tcW w:w="3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5,641,470</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5,671,020</w:t>
            </w:r>
          </w:p>
        </w:tc>
      </w:tr>
      <w:tr>
        <w:trPr>
          <w:trHeight w:val="378"/>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162,433</w:t>
            </w:r>
          </w:p>
        </w:tc>
        <w:tc>
          <w:tcPr>
            <w:tcW w:w="3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9,746</w:t>
            </w:r>
          </w:p>
        </w:tc>
        <w:tc>
          <w:tcPr>
            <w:tcW w:w="3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4,990,266</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5,000,012</w:t>
            </w:r>
          </w:p>
        </w:tc>
      </w:tr>
      <w:tr>
        <w:trPr>
          <w:trHeight w:val="216"/>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540"/>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8,573,230</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8,573,230</w:t>
            </w:r>
          </w:p>
        </w:tc>
      </w:tr>
      <w:tr>
        <w:trPr>
          <w:trHeight w:val="256"/>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(28,214,614)</w:t>
            </w:r>
          </w:p>
        </w:tc>
        <w:tc>
          <w:tcPr>
            <w:tcW w:w="40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(28,214,614)</w:t>
            </w:r>
          </w:p>
        </w:tc>
      </w:tr>
      <w:tr>
        <w:trPr>
          <w:trHeight w:val="216"/>
        </w:trPr>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72,404,403</w:t>
            </w:r>
          </w:p>
        </w:tc>
        <w:tc>
          <w:tcPr>
            <w:tcW w:w="40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72,404,403</w:t>
            </w:r>
          </w:p>
        </w:tc>
      </w:tr>
      <w:tr>
        <w:trPr>
          <w:trHeight w:val="208"/>
        </w:trPr>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(5,828,471)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(5,828,471)</w:t>
            </w:r>
          </w:p>
        </w:tc>
      </w:tr>
      <w:tr>
        <w:trPr>
          <w:trHeight w:val="196"/>
        </w:trPr>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235,132,265</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14,107,936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900,576,404</w:t>
            </w: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$ 1,082,846,019</w:t>
            </w:r>
          </w:p>
        </w:tc>
        <w:tc>
          <w:tcPr>
            <w:tcW w:w="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(10,955,879)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$ 1,986,574,480</w:t>
            </w:r>
          </w:p>
        </w:tc>
      </w:tr>
      <w:tr>
        <w:trPr>
          <w:trHeight w:val="27"/>
        </w:trPr>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-1559560</wp:posOffset>
            </wp:positionV>
            <wp:extent cx="71323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-1079500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-599440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-307975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180"/>
            <w:col w:w="78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SHAREHOLDERS' INVESTMENT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1160" w:type="dxa"/>
            <w:vAlign w:val="bottom"/>
          </w:tcPr>
          <w:p>
            <w:pPr>
              <w:jc w:val="center"/>
              <w:ind w:right="108"/>
              <w:spacing w:after="0" w:line="148"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16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9"/>
              </w:rPr>
              <w:t>Stock</w:t>
            </w:r>
          </w:p>
        </w:tc>
        <w:tc>
          <w:tcPr>
            <w:tcW w:w="240" w:type="dxa"/>
            <w:vAlign w:val="bottom"/>
          </w:tcPr>
          <w:p>
            <w:pPr>
              <w:spacing w:after="0"/>
              <w:rPr>
                <w:sz w:val="11"/>
                <w:szCs w:val="11"/>
                <w:color w:val="auto"/>
              </w:rPr>
            </w:pPr>
          </w:p>
        </w:tc>
        <w:tc>
          <w:tcPr>
            <w:tcW w:w="10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1"/>
                <w:szCs w:val="11"/>
                <w:color w:val="auto"/>
              </w:rPr>
            </w:pPr>
          </w:p>
        </w:tc>
        <w:tc>
          <w:tcPr>
            <w:tcW w:w="1120" w:type="dxa"/>
            <w:vAlign w:val="bottom"/>
          </w:tcPr>
          <w:p>
            <w:pPr>
              <w:jc w:val="right"/>
              <w:ind w:right="368"/>
              <w:spacing w:after="0" w:line="135"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1"/>
        </w:trPr>
        <w:tc>
          <w:tcPr>
            <w:tcW w:w="3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Loss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1, 2023</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234,169,335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14,050,160</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917,499,323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1,148,386,272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(14,142,934)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2,065,792,821</w:t>
            </w: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line="165" w:lineRule="exact"/>
              <w:rPr>
                <w:sz w:val="20"/>
                <w:szCs w:val="20"/>
                <w:color w:val="auto"/>
              </w:rPr>
            </w:pPr>
            <w:r>
              <w:rPr>
                <w:rFonts w:ascii="Arial" w:cs="Arial" w:eastAsia="Arial" w:hAnsi="Arial"/>
                <w:sz w:val="16"/>
                <w:szCs w:val="16"/>
                <w:color w:val="auto"/>
              </w:rPr>
              <w:t>Issuance of common stock from stock plan</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1,227,959</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73,677</w:t>
            </w:r>
          </w:p>
        </w:tc>
        <w:tc>
          <w:tcPr>
            <w:tcW w:w="26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13,809,133</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13,882,810</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(1,967,300)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(118,038)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(6,911,897)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(46,536,187)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(53,566,122)</w:t>
            </w:r>
          </w:p>
        </w:tc>
        <w:tc>
          <w:tcPr>
            <w:tcW w:w="0" w:type="dxa"/>
            <w:vAlign w:val="bottom"/>
          </w:tcPr>
          <w:p>
            <w:pPr>
              <w:spacing w:after="0"/>
              <w:rPr>
                <w:sz w:val="1"/>
                <w:szCs w:val="1"/>
                <w:color w:val="auto"/>
              </w:rPr>
            </w:pPr>
          </w:p>
        </w:tc>
      </w:tr>
      <w:tr>
        <w:trPr>
          <w:trHeight w:val="165"/>
        </w:trPr>
        <w:tc>
          <w:tcPr>
            <w:tcW w:w="3380" w:type="dxa"/>
            <w:vAlign w:val="bottom"/>
          </w:tcPr>
          <w:p>
            <w:pPr>
              <w:ind w:left="20"/>
              <w:spacing w:after="0" w:line="165" w:lineRule="exact"/>
              <w:rPr>
                <w:sz w:val="20"/>
                <w:szCs w:val="20"/>
                <w:color w:val="auto"/>
              </w:rPr>
            </w:pPr>
            <w:r>
              <w:rPr>
                <w:rFonts w:ascii="Arial" w:cs="Arial" w:eastAsia="Arial" w:hAnsi="Arial"/>
                <w:sz w:val="16"/>
                <w:szCs w:val="16"/>
                <w:color w:val="auto"/>
              </w:rPr>
              <w:t>Stock-based compensation expense related to</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20"/>
              <w:spacing w:after="0" w:line="162" w:lineRule="exact"/>
              <w:rPr>
                <w:sz w:val="20"/>
                <w:szCs w:val="20"/>
                <w:color w:val="auto"/>
              </w:rPr>
            </w:pPr>
            <w:r>
              <w:rPr>
                <w:rFonts w:ascii="Arial" w:cs="Arial" w:eastAsia="Arial" w:hAnsi="Arial"/>
                <w:sz w:val="16"/>
                <w:szCs w:val="16"/>
                <w:color w:val="auto"/>
              </w:rPr>
              <w:t>stock options, employee stock purchases and</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18,264,205</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18,264,205</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($0.24 per share)</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(56,058,218)</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(56,058,218)</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206,733,664</w:t>
            </w:r>
          </w:p>
        </w:tc>
        <w:tc>
          <w:tcPr>
            <w:tcW w:w="20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206,733,664</w:t>
            </w:r>
          </w:p>
        </w:tc>
        <w:tc>
          <w:tcPr>
            <w:tcW w:w="0" w:type="dxa"/>
            <w:vAlign w:val="bottom"/>
          </w:tcPr>
          <w:p>
            <w:pPr>
              <w:spacing w:after="0"/>
              <w:rPr>
                <w:sz w:val="1"/>
                <w:szCs w:val="1"/>
                <w:color w:val="auto"/>
              </w:rPr>
            </w:pPr>
          </w:p>
        </w:tc>
      </w:tr>
      <w:tr>
        <w:trPr>
          <w:trHeight w:val="20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900,166</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900,166</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233,429,994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14,005,799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942,660,764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1,252,525,531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(13,242,768)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2,195,949,326</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20"/>
          </w:cols>
          <w:pgMar w:left="340" w:top="1440" w:right="339" w:bottom="1440" w:gutter="0" w:footer="0" w:header="0"/>
        </w:sectPr>
      </w:pPr>
    </w:p>
    <w:p>
      <w:pPr>
        <w:ind w:left="20"/>
        <w:spacing w:after="0"/>
        <w:rPr>
          <w:sz w:val="20"/>
          <w:szCs w:val="20"/>
          <w:color w:val="auto"/>
        </w:rPr>
      </w:pPr>
      <w:r>
        <w:rPr>
          <w:rFonts w:ascii="Arial" w:cs="Arial" w:eastAsia="Arial" w:hAnsi="Arial"/>
          <w:sz w:val="16"/>
          <w:szCs w:val="16"/>
          <w:color w:val="auto"/>
        </w:rPr>
        <w:t>BALANCE AS OF JANUARY 1, 2022</w:t>
      </w:r>
    </w:p>
    <w:p>
      <w:pPr>
        <w:spacing w:after="0" w:line="32" w:lineRule="exact"/>
        <w:rPr>
          <w:sz w:val="20"/>
          <w:szCs w:val="20"/>
          <w:color w:val="auto"/>
        </w:rPr>
      </w:pPr>
    </w:p>
    <w:p>
      <w:pPr>
        <w:ind w:left="20" w:right="280"/>
        <w:spacing w:after="0"/>
        <w:rPr>
          <w:sz w:val="20"/>
          <w:szCs w:val="20"/>
          <w:color w:val="auto"/>
        </w:rPr>
      </w:pPr>
      <w:r>
        <w:rPr>
          <w:rFonts w:ascii="Arial" w:cs="Arial" w:eastAsia="Arial" w:hAnsi="Arial"/>
          <w:sz w:val="16"/>
          <w:szCs w:val="16"/>
          <w:color w:val="auto"/>
        </w:rPr>
        <w:t>Issuance of common stock from stock plan transactions</w:t>
      </w:r>
    </w:p>
    <w:p>
      <w:pPr>
        <w:spacing w:after="0" w:line="10" w:lineRule="exact"/>
        <w:rPr>
          <w:sz w:val="20"/>
          <w:szCs w:val="20"/>
          <w:color w:val="auto"/>
        </w:rPr>
      </w:pPr>
    </w:p>
    <w:p>
      <w:pPr>
        <w:ind w:left="20" w:right="700"/>
        <w:spacing w:after="0"/>
        <w:rPr>
          <w:sz w:val="20"/>
          <w:szCs w:val="20"/>
          <w:color w:val="auto"/>
        </w:rPr>
      </w:pPr>
      <w:r>
        <w:rPr>
          <w:rFonts w:ascii="Arial" w:cs="Arial" w:eastAsia="Arial" w:hAnsi="Arial"/>
          <w:sz w:val="16"/>
          <w:szCs w:val="16"/>
          <w:color w:val="auto"/>
        </w:rPr>
        <w:t>Issuance of common stock related to acquisitions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ind w:left="20"/>
        <w:spacing w:after="0" w:line="230"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Dividends declared ($0.24 per share)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right="920"/>
        <w:spacing w:after="0" w:line="311" w:lineRule="auto"/>
        <w:rPr>
          <w:sz w:val="20"/>
          <w:szCs w:val="20"/>
          <w:color w:val="auto"/>
        </w:rPr>
      </w:pPr>
      <w:r>
        <w:rPr>
          <w:rFonts w:ascii="Arial" w:cs="Arial" w:eastAsia="Arial" w:hAnsi="Arial"/>
          <w:sz w:val="16"/>
          <w:szCs w:val="16"/>
          <w:color w:val="auto"/>
        </w:rPr>
        <w:t>Other comprehensive loss BALANCE AS OF JUNE 30,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236,440,840</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14,186,450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879,413,385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1,042,461,388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1,927,244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1,937,988,467</w:t>
            </w:r>
          </w:p>
        </w:tc>
      </w:tr>
      <w:tr>
        <w:trPr>
          <w:trHeight w:val="378"/>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969,182</w:t>
            </w:r>
          </w:p>
        </w:tc>
        <w:tc>
          <w:tcPr>
            <w:tcW w:w="2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58,151</w:t>
            </w:r>
          </w:p>
        </w:tc>
        <w:tc>
          <w:tcPr>
            <w:tcW w:w="3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8,937,016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8,995,167</w:t>
            </w:r>
          </w:p>
        </w:tc>
      </w:tr>
      <w:tr>
        <w:trPr>
          <w:trHeight w:val="378"/>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162,433</w:t>
            </w:r>
          </w:p>
        </w:tc>
        <w:tc>
          <w:tcPr>
            <w:tcW w:w="2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9,746</w:t>
            </w:r>
          </w:p>
        </w:tc>
        <w:tc>
          <w:tcPr>
            <w:tcW w:w="3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4,990,266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5,000,012</w:t>
            </w:r>
          </w:p>
        </w:tc>
      </w:tr>
      <w:tr>
        <w:trPr>
          <w:trHeight w:val="216"/>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(2,440,190)</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(146,411)</w:t>
            </w:r>
          </w:p>
        </w:tc>
        <w:tc>
          <w:tcPr>
            <w:tcW w:w="3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(8,125,830)</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(62,979,781)</w:t>
            </w:r>
          </w:p>
        </w:tc>
        <w:tc>
          <w:tcPr>
            <w:tcW w:w="3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(71,252,022)</w:t>
            </w:r>
          </w:p>
        </w:tc>
      </w:tr>
      <w:tr>
        <w:trPr>
          <w:trHeight w:val="540"/>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15,361,567</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15,361,567</w:t>
            </w:r>
          </w:p>
        </w:tc>
      </w:tr>
      <w:tr>
        <w:trPr>
          <w:trHeight w:val="243"/>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(56,568,616)</w:t>
            </w:r>
          </w:p>
        </w:tc>
        <w:tc>
          <w:tcPr>
            <w:tcW w:w="32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(56,568,616)</w:t>
            </w:r>
          </w:p>
        </w:tc>
      </w:tr>
      <w:tr>
        <w:trPr>
          <w:trHeight w:val="216"/>
        </w:trPr>
        <w:tc>
          <w:tcPr>
            <w:tcW w:w="11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159,933,028</w:t>
            </w:r>
          </w:p>
        </w:tc>
        <w:tc>
          <w:tcPr>
            <w:tcW w:w="32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159,933,028</w:t>
            </w:r>
          </w:p>
        </w:tc>
      </w:tr>
      <w:tr>
        <w:trPr>
          <w:trHeight w:val="222"/>
        </w:trPr>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(12,883,123)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(12,883,123)</w:t>
            </w:r>
          </w:p>
        </w:tc>
      </w:tr>
      <w:tr>
        <w:trPr>
          <w:trHeight w:val="188"/>
        </w:trPr>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235,132,265</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14,107,936</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900,576,404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1,082,846,019</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(10,955,879)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1,986,574,480</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-1550670</wp:posOffset>
            </wp:positionV>
            <wp:extent cx="711517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-1071245</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-591185</wp:posOffset>
            </wp:positionV>
            <wp:extent cx="71151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-2145030</wp:posOffset>
            </wp:positionH>
            <wp:positionV relativeFrom="paragraph">
              <wp:posOffset>-299720</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3360" w:space="20"/>
            <w:col w:w="7840"/>
          </w:cols>
          <w:pgMar w:left="34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 w:name="page8"/>
    <w:bookmarkEnd w:id="7"/>
    <w:p>
      <w:pPr>
        <w:jc w:val="center"/>
        <w:ind w:right="60"/>
        <w:spacing w:after="0" w:line="39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Six Months Ended June 30, 2023 and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b w:val="1"/>
                <w:bCs w:val="1"/>
                <w:color w:val="auto"/>
              </w:rPr>
              <w:t>2023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3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206,733,664</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159,933,028</w:t>
            </w:r>
          </w:p>
        </w:tc>
        <w:tc>
          <w:tcPr>
            <w:tcW w:w="0" w:type="dxa"/>
            <w:vAlign w:val="bottom"/>
          </w:tcPr>
          <w:p>
            <w:pPr>
              <w:spacing w:after="0"/>
              <w:rPr>
                <w:sz w:val="1"/>
                <w:szCs w:val="1"/>
                <w:color w:val="auto"/>
              </w:rPr>
            </w:pPr>
          </w:p>
        </w:tc>
      </w:tr>
      <w:tr>
        <w:trPr>
          <w:trHeight w:val="229"/>
        </w:trPr>
        <w:tc>
          <w:tcPr>
            <w:tcW w:w="73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48,841,936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50,052,518</w:t>
            </w:r>
          </w:p>
        </w:tc>
        <w:tc>
          <w:tcPr>
            <w:tcW w:w="0" w:type="dxa"/>
            <w:vAlign w:val="bottom"/>
          </w:tcPr>
          <w:p>
            <w:pPr>
              <w:spacing w:after="0"/>
              <w:rPr>
                <w:sz w:val="1"/>
                <w:szCs w:val="1"/>
                <w:color w:val="auto"/>
              </w:rPr>
            </w:pPr>
          </w:p>
        </w:tc>
      </w:tr>
      <w:tr>
        <w:trPr>
          <w:trHeight w:val="236"/>
        </w:trPr>
        <w:tc>
          <w:tcPr>
            <w:tcW w:w="7320" w:type="dxa"/>
            <w:vAlign w:val="bottom"/>
          </w:tcPr>
          <w:p>
            <w:pPr>
              <w:ind w:left="560"/>
              <w:spacing w:after="0"/>
              <w:rPr>
                <w:sz w:val="20"/>
                <w:szCs w:val="20"/>
                <w:color w:val="auto"/>
              </w:rPr>
            </w:pPr>
            <w:r>
              <w:rPr>
                <w:rFonts w:ascii="Arial" w:cs="Arial" w:eastAsia="Arial" w:hAnsi="Arial"/>
                <w:sz w:val="18"/>
                <w:szCs w:val="18"/>
                <w:color w:val="auto"/>
              </w:rPr>
              <w:t>(Gain) on disposal of assets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(214,593)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(45,214)</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220,568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(Gain) on sale of investments and equity method investment income</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(2,747,586)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(391,378)</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Loss on sale of investments and equity method investment losses</w:t>
            </w: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4,201,138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989,196</w:t>
            </w:r>
          </w:p>
        </w:tc>
        <w:tc>
          <w:tcPr>
            <w:tcW w:w="0" w:type="dxa"/>
            <w:vAlign w:val="bottom"/>
          </w:tcPr>
          <w:p>
            <w:pPr>
              <w:spacing w:after="0"/>
              <w:rPr>
                <w:sz w:val="1"/>
                <w:szCs w:val="1"/>
                <w:color w:val="auto"/>
              </w:rPr>
            </w:pPr>
          </w:p>
        </w:tc>
      </w:tr>
      <w:tr>
        <w:trPr>
          <w:trHeight w:val="230"/>
        </w:trPr>
        <w:tc>
          <w:tcPr>
            <w:tcW w:w="7320" w:type="dxa"/>
            <w:vAlign w:val="bottom"/>
          </w:tcPr>
          <w:p>
            <w:pPr>
              <w:ind w:left="560"/>
              <w:spacing w:after="0"/>
              <w:rPr>
                <w:sz w:val="20"/>
                <w:szCs w:val="20"/>
                <w:color w:val="auto"/>
              </w:rPr>
            </w:pPr>
            <w:r>
              <w:rPr>
                <w:rFonts w:ascii="Arial" w:cs="Arial" w:eastAsia="Arial" w:hAnsi="Arial"/>
                <w:sz w:val="18"/>
                <w:szCs w:val="18"/>
                <w:color w:val="auto"/>
              </w:rPr>
              <w:t>Change in deferred income taxes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(5,122,661)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5,044,744</w:t>
            </w: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3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18,264,205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15,361,567</w:t>
            </w:r>
          </w:p>
        </w:tc>
        <w:tc>
          <w:tcPr>
            <w:tcW w:w="0" w:type="dxa"/>
            <w:vAlign w:val="bottom"/>
          </w:tcPr>
          <w:p>
            <w:pPr>
              <w:spacing w:after="0"/>
              <w:rPr>
                <w:sz w:val="1"/>
                <w:szCs w:val="1"/>
                <w:color w:val="auto"/>
              </w:rPr>
            </w:pPr>
          </w:p>
        </w:tc>
      </w:tr>
      <w:tr>
        <w:trPr>
          <w:trHeight w:val="242"/>
        </w:trPr>
        <w:tc>
          <w:tcPr>
            <w:tcW w:w="7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stock purchases and restricted stock</w:t>
            </w:r>
          </w:p>
        </w:tc>
        <w:tc>
          <w:tcPr>
            <w:tcW w:w="380" w:type="dxa"/>
            <w:vAlign w:val="bottom"/>
            <w:shd w:val="clear" w:color="auto" w:fill="CCEEFF"/>
          </w:tcPr>
          <w:p>
            <w:pPr>
              <w:spacing w:after="0"/>
              <w:rPr>
                <w:sz w:val="21"/>
                <w:szCs w:val="21"/>
                <w:color w:val="auto"/>
              </w:rPr>
            </w:pPr>
          </w:p>
        </w:tc>
        <w:tc>
          <w:tcPr>
            <w:tcW w:w="14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(73,915,719)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(24,609,666)</w:t>
            </w:r>
          </w:p>
        </w:tc>
        <w:tc>
          <w:tcPr>
            <w:tcW w:w="0" w:type="dxa"/>
            <w:vAlign w:val="bottom"/>
          </w:tcPr>
          <w:p>
            <w:pPr>
              <w:spacing w:after="0"/>
              <w:rPr>
                <w:sz w:val="1"/>
                <w:szCs w:val="1"/>
                <w:color w:val="auto"/>
              </w:rPr>
            </w:pPr>
          </w:p>
        </w:tc>
      </w:tr>
      <w:tr>
        <w:trPr>
          <w:trHeight w:val="236"/>
        </w:trPr>
        <w:tc>
          <w:tcPr>
            <w:tcW w:w="732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14,334,001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(76,310,383)</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(2,722,437)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(6,035,375)</w:t>
            </w:r>
          </w:p>
        </w:tc>
        <w:tc>
          <w:tcPr>
            <w:tcW w:w="0" w:type="dxa"/>
            <w:vAlign w:val="bottom"/>
          </w:tcPr>
          <w:p>
            <w:pPr>
              <w:spacing w:after="0"/>
              <w:rPr>
                <w:sz w:val="1"/>
                <w:szCs w:val="1"/>
                <w:color w:val="auto"/>
              </w:rPr>
            </w:pPr>
          </w:p>
        </w:tc>
      </w:tr>
      <w:tr>
        <w:trPr>
          <w:trHeight w:val="229"/>
        </w:trPr>
        <w:tc>
          <w:tcPr>
            <w:tcW w:w="732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22,410,431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48,905,968</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w:t>
            </w: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11,483,186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16,354,262</w:t>
            </w:r>
          </w:p>
        </w:tc>
        <w:tc>
          <w:tcPr>
            <w:tcW w:w="0" w:type="dxa"/>
            <w:vAlign w:val="bottom"/>
          </w:tcPr>
          <w:p>
            <w:pPr>
              <w:spacing w:after="0"/>
              <w:rPr>
                <w:sz w:val="1"/>
                <w:szCs w:val="1"/>
                <w:color w:val="auto"/>
              </w:rPr>
            </w:pPr>
          </w:p>
        </w:tc>
      </w:tr>
      <w:tr>
        <w:trPr>
          <w:trHeight w:val="223"/>
        </w:trPr>
        <w:tc>
          <w:tcPr>
            <w:tcW w:w="732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241,766,133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189,261,043</w:t>
            </w:r>
          </w:p>
        </w:tc>
        <w:tc>
          <w:tcPr>
            <w:tcW w:w="0" w:type="dxa"/>
            <w:vAlign w:val="bottom"/>
          </w:tcPr>
          <w:p>
            <w:pPr>
              <w:spacing w:after="0"/>
              <w:rPr>
                <w:sz w:val="1"/>
                <w:szCs w:val="1"/>
                <w:color w:val="auto"/>
              </w:rPr>
            </w:pPr>
          </w:p>
        </w:tc>
      </w:tr>
      <w:tr>
        <w:trPr>
          <w:trHeight w:val="169"/>
        </w:trPr>
        <w:tc>
          <w:tcPr>
            <w:tcW w:w="7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21,523,990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37,429,595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11,650,000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36"/>
        </w:trPr>
        <w:tc>
          <w:tcPr>
            <w:tcW w:w="732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(65,945,596)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(43,756,446)</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3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(90,277,995)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(57,998,319)</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140,610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44,881</w:t>
            </w: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other assets</w:t>
            </w:r>
          </w:p>
        </w:tc>
        <w:tc>
          <w:tcPr>
            <w:tcW w:w="3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(3,486,284)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(1,937,117)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(126,395,275)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(63,217,406)</w:t>
            </w:r>
          </w:p>
        </w:tc>
        <w:tc>
          <w:tcPr>
            <w:tcW w:w="0" w:type="dxa"/>
            <w:vAlign w:val="bottom"/>
          </w:tcPr>
          <w:p>
            <w:pPr>
              <w:spacing w:after="0"/>
              <w:rPr>
                <w:sz w:val="1"/>
                <w:szCs w:val="1"/>
                <w:color w:val="auto"/>
              </w:rPr>
            </w:pPr>
          </w:p>
        </w:tc>
      </w:tr>
      <w:tr>
        <w:trPr>
          <w:trHeight w:val="142"/>
        </w:trPr>
        <w:tc>
          <w:tcPr>
            <w:tcW w:w="7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3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13,882,810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8,995,167</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Arial" w:cs="Arial" w:eastAsia="Arial" w:hAnsi="Arial"/>
                <w:sz w:val="18"/>
                <w:szCs w:val="18"/>
                <w:color w:val="auto"/>
              </w:rPr>
              <w:t>Cash dividends paid</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(56,146,939)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(56,725,981)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(54,195,766)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(71,252,022)</w:t>
            </w:r>
          </w:p>
        </w:tc>
        <w:tc>
          <w:tcPr>
            <w:tcW w:w="0" w:type="dxa"/>
            <w:vAlign w:val="bottom"/>
          </w:tcPr>
          <w:p>
            <w:pPr>
              <w:spacing w:after="0"/>
              <w:rPr>
                <w:sz w:val="1"/>
                <w:szCs w:val="1"/>
                <w:color w:val="auto"/>
              </w:rPr>
            </w:pPr>
          </w:p>
        </w:tc>
      </w:tr>
      <w:tr>
        <w:trPr>
          <w:trHeight w:val="223"/>
        </w:trPr>
        <w:tc>
          <w:tcPr>
            <w:tcW w:w="7320" w:type="dxa"/>
            <w:vAlign w:val="bottom"/>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(96,459,895)</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(118,982,836)</w:t>
            </w:r>
          </w:p>
        </w:tc>
        <w:tc>
          <w:tcPr>
            <w:tcW w:w="0" w:type="dxa"/>
            <w:vAlign w:val="bottom"/>
          </w:tcPr>
          <w:p>
            <w:pPr>
              <w:spacing w:after="0"/>
              <w:rPr>
                <w:sz w:val="1"/>
                <w:szCs w:val="1"/>
                <w:color w:val="auto"/>
              </w:rPr>
            </w:pPr>
          </w:p>
        </w:tc>
      </w:tr>
      <w:tr>
        <w:trPr>
          <w:trHeight w:val="142"/>
        </w:trPr>
        <w:tc>
          <w:tcPr>
            <w:tcW w:w="7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18,910,963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7,060,801</w:t>
            </w:r>
          </w:p>
        </w:tc>
        <w:tc>
          <w:tcPr>
            <w:tcW w:w="0" w:type="dxa"/>
            <w:vAlign w:val="bottom"/>
          </w:tcPr>
          <w:p>
            <w:pPr>
              <w:spacing w:after="0"/>
              <w:rPr>
                <w:sz w:val="1"/>
                <w:szCs w:val="1"/>
                <w:color w:val="auto"/>
              </w:rPr>
            </w:pPr>
          </w:p>
        </w:tc>
      </w:tr>
      <w:tr>
        <w:trPr>
          <w:trHeight w:val="135"/>
        </w:trPr>
        <w:tc>
          <w:tcPr>
            <w:tcW w:w="73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218,754,638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262,311,670</w:t>
            </w:r>
          </w:p>
        </w:tc>
        <w:tc>
          <w:tcPr>
            <w:tcW w:w="0" w:type="dxa"/>
            <w:vAlign w:val="bottom"/>
          </w:tcPr>
          <w:p>
            <w:pPr>
              <w:spacing w:after="0"/>
              <w:rPr>
                <w:sz w:val="1"/>
                <w:szCs w:val="1"/>
                <w:color w:val="auto"/>
              </w:rPr>
            </w:pPr>
          </w:p>
        </w:tc>
      </w:tr>
      <w:tr>
        <w:trPr>
          <w:trHeight w:val="142"/>
        </w:trPr>
        <w:tc>
          <w:tcPr>
            <w:tcW w:w="7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237,665,601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269,372,471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7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2022 annual report on Form 10-K. In the opinion of management, the accompanying unaudited condensed consolidated financial statements contain all adjustments, consisting of only a normal and recurring nature, necessary to present fairly the financial position of the Company as of June 30, 2023, and the results of operations and cash flows for the interim periods presented.</w:t>
      </w:r>
    </w:p>
    <w:p>
      <w:pPr>
        <w:spacing w:after="0" w:line="22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3"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$3.7 million as part of the acquisition of Vaporsens, Inc. ("Vaporsens") in the second quarter of 2020; $ 0.2 million as part of the acquisition of Air-Craftglass Production BV ("Air-Craftglass") in the third quarter of 2020; $1.0 million as a part of the acquisition of Argil, Inc. ("Argil") in the fourth quarter of 2020; and $2.0 million as part of the acquisition of Guardian Optical Technologies ("Guardian") in the first quarter of 2021. The carrying value of Goodwill as of both June 30, 2023 and December 31, 2022 was $313.6 million and $313.8 million, respectively, as set forth in the table below:</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7580" w:type="dxa"/>
            <w:vAlign w:val="bottom"/>
            <w:shd w:val="clear" w:color="auto" w:fill="CCEEFF"/>
          </w:tcPr>
          <w:p>
            <w:pPr>
              <w:spacing w:after="0"/>
              <w:rPr>
                <w:sz w:val="17"/>
                <w:szCs w:val="17"/>
                <w:color w:val="auto"/>
              </w:rPr>
            </w:pPr>
          </w:p>
        </w:tc>
        <w:tc>
          <w:tcPr>
            <w:tcW w:w="2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313,807,494</w:t>
            </w:r>
          </w:p>
        </w:tc>
      </w:tr>
      <w:tr>
        <w:trPr>
          <w:trHeight w:val="23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5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580" w:type="dxa"/>
            <w:vAlign w:val="bottom"/>
          </w:tcPr>
          <w:p>
            <w:pPr>
              <w:spacing w:after="0"/>
              <w:rPr>
                <w:sz w:val="20"/>
                <w:szCs w:val="20"/>
                <w:color w:val="auto"/>
              </w:rPr>
            </w:pPr>
            <w:r>
              <w:rPr>
                <w:rFonts w:ascii="Arial" w:cs="Arial" w:eastAsia="Arial" w:hAnsi="Arial"/>
                <w:sz w:val="18"/>
                <w:szCs w:val="18"/>
                <w:color w:val="auto"/>
              </w:rPr>
              <w:t>Divestitures</w:t>
            </w:r>
          </w:p>
        </w:tc>
        <w:tc>
          <w:tcPr>
            <w:tcW w:w="5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5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(160,226)</w:t>
            </w:r>
          </w:p>
        </w:tc>
      </w:tr>
      <w:tr>
        <w:trPr>
          <w:trHeight w:val="262"/>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2023</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313,647,268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component shortages, supply chain constraints, inflation, and labor shortages were again considered in the most recently completed quarter, but did not indicate the need for interim impairment testing.</w:t>
      </w:r>
    </w:p>
    <w:p>
      <w:pPr>
        <w:spacing w:after="0" w:line="22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Company also acquired In-Process Research &amp; Development ("In-Process R &amp; D") as part of the acquisitions of: Vaporsens; Air-Craftglass; Argil; and Guardian, each of which has been previously disclosed.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240" w:type="dxa"/>
            <w:vAlign w:val="bottom"/>
          </w:tcPr>
          <w:p>
            <w:pPr>
              <w:spacing w:after="0"/>
              <w:rPr>
                <w:sz w:val="14"/>
                <w:szCs w:val="14"/>
                <w:color w:val="auto"/>
              </w:rPr>
            </w:pPr>
          </w:p>
        </w:tc>
        <w:tc>
          <w:tcPr>
            <w:tcW w:w="12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3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40,639,478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(28,251,342)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12,388,136</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3"/>
          </w:tcPr>
          <w:p>
            <w:pPr>
              <w:ind w:left="118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8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40"/>
              <w:spacing w:after="0" w:line="243"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(146,250,000)</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33,750,000</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0"/>
        </w:trPr>
        <w:tc>
          <w:tcPr>
            <w:tcW w:w="4060" w:type="dxa"/>
            <w:vAlign w:val="bottom"/>
            <w:gridSpan w:val="2"/>
          </w:tcPr>
          <w:p>
            <w:pPr>
              <w:ind w:left="240"/>
              <w:spacing w:after="0"/>
              <w:rPr>
                <w:sz w:val="20"/>
                <w:szCs w:val="20"/>
                <w:color w:val="auto"/>
              </w:rPr>
            </w:pPr>
            <w:r>
              <w:rPr>
                <w:rFonts w:ascii="Arial" w:cs="Arial" w:eastAsia="Arial" w:hAnsi="Arial"/>
                <w:sz w:val="18"/>
                <w:szCs w:val="18"/>
                <w:color w:val="auto"/>
              </w:rPr>
              <w:t>Existing Customer Platforms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(41,925,000)</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1,075,000</w:t>
            </w:r>
          </w:p>
        </w:tc>
        <w:tc>
          <w:tcPr>
            <w:tcW w:w="80" w:type="dxa"/>
            <w:vAlign w:val="bottom"/>
          </w:tcPr>
          <w:p>
            <w:pPr>
              <w:spacing w:after="0"/>
              <w:rPr>
                <w:sz w:val="19"/>
                <w:szCs w:val="19"/>
                <w:color w:val="auto"/>
              </w:rPr>
            </w:pPr>
          </w:p>
        </w:tc>
        <w:tc>
          <w:tcPr>
            <w:tcW w:w="1140" w:type="dxa"/>
            <w:vAlign w:val="bottom"/>
          </w:tcPr>
          <w:p>
            <w:pPr>
              <w:ind w:left="2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6"/>
        </w:trPr>
        <w:tc>
          <w:tcPr>
            <w:tcW w:w="4060" w:type="dxa"/>
            <w:vAlign w:val="bottom"/>
            <w:gridSpan w:val="2"/>
          </w:tcPr>
          <w:p>
            <w:pPr>
              <w:ind w:left="240"/>
              <w:spacing w:after="0"/>
              <w:rPr>
                <w:sz w:val="20"/>
                <w:szCs w:val="20"/>
                <w:color w:val="auto"/>
              </w:rPr>
            </w:pPr>
            <w:r>
              <w:rPr>
                <w:rFonts w:ascii="Arial" w:cs="Arial" w:eastAsia="Arial" w:hAnsi="Arial"/>
                <w:sz w:val="18"/>
                <w:szCs w:val="18"/>
                <w:color w:val="auto"/>
              </w:rPr>
              <w:t>Vaporsens In-Process R&amp;D</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20"/>
                <w:szCs w:val="20"/>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80" w:type="dxa"/>
            <w:vAlign w:val="bottom"/>
          </w:tcPr>
          <w:p>
            <w:pPr>
              <w:spacing w:after="0"/>
              <w:rPr>
                <w:sz w:val="20"/>
                <w:szCs w:val="20"/>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6"/>
        </w:trPr>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Argil In-Process R&amp;D</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40"/>
              <w:spacing w:after="0"/>
              <w:rPr>
                <w:sz w:val="20"/>
                <w:szCs w:val="20"/>
                <w:color w:val="auto"/>
              </w:rPr>
            </w:pPr>
            <w:r>
              <w:rPr>
                <w:rFonts w:ascii="Arial" w:cs="Arial" w:eastAsia="Arial" w:hAnsi="Arial"/>
                <w:sz w:val="18"/>
                <w:szCs w:val="18"/>
                <w:color w:val="auto"/>
              </w:rPr>
              <w:t>Air-Craftglass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80" w:type="dxa"/>
            <w:vAlign w:val="bottom"/>
          </w:tcPr>
          <w:p>
            <w:pPr>
              <w:spacing w:after="0"/>
              <w:rPr>
                <w:sz w:val="19"/>
                <w:szCs w:val="19"/>
                <w:color w:val="auto"/>
              </w:rPr>
            </w:pPr>
          </w:p>
        </w:tc>
        <w:tc>
          <w:tcPr>
            <w:tcW w:w="1140" w:type="dxa"/>
            <w:vAlign w:val="bottom"/>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Guardian Trade Names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Guardian In-Process R&amp;D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(188,175,000)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209,710,910</w:t>
            </w:r>
          </w:p>
        </w:tc>
        <w:tc>
          <w:tcPr>
            <w:tcW w:w="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438,525,388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(216,426,342)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222,099,046</w:t>
            </w:r>
          </w:p>
        </w:tc>
        <w:tc>
          <w:tcPr>
            <w:tcW w:w="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As of December 31,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60" w:type="dxa"/>
            <w:vAlign w:val="bottom"/>
            <w:gridSpan w:val="2"/>
            <w:vMerge w:val="restart"/>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240" w:type="dxa"/>
            <w:vAlign w:val="bottom"/>
          </w:tcPr>
          <w:p>
            <w:pPr>
              <w:spacing w:after="0"/>
              <w:rPr>
                <w:sz w:val="15"/>
                <w:szCs w:val="15"/>
                <w:color w:val="auto"/>
              </w:rPr>
            </w:pPr>
          </w:p>
        </w:tc>
        <w:tc>
          <w:tcPr>
            <w:tcW w:w="122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5"/>
                <w:szCs w:val="15"/>
                <w:color w:val="auto"/>
              </w:rPr>
            </w:pPr>
          </w:p>
        </w:tc>
        <w:tc>
          <w:tcPr>
            <w:tcW w:w="1360" w:type="dxa"/>
            <w:vAlign w:val="bottom"/>
          </w:tcPr>
          <w:p>
            <w:pPr>
              <w:ind w:left="8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40,653,851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(27,820,383)</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12,833,468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Various</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180" w:type="dxa"/>
            <w:vAlign w:val="bottom"/>
          </w:tcPr>
          <w:p>
            <w:pPr>
              <w:jc w:val="right"/>
              <w:spacing w:after="0"/>
              <w:rPr>
                <w:sz w:val="20"/>
                <w:szCs w:val="20"/>
                <w:color w:val="auto"/>
              </w:rPr>
            </w:pPr>
            <w:r>
              <w:rPr>
                <w:rFonts w:ascii="Arial" w:cs="Arial" w:eastAsia="Arial" w:hAnsi="Arial"/>
                <w:sz w:val="18"/>
                <w:szCs w:val="18"/>
                <w:color w:val="auto"/>
              </w:rPr>
              <w:t>52,000,000</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(138,750,000)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36"/>
        </w:trPr>
        <w:tc>
          <w:tcPr>
            <w:tcW w:w="4060" w:type="dxa"/>
            <w:vAlign w:val="bottom"/>
            <w:gridSpan w:val="2"/>
          </w:tcPr>
          <w:p>
            <w:pPr>
              <w:ind w:left="240"/>
              <w:spacing w:after="0"/>
              <w:rPr>
                <w:sz w:val="20"/>
                <w:szCs w:val="20"/>
                <w:color w:val="auto"/>
              </w:rPr>
            </w:pPr>
            <w:r>
              <w:rPr>
                <w:rFonts w:ascii="Arial" w:cs="Arial" w:eastAsia="Arial" w:hAnsi="Arial"/>
                <w:sz w:val="18"/>
                <w:szCs w:val="18"/>
                <w:color w:val="auto"/>
              </w:rPr>
              <w:t>Existing Customer Platforms</w:t>
            </w: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(39,775,000)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3,225,000</w:t>
            </w:r>
          </w:p>
        </w:tc>
        <w:tc>
          <w:tcPr>
            <w:tcW w:w="8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36"/>
        </w:trPr>
        <w:tc>
          <w:tcPr>
            <w:tcW w:w="4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20"/>
              <w:spacing w:after="0"/>
              <w:rPr>
                <w:sz w:val="20"/>
                <w:szCs w:val="20"/>
                <w:color w:val="auto"/>
              </w:rPr>
            </w:pPr>
            <w:r>
              <w:rPr>
                <w:rFonts w:ascii="Arial" w:cs="Arial" w:eastAsia="Arial" w:hAnsi="Arial"/>
                <w:sz w:val="18"/>
                <w:szCs w:val="18"/>
                <w:color w:val="auto"/>
              </w:rPr>
              <w:t>Vaporsens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11,000,000</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Argil In-Process R&amp;D</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6,278,132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20"/>
              <w:spacing w:after="0"/>
              <w:rPr>
                <w:sz w:val="20"/>
                <w:szCs w:val="20"/>
                <w:color w:val="auto"/>
              </w:rPr>
            </w:pPr>
            <w:r>
              <w:rPr>
                <w:rFonts w:ascii="Arial" w:cs="Arial" w:eastAsia="Arial" w:hAnsi="Arial"/>
                <w:sz w:val="18"/>
                <w:szCs w:val="18"/>
                <w:color w:val="auto"/>
              </w:rPr>
              <w:t>Air-Craftglass In-Process R&amp;D</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1,507,778</w:t>
            </w:r>
          </w:p>
        </w:tc>
        <w:tc>
          <w:tcPr>
            <w:tcW w:w="280" w:type="dxa"/>
            <w:vAlign w:val="bottom"/>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1,507,778</w:t>
            </w:r>
          </w:p>
        </w:tc>
        <w:tc>
          <w:tcPr>
            <w:tcW w:w="8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Guardian Trade Names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Guardian In-Process R&amp;D</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6,800,000</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397,885,910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(178,525,000)</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219,360,910</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438,539,761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(206,345,383)</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232,194,378</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patents and intangible assets was approximately $5.2 million and $10.5 million during the three and six months ended June 30, 2023, respectively, compared to approximately $5.5 million and $11.1 million for the same periods ended June 30, 2022, respectively.</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Excluding the impact of any future acquisitions, the Company estimates amortization expense for the year ending December 31, 2023 to be approximately $20 million, for the year ending December 31, 2024 to be</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approximately $16 million, for the year ending December 31, 2025 to be approximately $13 million, and for each of the years ending December 31, 2026 and December 31, 2027 to be approximately $5 million.</w:t>
      </w:r>
    </w:p>
    <w:p>
      <w:pPr>
        <w:spacing w:after="0" w:line="200" w:lineRule="exact"/>
        <w:rPr>
          <w:sz w:val="20"/>
          <w:szCs w:val="20"/>
          <w:color w:val="auto"/>
        </w:rPr>
      </w:pPr>
    </w:p>
    <w:p>
      <w:pPr>
        <w:spacing w:after="0" w:line="244"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 -financial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1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16"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201"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 parties. These equity investments are accounted for in accordance with ASC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The Company's share of the earnings or losses of non-controlled affiliates, over which the Company exercises significant influence (generally a 20% to 50% ownership interest), is included in the consolidated operating results using the equity method of accounting. The Company has also made technology investments in certain non-consolidated affiliates for common share ownership interests of less than 20% (where the Company does not have the ability to exercise significant influence).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For these equity investments that do not have readily determinable fair values, and where the Company has not identified any observable events that would cause adjustment of the valuation to date, the equity investments are held at cost.</w:t>
      </w:r>
    </w:p>
    <w:p>
      <w:pPr>
        <w:spacing w:after="0" w:line="2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Such technology investments totaled approximately $94.0 million and $ 69.5 million as of June 30, 2023 and December 31, 2022, respectively. On March 9, 2023, the Company purchased a 15% equity investment in Adasky, LTD. for $21.5 million. Adasky is an Israeli-based leading developer and manufacturer of intelligent thermal sensing technologies. $2.2 million and $3.8 million of these technology investments are classified within Short-Term Investments in the condensed consolidated balance sheets as of June 30, 2023 and December 31, 2022, respectively. $91.8 million and $65.7 million of these investments are classified within Long-Term Investments in the condensed consolidated balance sheets as of June 30, 2023 and December 31, 2022, respectively.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960" w:type="dxa"/>
            <w:vAlign w:val="bottom"/>
            <w:tcBorders>
              <w:bottom w:val="single" w:sz="8" w:color="auto"/>
            </w:tcBorders>
            <w:gridSpan w:val="11"/>
          </w:tcPr>
          <w:p>
            <w:pPr>
              <w:ind w:left="7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55"/>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9"/>
              </w:rPr>
              <w:t>Total as of</w:t>
            </w:r>
          </w:p>
        </w:tc>
        <w:tc>
          <w:tcPr>
            <w:tcW w:w="120" w:type="dxa"/>
            <w:vAlign w:val="bottom"/>
            <w:gridSpan w:val="2"/>
            <w:vMerge w:val="restart"/>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June 30, 2023</w:t>
            </w:r>
          </w:p>
        </w:tc>
        <w:tc>
          <w:tcPr>
            <w:tcW w:w="1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237,665,601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237,665,601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1,244,803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1,917,173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1,917,173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4,715,195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4,715,195</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3,475,351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3,475,351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4,671,277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1,204,252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3,467,025</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16,904,936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16,904,936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982,015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46,808,383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46,808,383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29,169,577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29,169,577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52,836,126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52,836,126</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1,094,374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1,094,374</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401,484,811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242,191,045</w:t>
            </w:r>
          </w:p>
        </w:tc>
        <w:tc>
          <w:tcPr>
            <w:tcW w:w="3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159,293,766</w:t>
            </w:r>
          </w:p>
        </w:tc>
        <w:tc>
          <w:tcPr>
            <w:tcW w:w="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2022:</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900" w:type="dxa"/>
            <w:vAlign w:val="bottom"/>
            <w:tcBorders>
              <w:bottom w:val="single" w:sz="8" w:color="auto"/>
            </w:tcBorders>
            <w:gridSpan w:val="10"/>
          </w:tcPr>
          <w:p>
            <w:pPr>
              <w:jc w:val="center"/>
              <w:ind w:right="54"/>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55"/>
              <w:spacing w:after="0" w:line="143"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Total as of</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Observable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9"/>
              </w:rPr>
              <w:t>Inputs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Inputs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214,754,638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4,000,000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1,736,163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4,423,041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2,347,602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1,093,602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1,254,000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18,829,696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36,310,477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Governmental Securities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48,430,166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1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378,544,756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222,116,628</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156,428,128</w:t>
            </w:r>
          </w:p>
        </w:tc>
        <w:tc>
          <w:tcPr>
            <w:tcW w:w="40" w:type="dxa"/>
            <w:vAlign w:val="bottom"/>
          </w:tcPr>
          <w:p>
            <w:pPr>
              <w:spacing w:after="0"/>
              <w:rPr>
                <w:sz w:val="20"/>
                <w:szCs w:val="20"/>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2" w:name="page13"/>
    <w:bookmarkEnd w:id="1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unrealized gains and losses, and market value of investment securities are shown as of June 30, 2023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1,244,803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1,988,060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1,917,173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4,754,815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4,715,195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3,475,351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4,671,277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4,671,277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Asset Backed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17,111,473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(206,537)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16,904,936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982,015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50,055,216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(3,248,493)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46,808,383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30,736,849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(1,567,272)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29,169,577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57,325,671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336,990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(4,826,535)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52,836,126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842,085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252,288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1,094,373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173,228,927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590,938</w:t>
            </w:r>
          </w:p>
        </w:tc>
        <w:tc>
          <w:tcPr>
            <w:tcW w:w="5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(10,000,656)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163,819,209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As of December 31, 2022:</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0"/>
        </w:trPr>
        <w:tc>
          <w:tcPr>
            <w:tcW w:w="33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ind w:left="3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6"/>
                <w:szCs w:val="16"/>
                <w:color w:val="auto"/>
              </w:rPr>
            </w:pPr>
          </w:p>
        </w:tc>
        <w:tc>
          <w:tcPr>
            <w:tcW w:w="1100" w:type="dxa"/>
            <w:vAlign w:val="bottom"/>
          </w:tcPr>
          <w:p>
            <w:pPr>
              <w:jc w:val="right"/>
              <w:ind w:right="413"/>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311"/>
              <w:spacing w:after="0"/>
              <w:rPr>
                <w:sz w:val="20"/>
                <w:szCs w:val="20"/>
                <w:color w:val="auto"/>
              </w:rPr>
            </w:pPr>
            <w:r>
              <w:rPr>
                <w:rFonts w:ascii="Arial" w:cs="Arial" w:eastAsia="Arial" w:hAnsi="Arial"/>
                <w:sz w:val="14"/>
                <w:szCs w:val="14"/>
                <w:b w:val="1"/>
                <w:bCs w:val="1"/>
                <w:color w:val="auto"/>
              </w:rPr>
              <w:t>Market 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4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1,750,256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(14,093)</w:t>
            </w:r>
          </w:p>
        </w:tc>
        <w:tc>
          <w:tcPr>
            <w:tcW w:w="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1,736,163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5,571,417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(98,076)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5,473,341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4,476,613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(53,572)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4,423,041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4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2,347,602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2,347,602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19,151,229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(321,533)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18,829,696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(11,075)</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238,925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40,410,206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(4,099,729)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36,310,477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Securities</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39,637,461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(3,104,827)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36,532,634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38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53,476,883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(5,282,430)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48,430,166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292,638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293,300</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172,587,805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236,375</w:t>
            </w:r>
          </w:p>
        </w:tc>
        <w:tc>
          <w:tcPr>
            <w:tcW w:w="5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(13,034,062)</w:t>
            </w:r>
          </w:p>
        </w:tc>
        <w:tc>
          <w:tcPr>
            <w:tcW w:w="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159,790,118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June 30, 2023,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0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3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40,487,017</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9,484,009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111,100,115</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10,000,656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151,587,132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60"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2022, are as follows:</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right"/>
              <w:ind w:right="117"/>
              <w:spacing w:after="0"/>
              <w:rPr>
                <w:sz w:val="20"/>
                <w:szCs w:val="20"/>
                <w:color w:val="auto"/>
              </w:rPr>
            </w:pPr>
            <w:r>
              <w:rPr>
                <w:rFonts w:ascii="Arial" w:cs="Arial" w:eastAsia="Arial" w:hAnsi="Arial"/>
                <w:sz w:val="14"/>
                <w:szCs w:val="14"/>
                <w:b w:val="1"/>
                <w:bCs w:val="1"/>
                <w:color w:val="auto"/>
              </w:rPr>
              <w:t>Aggregate Fair Value of</w:t>
            </w: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20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77,701,146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duration of greater than one year</w:t>
            </w:r>
          </w:p>
        </w:tc>
        <w:tc>
          <w:tcPr>
            <w:tcW w:w="5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8,217,959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76,643,586</w:t>
            </w:r>
          </w:p>
        </w:tc>
        <w:tc>
          <w:tcPr>
            <w:tcW w:w="0" w:type="dxa"/>
            <w:vAlign w:val="bottom"/>
          </w:tcPr>
          <w:p>
            <w:pPr>
              <w:spacing w:after="0"/>
              <w:rPr>
                <w:sz w:val="1"/>
                <w:szCs w:val="1"/>
                <w:color w:val="auto"/>
              </w:rPr>
            </w:pPr>
          </w:p>
        </w:tc>
      </w:tr>
      <w:tr>
        <w:trPr>
          <w:trHeight w:val="243"/>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13,034,062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154,344,732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 </w:t>
      </w:r>
      <w:r>
        <w:rPr>
          <w:rFonts w:ascii="Arial" w:cs="Arial" w:eastAsia="Arial" w:hAnsi="Arial"/>
          <w:sz w:val="18"/>
          <w:szCs w:val="18"/>
          <w:color w:val="auto"/>
        </w:rPr>
        <w:t>s. The guidance modifies the impairment model for available-for-sale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any amortized cost basis has been recovered.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Fixed</w:t>
            </w:r>
          </w:p>
        </w:tc>
        <w:tc>
          <w:tcPr>
            <w:tcW w:w="960" w:type="dxa"/>
            <w:vAlign w:val="bottom"/>
          </w:tcPr>
          <w:p>
            <w:pPr>
              <w:ind w:left="80"/>
              <w:spacing w:after="0"/>
              <w:rPr>
                <w:sz w:val="20"/>
                <w:szCs w:val="20"/>
                <w:color w:val="auto"/>
              </w:rPr>
            </w:pPr>
            <w:r>
              <w:rPr>
                <w:rFonts w:ascii="Arial" w:cs="Arial" w:eastAsia="Arial" w:hAnsi="Arial"/>
                <w:sz w:val="18"/>
                <w:szCs w:val="18"/>
                <w:color w:val="auto"/>
              </w:rPr>
              <w:t>income</w:t>
            </w:r>
          </w:p>
        </w:tc>
        <w:tc>
          <w:tcPr>
            <w:tcW w:w="1060" w:type="dxa"/>
            <w:vAlign w:val="bottom"/>
          </w:tcPr>
          <w:p>
            <w:pPr>
              <w:ind w:left="80"/>
              <w:spacing w:after="0"/>
              <w:rPr>
                <w:sz w:val="20"/>
                <w:szCs w:val="20"/>
                <w:color w:val="auto"/>
              </w:rPr>
            </w:pPr>
            <w:r>
              <w:rPr>
                <w:rFonts w:ascii="Arial" w:cs="Arial" w:eastAsia="Arial" w:hAnsi="Arial"/>
                <w:sz w:val="18"/>
                <w:szCs w:val="18"/>
                <w:color w:val="auto"/>
              </w:rPr>
              <w:t>securities</w:t>
            </w:r>
          </w:p>
        </w:tc>
        <w:tc>
          <w:tcPr>
            <w:tcW w:w="540" w:type="dxa"/>
            <w:vAlign w:val="bottom"/>
          </w:tcPr>
          <w:p>
            <w:pPr>
              <w:ind w:left="160"/>
              <w:spacing w:after="0"/>
              <w:rPr>
                <w:sz w:val="20"/>
                <w:szCs w:val="20"/>
                <w:color w:val="auto"/>
              </w:rPr>
            </w:pPr>
            <w:r>
              <w:rPr>
                <w:rFonts w:ascii="Arial" w:cs="Arial" w:eastAsia="Arial" w:hAnsi="Arial"/>
                <w:sz w:val="18"/>
                <w:szCs w:val="18"/>
                <w:color w:val="auto"/>
              </w:rPr>
              <w:t>as</w:t>
            </w:r>
          </w:p>
        </w:tc>
        <w:tc>
          <w:tcPr>
            <w:tcW w:w="540" w:type="dxa"/>
            <w:vAlign w:val="bottom"/>
          </w:tcPr>
          <w:p>
            <w:pPr>
              <w:ind w:left="200"/>
              <w:spacing w:after="0"/>
              <w:rPr>
                <w:sz w:val="20"/>
                <w:szCs w:val="20"/>
                <w:color w:val="auto"/>
              </w:rPr>
            </w:pPr>
            <w:r>
              <w:rPr>
                <w:rFonts w:ascii="Arial" w:cs="Arial" w:eastAsia="Arial" w:hAnsi="Arial"/>
                <w:sz w:val="18"/>
                <w:szCs w:val="18"/>
                <w:color w:val="auto"/>
              </w:rPr>
              <w:t>of</w:t>
            </w:r>
          </w:p>
        </w:tc>
        <w:tc>
          <w:tcPr>
            <w:tcW w:w="760" w:type="dxa"/>
            <w:vAlign w:val="bottom"/>
          </w:tcPr>
          <w:p>
            <w:pPr>
              <w:ind w:left="180"/>
              <w:spacing w:after="0"/>
              <w:rPr>
                <w:sz w:val="20"/>
                <w:szCs w:val="20"/>
                <w:color w:val="auto"/>
              </w:rPr>
            </w:pPr>
            <w:r>
              <w:rPr>
                <w:rFonts w:ascii="Arial" w:cs="Arial" w:eastAsia="Arial" w:hAnsi="Arial"/>
                <w:sz w:val="18"/>
                <w:szCs w:val="18"/>
                <w:color w:val="auto"/>
              </w:rPr>
              <w:t>June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440" w:type="dxa"/>
            <w:vAlign w:val="bottom"/>
          </w:tcPr>
          <w:p>
            <w:pPr>
              <w:ind w:left="40"/>
              <w:spacing w:after="0"/>
              <w:rPr>
                <w:sz w:val="20"/>
                <w:szCs w:val="20"/>
                <w:color w:val="auto"/>
              </w:rPr>
            </w:pPr>
            <w:r>
              <w:rPr>
                <w:rFonts w:ascii="Arial" w:cs="Arial" w:eastAsia="Arial" w:hAnsi="Arial"/>
                <w:sz w:val="18"/>
                <w:szCs w:val="18"/>
                <w:color w:val="auto"/>
                <w:w w:val="97"/>
              </w:rPr>
              <w:t>have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contractual</w:t>
            </w:r>
          </w:p>
        </w:tc>
        <w:tc>
          <w:tcPr>
            <w:tcW w:w="1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maturities</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as</w:t>
            </w:r>
          </w:p>
        </w:tc>
        <w:tc>
          <w:tcPr>
            <w:tcW w:w="760" w:type="dxa"/>
            <w:vAlign w:val="bottom"/>
          </w:tcPr>
          <w:p>
            <w:pPr>
              <w:ind w:left="160"/>
              <w:spacing w:after="0"/>
              <w:rPr>
                <w:sz w:val="20"/>
                <w:szCs w:val="20"/>
                <w:color w:val="auto"/>
              </w:rPr>
            </w:pPr>
            <w:r>
              <w:rPr>
                <w:rFonts w:ascii="Arial" w:cs="Arial" w:eastAsia="Arial" w:hAnsi="Arial"/>
                <w:sz w:val="18"/>
                <w:szCs w:val="18"/>
                <w:color w:val="auto"/>
                <w:w w:val="96"/>
              </w:rPr>
              <w:t>follows:</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11,352,521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760" w:type="dxa"/>
            <w:vAlign w:val="bottom"/>
            <w:gridSpan w:val="3"/>
          </w:tcPr>
          <w:p>
            <w:pPr>
              <w:ind w:left="20"/>
              <w:spacing w:after="0"/>
              <w:rPr>
                <w:sz w:val="20"/>
                <w:szCs w:val="20"/>
                <w:color w:val="auto"/>
              </w:rPr>
            </w:pPr>
            <w:r>
              <w:rPr>
                <w:rFonts w:ascii="Arial" w:cs="Arial" w:eastAsia="Arial" w:hAnsi="Arial"/>
                <w:sz w:val="18"/>
                <w:szCs w:val="18"/>
                <w:color w:val="auto"/>
              </w:rPr>
              <w:t>Due between one and five years</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95,024,741</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0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51,676,296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158,053,558</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(4)  Inventories</w:t>
            </w: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4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 w:type="dxa"/>
            <w:vAlign w:val="bottom"/>
          </w:tcPr>
          <w:p>
            <w:pPr>
              <w:spacing w:after="0"/>
              <w:rPr>
                <w:sz w:val="24"/>
                <w:szCs w:val="24"/>
                <w:color w:val="auto"/>
              </w:rPr>
            </w:pPr>
          </w:p>
        </w:tc>
        <w:tc>
          <w:tcPr>
            <w:tcW w:w="6180" w:type="dxa"/>
            <w:vAlign w:val="bottom"/>
            <w:gridSpan w:val="8"/>
          </w:tcPr>
          <w:p>
            <w:pPr>
              <w:spacing w:after="0"/>
              <w:rPr>
                <w:sz w:val="20"/>
                <w:szCs w:val="20"/>
                <w:color w:val="auto"/>
              </w:rPr>
            </w:pPr>
            <w:r>
              <w:rPr>
                <w:rFonts w:ascii="Arial" w:cs="Arial" w:eastAsia="Arial" w:hAnsi="Arial"/>
                <w:sz w:val="18"/>
                <w:szCs w:val="18"/>
                <w:color w:val="auto"/>
              </w:rPr>
              <w:t>Inventories consisted of the following at the respective balance sheet dates: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BFE4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December 31, 2022</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BFE4FF"/>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280,764,776</w:t>
            </w:r>
          </w:p>
        </w:tc>
        <w:tc>
          <w:tcPr>
            <w:tcW w:w="2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BFE4FF"/>
          </w:tcPr>
          <w:p>
            <w:pPr>
              <w:jc w:val="right"/>
              <w:ind w:right="10"/>
              <w:spacing w:after="0"/>
              <w:rPr>
                <w:sz w:val="20"/>
                <w:szCs w:val="20"/>
                <w:color w:val="auto"/>
              </w:rPr>
            </w:pPr>
            <w:r>
              <w:rPr>
                <w:rFonts w:ascii="Arial" w:cs="Arial" w:eastAsia="Arial" w:hAnsi="Arial"/>
                <w:sz w:val="18"/>
                <w:szCs w:val="18"/>
                <w:color w:val="auto"/>
              </w:rPr>
              <w:t>304,184,004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44,861,244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45,512,275</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64,400,248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54,663,991</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Total Inventory</w:t>
            </w: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390,026,268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404,360,270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2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six months ended June 30, 2023 and June 30, 2022:</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109,155,403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72,404,403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206,733,664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159,933,028</w:t>
            </w: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ind w:left="440"/>
              <w:spacing w:after="0" w:line="183" w:lineRule="exact"/>
              <w:rPr>
                <w:sz w:val="20"/>
                <w:szCs w:val="20"/>
                <w:color w:val="auto"/>
              </w:rPr>
            </w:pPr>
            <w:r>
              <w:rPr>
                <w:rFonts w:ascii="Arial" w:cs="Arial" w:eastAsia="Arial" w:hAnsi="Arial"/>
                <w:sz w:val="18"/>
                <w:szCs w:val="18"/>
                <w:color w:val="auto"/>
              </w:rPr>
              <w:t>Less: Dividends and undistributed</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earnings allocated to participating</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1,616,981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1,094,827</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3,095,900</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2,460,845</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40" w:type="dxa"/>
            <w:vAlign w:val="bottom"/>
          </w:tcPr>
          <w:p>
            <w:pPr>
              <w:ind w:left="240"/>
              <w:spacing w:after="0" w:line="170" w:lineRule="exact"/>
              <w:rPr>
                <w:sz w:val="20"/>
                <w:szCs w:val="20"/>
                <w:color w:val="auto"/>
              </w:rPr>
            </w:pPr>
            <w:r>
              <w:rPr>
                <w:rFonts w:ascii="Arial" w:cs="Arial" w:eastAsia="Arial" w:hAnsi="Arial"/>
                <w:sz w:val="18"/>
                <w:szCs w:val="18"/>
                <w:color w:val="auto"/>
              </w:rPr>
              <w:t>Net Income available to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107,538,422</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71,309,576</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203,637,764</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157,472,183</w:t>
            </w:r>
          </w:p>
        </w:tc>
        <w:tc>
          <w:tcPr>
            <w:tcW w:w="0" w:type="dxa"/>
            <w:vAlign w:val="bottom"/>
          </w:tcPr>
          <w:p>
            <w:pPr>
              <w:spacing w:after="0"/>
              <w:rPr>
                <w:sz w:val="1"/>
                <w:szCs w:val="1"/>
                <w:color w:val="auto"/>
              </w:rPr>
            </w:pPr>
          </w:p>
        </w:tc>
      </w:tr>
      <w:tr>
        <w:trPr>
          <w:trHeight w:val="202"/>
        </w:trPr>
        <w:tc>
          <w:tcPr>
            <w:tcW w:w="3840" w:type="dxa"/>
            <w:vAlign w:val="bottom"/>
          </w:tcPr>
          <w:p>
            <w:pPr>
              <w:ind w:left="240"/>
              <w:spacing w:after="0" w:line="202" w:lineRule="exact"/>
              <w:rPr>
                <w:sz w:val="20"/>
                <w:szCs w:val="20"/>
                <w:color w:val="auto"/>
              </w:rPr>
            </w:pPr>
            <w:r>
              <w:rPr>
                <w:rFonts w:ascii="Arial" w:cs="Arial" w:eastAsia="Arial" w:hAnsi="Arial"/>
                <w:sz w:val="18"/>
                <w:szCs w:val="18"/>
                <w:color w:val="auto"/>
              </w:rPr>
              <w:t>shareholders</w:t>
            </w:r>
          </w:p>
        </w:tc>
        <w:tc>
          <w:tcPr>
            <w:tcW w:w="2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230,005,782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230,982,301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230,135,955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231,245,466</w:t>
            </w: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40"/>
              <w:spacing w:after="0" w:line="176" w:lineRule="exact"/>
              <w:rPr>
                <w:sz w:val="20"/>
                <w:szCs w:val="20"/>
                <w:color w:val="auto"/>
              </w:rPr>
            </w:pPr>
            <w:r>
              <w:rPr>
                <w:rFonts w:ascii="Arial" w:cs="Arial" w:eastAsia="Arial" w:hAnsi="Arial"/>
                <w:sz w:val="18"/>
                <w:szCs w:val="18"/>
                <w:color w:val="auto"/>
              </w:rPr>
              <w:t>Allocation of Net Income used in basic</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107,538,422</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71,309,576</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203,637,764</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157,472,183</w:t>
            </w: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computation</w:t>
            </w:r>
          </w:p>
        </w:tc>
        <w:tc>
          <w:tcPr>
            <w:tcW w:w="2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156"/>
        </w:trPr>
        <w:tc>
          <w:tcPr>
            <w:tcW w:w="3840" w:type="dxa"/>
            <w:vAlign w:val="bottom"/>
          </w:tcPr>
          <w:p>
            <w:pPr>
              <w:ind w:left="240"/>
              <w:spacing w:after="0" w:line="157" w:lineRule="exact"/>
              <w:rPr>
                <w:sz w:val="20"/>
                <w:szCs w:val="20"/>
                <w:color w:val="auto"/>
              </w:rPr>
            </w:pPr>
            <w:r>
              <w:rPr>
                <w:rFonts w:ascii="Arial" w:cs="Arial" w:eastAsia="Arial" w:hAnsi="Arial"/>
                <w:sz w:val="18"/>
                <w:szCs w:val="18"/>
                <w:color w:val="auto"/>
              </w:rPr>
              <w:t>Net Income available to common</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107,539,569</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71,310,871</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203,640,226</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157,475,884</w:t>
            </w:r>
          </w:p>
        </w:tc>
        <w:tc>
          <w:tcPr>
            <w:tcW w:w="0" w:type="dxa"/>
            <w:vAlign w:val="bottom"/>
          </w:tcPr>
          <w:p>
            <w:pPr>
              <w:spacing w:after="0"/>
              <w:rPr>
                <w:sz w:val="1"/>
                <w:szCs w:val="1"/>
                <w:color w:val="auto"/>
              </w:rPr>
            </w:pPr>
          </w:p>
        </w:tc>
      </w:tr>
      <w:tr>
        <w:trPr>
          <w:trHeight w:val="236"/>
        </w:trPr>
        <w:tc>
          <w:tcPr>
            <w:tcW w:w="3840" w:type="dxa"/>
            <w:vAlign w:val="bottom"/>
          </w:tcPr>
          <w:p>
            <w:pPr>
              <w:ind w:left="240"/>
              <w:spacing w:after="0"/>
              <w:rPr>
                <w:sz w:val="20"/>
                <w:szCs w:val="20"/>
                <w:color w:val="auto"/>
              </w:rPr>
            </w:pPr>
            <w:r>
              <w:rPr>
                <w:rFonts w:ascii="Arial" w:cs="Arial" w:eastAsia="Arial" w:hAnsi="Arial"/>
                <w:sz w:val="18"/>
                <w:szCs w:val="18"/>
                <w:color w:val="auto"/>
              </w:rPr>
              <w:t>shareholders - Diluted</w:t>
            </w:r>
          </w:p>
        </w:tc>
        <w:tc>
          <w:tcPr>
            <w:tcW w:w="22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240"/>
              <w:spacing w:after="0"/>
              <w:rPr>
                <w:sz w:val="20"/>
                <w:szCs w:val="20"/>
                <w:color w:val="auto"/>
              </w:rPr>
            </w:pPr>
            <w:r>
              <w:rPr>
                <w:rFonts w:ascii="Arial" w:cs="Arial" w:eastAsia="Arial" w:hAnsi="Arial"/>
                <w:sz w:val="18"/>
                <w:szCs w:val="18"/>
                <w:color w:val="auto"/>
              </w:rPr>
              <w:t>Number of shares used in basic computation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230,005,782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230,982,301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230,135,955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231,245,466</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Additional weighted average dilutive</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222,568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456,483</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255,153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544,919</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stock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40" w:type="dxa"/>
            <w:vAlign w:val="bottom"/>
          </w:tcPr>
          <w:p>
            <w:pPr>
              <w:ind w:left="240"/>
              <w:spacing w:after="0" w:line="170" w:lineRule="exact"/>
              <w:rPr>
                <w:sz w:val="20"/>
                <w:szCs w:val="20"/>
                <w:color w:val="auto"/>
              </w:rPr>
            </w:pPr>
            <w:r>
              <w:rPr>
                <w:rFonts w:ascii="Arial" w:cs="Arial" w:eastAsia="Arial" w:hAnsi="Arial"/>
                <w:sz w:val="18"/>
                <w:szCs w:val="18"/>
                <w:color w:val="auto"/>
              </w:rPr>
              <w:t>Diluted weighted average shares</w:t>
            </w: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230,228,350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231,438,784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230,391,108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231,790,385</w:t>
            </w:r>
          </w:p>
        </w:tc>
        <w:tc>
          <w:tcPr>
            <w:tcW w:w="0" w:type="dxa"/>
            <w:vAlign w:val="bottom"/>
          </w:tcPr>
          <w:p>
            <w:pPr>
              <w:spacing w:after="0"/>
              <w:rPr>
                <w:sz w:val="1"/>
                <w:szCs w:val="1"/>
                <w:color w:val="auto"/>
              </w:rPr>
            </w:pPr>
          </w:p>
        </w:tc>
      </w:tr>
      <w:tr>
        <w:trPr>
          <w:trHeight w:val="202"/>
        </w:trPr>
        <w:tc>
          <w:tcPr>
            <w:tcW w:w="3840" w:type="dxa"/>
            <w:vAlign w:val="bottom"/>
          </w:tcPr>
          <w:p>
            <w:pPr>
              <w:ind w:left="240"/>
              <w:spacing w:after="0" w:line="202" w:lineRule="exact"/>
              <w:rPr>
                <w:sz w:val="20"/>
                <w:szCs w:val="20"/>
                <w:color w:val="auto"/>
              </w:rPr>
            </w:pPr>
            <w:r>
              <w:rPr>
                <w:rFonts w:ascii="Arial" w:cs="Arial" w:eastAsia="Arial" w:hAnsi="Arial"/>
                <w:sz w:val="18"/>
                <w:szCs w:val="18"/>
                <w:color w:val="auto"/>
              </w:rPr>
              <w:t>outstanding</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ind w:left="24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0.88</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7"/>
        </w:trPr>
        <w:tc>
          <w:tcPr>
            <w:tcW w:w="3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6" w:lineRule="exact"/>
              <w:rPr>
                <w:sz w:val="20"/>
                <w:szCs w:val="20"/>
                <w:color w:val="auto"/>
              </w:rPr>
            </w:pPr>
            <w:r>
              <w:rPr>
                <w:rFonts w:ascii="Arial" w:cs="Arial" w:eastAsia="Arial" w:hAnsi="Arial"/>
                <w:sz w:val="18"/>
                <w:szCs w:val="18"/>
                <w:color w:val="auto"/>
              </w:rPr>
              <w:t>diluted average common shares outstanding</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2,355,346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1,792,677</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2,274,875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1,549,824</w:t>
            </w:r>
          </w:p>
        </w:tc>
        <w:tc>
          <w:tcPr>
            <w:tcW w:w="0" w:type="dxa"/>
            <w:vAlign w:val="bottom"/>
          </w:tcPr>
          <w:p>
            <w:pPr>
              <w:spacing w:after="0"/>
              <w:rPr>
                <w:sz w:val="1"/>
                <w:szCs w:val="1"/>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because their effect would be anti-dilutive</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5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June 30, 2023,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11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awards and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4"/>
        <w:spacing w:after="0" w:line="275"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2022, for additional information related to the Prior Plans.</w:t>
      </w:r>
    </w:p>
    <w:p>
      <w:pPr>
        <w:spacing w:after="0" w:line="93"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The Company recognized total compensation expense for share-based payments of $9,744,670 and $18,264,205 for the three and six months ended June 30, 2023, respectively. The Company recognized compensation expense for share-based payments of $8,573,230 and $15,361,567 for the three and six months ended June 30, 2022, respectively. A portion of the compensation cost for share based payment awards is capitalized as part of inventory.</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62"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The purpose of the 2019 Omnibus Plan is to attract and retain employees, officers, and directors of the Company and its subsidiaries and to motivate and provide such persons incentives and rewards for performance. Pursuant to the terms of the 2019 Omnibus Plan, each type of award counts against the available shares based on a predetermined conversion rate (shown in the table below). As of June 30, 2023, 9,445,055 share awards have been made under the Plan, resulting in 23,954,574 shares granted of the 45,000,000 total shares available to be issued under the Plan. The shares issued are presented net of shares from canceled/expired options and shares.</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96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Shares Granted</w:t>
            </w:r>
          </w:p>
        </w:tc>
        <w:tc>
          <w:tcPr>
            <w:tcW w:w="100" w:type="dxa"/>
            <w:vAlign w:val="bottom"/>
          </w:tcPr>
          <w:p>
            <w:pPr>
              <w:spacing w:after="0"/>
              <w:rPr>
                <w:sz w:val="14"/>
                <w:szCs w:val="14"/>
                <w:color w:val="auto"/>
              </w:rPr>
            </w:pPr>
          </w:p>
        </w:tc>
        <w:tc>
          <w:tcPr>
            <w:tcW w:w="194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Conversion Rate</w:t>
            </w:r>
          </w:p>
        </w:tc>
        <w:tc>
          <w:tcPr>
            <w:tcW w:w="120" w:type="dxa"/>
            <w:vAlign w:val="bottom"/>
          </w:tcPr>
          <w:p>
            <w:pPr>
              <w:spacing w:after="0"/>
              <w:rPr>
                <w:sz w:val="14"/>
                <w:szCs w:val="14"/>
                <w:color w:val="auto"/>
              </w:rPr>
            </w:pPr>
          </w:p>
        </w:tc>
        <w:tc>
          <w:tcPr>
            <w:tcW w:w="196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Total Shares Under 2019</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Omnibus Plan</w:t>
            </w:r>
          </w:p>
        </w:tc>
        <w:tc>
          <w:tcPr>
            <w:tcW w:w="0" w:type="dxa"/>
            <w:vAlign w:val="bottom"/>
          </w:tcPr>
          <w:p>
            <w:pPr>
              <w:spacing w:after="0"/>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Non-Qualified Stock Options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4,703,382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4,703,382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60" w:type="dxa"/>
            <w:vAlign w:val="bottom"/>
          </w:tcPr>
          <w:p>
            <w:pPr>
              <w:jc w:val="right"/>
              <w:spacing w:after="0"/>
              <w:rPr>
                <w:sz w:val="20"/>
                <w:szCs w:val="20"/>
                <w:color w:val="auto"/>
              </w:rPr>
            </w:pPr>
            <w:r>
              <w:rPr>
                <w:rFonts w:ascii="Arial" w:cs="Arial" w:eastAsia="Arial" w:hAnsi="Arial"/>
                <w:sz w:val="18"/>
                <w:szCs w:val="18"/>
                <w:color w:val="auto"/>
              </w:rPr>
              <w:t>3,877,858</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15,744,103</w:t>
            </w: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863,815</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3,507,089</w:t>
            </w:r>
          </w:p>
        </w:tc>
        <w:tc>
          <w:tcPr>
            <w:tcW w:w="0" w:type="dxa"/>
            <w:vAlign w:val="bottom"/>
          </w:tcPr>
          <w:p>
            <w:pPr>
              <w:spacing w:after="0"/>
              <w:rPr>
                <w:sz w:val="1"/>
                <w:szCs w:val="1"/>
                <w:color w:val="auto"/>
              </w:rPr>
            </w:pPr>
          </w:p>
        </w:tc>
      </w:tr>
      <w:tr>
        <w:trPr>
          <w:trHeight w:val="237"/>
        </w:trPr>
        <w:tc>
          <w:tcPr>
            <w:tcW w:w="3900" w:type="dxa"/>
            <w:vAlign w:val="bottom"/>
          </w:tcPr>
          <w:p>
            <w:pPr>
              <w:ind w:left="1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9,445,055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23,954,574</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June 30, 2023, there was $8,765,464 of unearned compensation cost associated with stock options granted under the 2019 Omnibus Incentive Plan and the Employee Stock Option Plan, which is expected to be recognized over the remaining vesting periods.</w:t>
      </w:r>
    </w:p>
    <w:p>
      <w:pPr>
        <w:spacing w:after="0" w:line="109" w:lineRule="exact"/>
        <w:rPr>
          <w:sz w:val="20"/>
          <w:szCs w:val="20"/>
          <w:color w:val="auto"/>
        </w:rPr>
      </w:pPr>
    </w:p>
    <w:p>
      <w:pPr>
        <w:ind w:left="4" w:right="740"/>
        <w:spacing w:after="0" w:line="27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46" w:lineRule="exact"/>
        <w:rPr>
          <w:sz w:val="20"/>
          <w:szCs w:val="20"/>
          <w:color w:val="auto"/>
        </w:rPr>
      </w:pPr>
    </w:p>
    <w:tbl>
      <w:tblPr>
        <w:tblLayout w:type="fixed"/>
        <w:tblInd w:w="4" w:type="dxa"/>
        <w:tblCellMar>
          <w:top w:w="0" w:type="dxa"/>
          <w:left w:w="0" w:type="dxa"/>
          <w:bottom w:w="0" w:type="dxa"/>
          <w:right w:w="0" w:type="dxa"/>
        </w:tblCellMar>
      </w:tblPr>
      <w:tr>
        <w:trPr>
          <w:trHeight w:val="201"/>
        </w:trPr>
        <w:tc>
          <w:tcPr>
            <w:tcW w:w="3380" w:type="dxa"/>
            <w:vAlign w:val="bottom"/>
          </w:tcPr>
          <w:p>
            <w:pPr>
              <w:spacing w:after="0"/>
              <w:rPr>
                <w:sz w:val="17"/>
                <w:szCs w:val="17"/>
                <w:color w:val="auto"/>
              </w:rPr>
            </w:pPr>
          </w:p>
        </w:tc>
        <w:tc>
          <w:tcPr>
            <w:tcW w:w="31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380" w:type="dxa"/>
            <w:vAlign w:val="bottom"/>
          </w:tcPr>
          <w:p>
            <w:pPr>
              <w:spacing w:after="0"/>
              <w:rPr>
                <w:sz w:val="15"/>
                <w:szCs w:val="15"/>
                <w:color w:val="auto"/>
              </w:rPr>
            </w:pP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5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r>
      <w:tr>
        <w:trPr>
          <w:trHeight w:val="237"/>
        </w:trPr>
        <w:tc>
          <w:tcPr>
            <w:tcW w:w="33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30"/>
        </w:trPr>
        <w:tc>
          <w:tcPr>
            <w:tcW w:w="3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28.97 %</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28.68 %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29.01 %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28.42 %</w:t>
            </w:r>
          </w:p>
        </w:tc>
      </w:tr>
      <w:tr>
        <w:trPr>
          <w:trHeight w:val="229"/>
        </w:trPr>
        <w:tc>
          <w:tcPr>
            <w:tcW w:w="3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r>
      <w:tr>
        <w:trPr>
          <w:trHeight w:val="230"/>
        </w:trPr>
        <w:tc>
          <w:tcPr>
            <w:tcW w:w="33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20" w:type="dxa"/>
            <w:vAlign w:val="bottom"/>
          </w:tcPr>
          <w:p>
            <w:pPr>
              <w:jc w:val="right"/>
              <w:spacing w:after="0"/>
              <w:rPr>
                <w:sz w:val="20"/>
                <w:szCs w:val="20"/>
                <w:color w:val="auto"/>
              </w:rPr>
            </w:pPr>
            <w:r>
              <w:rPr>
                <w:rFonts w:ascii="Arial" w:cs="Arial" w:eastAsia="Arial" w:hAnsi="Arial"/>
                <w:sz w:val="18"/>
                <w:szCs w:val="18"/>
                <w:color w:val="auto"/>
              </w:rPr>
              <w:t>4.15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4.15</w:t>
            </w:r>
          </w:p>
        </w:tc>
      </w:tr>
      <w:tr>
        <w:trPr>
          <w:trHeight w:val="24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w:t>
            </w:r>
          </w:p>
        </w:tc>
      </w:tr>
    </w:tbl>
    <w:p>
      <w:pPr>
        <w:spacing w:after="0" w:line="76" w:lineRule="exact"/>
        <w:rPr>
          <w:sz w:val="20"/>
          <w:szCs w:val="20"/>
          <w:color w:val="auto"/>
        </w:rPr>
      </w:pPr>
    </w:p>
    <w:p>
      <w:pPr>
        <w:ind w:left="324" w:hanging="324"/>
        <w:spacing w:after="0"/>
        <w:tabs>
          <w:tab w:leader="none" w:pos="324"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the Company’s estimated cash dividend yield over the expected term of option grant.</w:t>
      </w:r>
    </w:p>
    <w:p>
      <w:pPr>
        <w:spacing w:after="0" w:line="21" w:lineRule="exact"/>
        <w:rPr>
          <w:rFonts w:ascii="Arial" w:cs="Arial" w:eastAsia="Arial" w:hAnsi="Arial"/>
          <w:sz w:val="9"/>
          <w:szCs w:val="9"/>
          <w:color w:val="auto"/>
        </w:rPr>
      </w:pPr>
    </w:p>
    <w:p>
      <w:pPr>
        <w:ind w:left="324" w:right="260" w:hanging="324"/>
        <w:spacing w:after="0" w:line="261" w:lineRule="auto"/>
        <w:tabs>
          <w:tab w:leader="none" w:pos="324"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324" w:hanging="324"/>
        <w:spacing w:after="0" w:line="192" w:lineRule="auto"/>
        <w:tabs>
          <w:tab w:leader="none" w:pos="32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U.S. Treasury yield over the expected term of the option grant.</w:t>
      </w:r>
    </w:p>
    <w:p>
      <w:pPr>
        <w:spacing w:after="0" w:line="3" w:lineRule="exact"/>
        <w:rPr>
          <w:rFonts w:ascii="Arial" w:cs="Arial" w:eastAsia="Arial" w:hAnsi="Arial"/>
          <w:sz w:val="19"/>
          <w:szCs w:val="19"/>
          <w:color w:val="auto"/>
          <w:vertAlign w:val="superscript"/>
        </w:rPr>
      </w:pPr>
    </w:p>
    <w:p>
      <w:pPr>
        <w:ind w:left="324" w:hanging="324"/>
        <w:spacing w:after="0" w:line="211" w:lineRule="auto"/>
        <w:tabs>
          <w:tab w:leader="none" w:pos="32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ectPr>
          <w:pgSz w:w="11900" w:h="16838" w:orient="portrait"/>
          <w:cols w:equalWidth="0" w:num="1">
            <w:col w:w="10584"/>
          </w:cols>
          <w:pgMar w:left="976"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384"/>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360" w:right="339" w:bottom="1440" w:gutter="0" w:footer="0" w:header="0"/>
          <w:type w:val="continuous"/>
        </w:sectPr>
      </w:pPr>
    </w:p>
    <w:bookmarkStart w:id="16" w:name="page17"/>
    <w:bookmarkEnd w:id="16"/>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June 30, 2023, the Company had unearned stock-based compensation of $47,040,485 associated with the restricted stock grants issued under the 2019 Omnibus Plan and the Second Restricted Stock Plan. The unearned stock-based compensation related to these grants is being amortized to compensation expense over the applicable restriction periods. Compensation expense from restricted stock grants in the three and six months ended June 30, 2023 was $5,862,755 and $11,808,809, respectively. Compensation expense from restricted stock grants in the three and six months ended June 30, 2022 was $5,335,072 and $10,625,877, respectively.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average closing stock price on the twenty days preceding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2023, the Company had unearned stock-based compensation of $20,063,943 associated with these performance share grants. The unearned stock-based compensation related to these grants is being amortized to compensation expense over the applicable performance periods. Compensation expense related to these performance share grants in the three and six months ended June 30, 2023 was $1,635,022 and $2,137,228, respectively. Compensation expense related to these performance share grants in the three and six months ended June 30, 2022 was $1,442,676 and $1,122,206, respectively.</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its objective of attracting and retaining management to fulfill the Company's strategic goals, the Compensation Committee recommended and the Board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in the three and six months ended June 30, 2023 was $516,493 and $641,218,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Prior to July 1, 2022, the Company had in place an employee stock purchase plan covering 2,000,000 shares of common stock. Under that plan, the Company sold shares at 85% of the stock’s market price at date of purchase. Under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the 15% discounted value was recognized as compensation expense. As of June 30, 2023,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1,624,122 shares under this prior plan.</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2022, the 2022 Gentex Corporation Employee Stock Purchase Plan covering 2,000,000 shares of common stock was approved by shareholders replacing the above referenced prior plan effective July 1, 2022. Under the plan, the Company sells shares at 85% of the stock's market price at date of purchase. Under ASC 718, the 15% discounted value is recognized as compensation expense. As of June 30, 2023, the Company has issued 205,505 shares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36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Comprehensive Income (Loss)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Comprehensive income (loss) reflects the change in equity of a business enterprise during a period from transactions and other events and circumstances from non-owner sources. For the Company, comprehensive income represents net income adjusted for unrealized gains and losses on certain debt investments and foreign currency translation adjustments.</w:t>
      </w:r>
    </w:p>
    <w:p>
      <w:pPr>
        <w:spacing w:after="0" w:line="211"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following table presents the net changes in the Company's accumulated other comprehensive loss by component (all amounts shown are net of tax):</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3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1"/>
        </w:trPr>
        <w:tc>
          <w:tcPr>
            <w:tcW w:w="3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(4,153,406)</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24,169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(4,032,239)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920,589</w:t>
            </w:r>
          </w:p>
        </w:tc>
        <w:tc>
          <w:tcPr>
            <w:tcW w:w="0" w:type="dxa"/>
            <w:vAlign w:val="bottom"/>
          </w:tcPr>
          <w:p>
            <w:pPr>
              <w:spacing w:after="0"/>
              <w:rPr>
                <w:sz w:val="1"/>
                <w:szCs w:val="1"/>
                <w:color w:val="auto"/>
              </w:rPr>
            </w:pPr>
          </w:p>
        </w:tc>
      </w:tr>
      <w:tr>
        <w:trPr>
          <w:trHeight w:val="190"/>
        </w:trPr>
        <w:tc>
          <w:tcPr>
            <w:tcW w:w="342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Other Comprehensive loss before</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(1,456,377)</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(3,131,326)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(1,577,544)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(4,027,746)</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current-period change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(1,456,377)</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(3,131,326)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(1,577,544)</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(4,027,746)</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(5,609,783)</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(3,107,157)</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(5,609,783)</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(3,107,157)</w:t>
            </w:r>
          </w:p>
        </w:tc>
        <w:tc>
          <w:tcPr>
            <w:tcW w:w="0" w:type="dxa"/>
            <w:vAlign w:val="bottom"/>
          </w:tcPr>
          <w:p>
            <w:pPr>
              <w:spacing w:after="0"/>
              <w:rPr>
                <w:sz w:val="1"/>
                <w:szCs w:val="1"/>
                <w:color w:val="auto"/>
              </w:rPr>
            </w:pPr>
          </w:p>
        </w:tc>
      </w:tr>
      <w:tr>
        <w:trPr>
          <w:trHeight w:val="102"/>
        </w:trPr>
        <w:tc>
          <w:tcPr>
            <w:tcW w:w="3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Unrealized (losses) gains on available-for-</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debt securities: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2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(8,071,091)</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(5,151,577)</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(10,110,695)</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1,006,655</w:t>
            </w: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40"/>
              <w:spacing w:after="0" w:line="183" w:lineRule="exact"/>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547,342</w:t>
            </w: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(2,903,717)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825,060</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(9,327,653)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before reclassifications</w:t>
            </w: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20" w:type="dxa"/>
            <w:vAlign w:val="bottom"/>
          </w:tcPr>
          <w:p>
            <w:pPr>
              <w:ind w:left="240"/>
              <w:spacing w:after="0" w:line="189" w:lineRule="exact"/>
              <w:rPr>
                <w:sz w:val="20"/>
                <w:szCs w:val="20"/>
                <w:color w:val="auto"/>
              </w:rPr>
            </w:pPr>
            <w:r>
              <w:rPr>
                <w:rFonts w:ascii="Arial" w:cs="Arial" w:eastAsia="Arial" w:hAnsi="Arial"/>
                <w:sz w:val="18"/>
                <w:szCs w:val="18"/>
                <w:color w:val="auto"/>
              </w:rPr>
              <w:t>Amounts reclassified from accumulated</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(109,236)</w:t>
            </w:r>
          </w:p>
        </w:tc>
        <w:tc>
          <w:tcPr>
            <w:tcW w:w="3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206,572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1,652,650</w:t>
            </w:r>
          </w:p>
        </w:tc>
        <w:tc>
          <w:tcPr>
            <w:tcW w:w="28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472,276</w:t>
            </w:r>
          </w:p>
        </w:tc>
        <w:tc>
          <w:tcPr>
            <w:tcW w:w="0" w:type="dxa"/>
            <w:vAlign w:val="bottom"/>
          </w:tcPr>
          <w:p>
            <w:pPr>
              <w:spacing w:after="0"/>
              <w:rPr>
                <w:sz w:val="1"/>
                <w:szCs w:val="1"/>
                <w:color w:val="auto"/>
              </w:rPr>
            </w:pPr>
          </w:p>
        </w:tc>
      </w:tr>
      <w:tr>
        <w:trPr>
          <w:trHeight w:val="229"/>
        </w:trPr>
        <w:tc>
          <w:tcPr>
            <w:tcW w:w="3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comprehensive income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438,106</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(2,697,145)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2,477,710</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(8,855,377)</w:t>
            </w:r>
          </w:p>
        </w:tc>
        <w:tc>
          <w:tcPr>
            <w:tcW w:w="0" w:type="dxa"/>
            <w:vAlign w:val="bottom"/>
          </w:tcPr>
          <w:p>
            <w:pPr>
              <w:spacing w:after="0"/>
              <w:rPr>
                <w:sz w:val="1"/>
                <w:szCs w:val="1"/>
                <w:color w:val="auto"/>
              </w:rPr>
            </w:pPr>
          </w:p>
        </w:tc>
      </w:tr>
      <w:tr>
        <w:trPr>
          <w:trHeight w:val="262"/>
        </w:trPr>
        <w:tc>
          <w:tcPr>
            <w:tcW w:w="3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(7,632,985)</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(7,848,722)</w:t>
            </w:r>
          </w:p>
        </w:tc>
        <w:tc>
          <w:tcPr>
            <w:tcW w:w="1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(7,632,985)</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(7,848,722)</w:t>
            </w:r>
          </w:p>
        </w:tc>
        <w:tc>
          <w:tcPr>
            <w:tcW w:w="0" w:type="dxa"/>
            <w:vAlign w:val="bottom"/>
          </w:tcPr>
          <w:p>
            <w:pPr>
              <w:spacing w:after="0"/>
              <w:rPr>
                <w:sz w:val="1"/>
                <w:szCs w:val="1"/>
                <w:color w:val="auto"/>
              </w:rPr>
            </w:pPr>
          </w:p>
        </w:tc>
      </w:tr>
      <w:tr>
        <w:trPr>
          <w:trHeight w:val="190"/>
        </w:trPr>
        <w:tc>
          <w:tcPr>
            <w:tcW w:w="342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Borders>
              <w:top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(13,242,768)</w:t>
            </w:r>
          </w:p>
        </w:tc>
        <w:tc>
          <w:tcPr>
            <w:tcW w:w="300" w:type="dxa"/>
            <w:vAlign w:val="bottom"/>
            <w:tcBorders>
              <w:top w:val="single" w:sz="8" w:color="CCEEFF"/>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(10,955,879)</w:t>
            </w:r>
          </w:p>
        </w:tc>
        <w:tc>
          <w:tcPr>
            <w:tcW w:w="480" w:type="dxa"/>
            <w:vAlign w:val="bottom"/>
            <w:tcBorders>
              <w:top w:val="single" w:sz="8" w:color="CCEEFF"/>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(13,242,768)</w:t>
            </w:r>
          </w:p>
        </w:tc>
        <w:tc>
          <w:tcPr>
            <w:tcW w:w="28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rPr>
              <w:t>(10,955,879)</w:t>
            </w:r>
          </w:p>
        </w:tc>
        <w:tc>
          <w:tcPr>
            <w:tcW w:w="0" w:type="dxa"/>
            <w:vAlign w:val="bottom"/>
          </w:tcPr>
          <w:p>
            <w:pPr>
              <w:spacing w:after="0"/>
              <w:rPr>
                <w:sz w:val="1"/>
                <w:szCs w:val="1"/>
                <w:color w:val="auto"/>
              </w:rPr>
            </w:pPr>
          </w:p>
        </w:tc>
      </w:tr>
      <w:tr>
        <w:trPr>
          <w:trHeight w:val="202"/>
        </w:trPr>
        <w:tc>
          <w:tcPr>
            <w:tcW w:w="3420" w:type="dxa"/>
            <w:vAlign w:val="bottom"/>
          </w:tcPr>
          <w:p>
            <w:pPr>
              <w:ind w:left="20"/>
              <w:spacing w:after="0" w:line="202" w:lineRule="exact"/>
              <w:rPr>
                <w:sz w:val="20"/>
                <w:szCs w:val="20"/>
                <w:color w:val="auto"/>
              </w:rPr>
            </w:pPr>
            <w:r>
              <w:rPr>
                <w:rFonts w:ascii="Arial" w:cs="Arial" w:eastAsia="Arial" w:hAnsi="Arial"/>
                <w:sz w:val="18"/>
                <w:szCs w:val="18"/>
                <w:color w:val="auto"/>
              </w:rPr>
              <w:t>end of period</w:t>
            </w:r>
          </w:p>
        </w:tc>
        <w:tc>
          <w:tcPr>
            <w:tcW w:w="2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60" w:right="300"/>
        <w:spacing w:after="0" w:line="270" w:lineRule="auto"/>
        <w:rPr>
          <w:sz w:val="20"/>
          <w:szCs w:val="20"/>
          <w:color w:val="auto"/>
        </w:rPr>
      </w:pPr>
      <w:r>
        <w:rPr>
          <w:rFonts w:ascii="Arial" w:cs="Arial" w:eastAsia="Arial" w:hAnsi="Arial"/>
          <w:sz w:val="18"/>
          <w:szCs w:val="18"/>
          <w:color w:val="auto"/>
        </w:rPr>
        <w:t>The following table presents details of reclassifications out of accumulated other comprehensive loss for the three and six months ended June 30, 2023 and 2022:</w:t>
      </w:r>
    </w:p>
    <w:tbl>
      <w:tblPr>
        <w:tblLayout w:type="fixed"/>
        <w:tblInd w:w="660" w:type="dxa"/>
        <w:tblCellMar>
          <w:top w:w="0" w:type="dxa"/>
          <w:left w:w="0" w:type="dxa"/>
          <w:bottom w:w="0" w:type="dxa"/>
          <w:right w:w="0" w:type="dxa"/>
        </w:tblCellMar>
      </w:tblPr>
      <w:tr>
        <w:trPr>
          <w:trHeight w:val="168"/>
        </w:trPr>
        <w:tc>
          <w:tcPr>
            <w:tcW w:w="2500" w:type="dxa"/>
            <w:vAlign w:val="bottom"/>
          </w:tcPr>
          <w:p>
            <w:pPr>
              <w:ind w:left="200"/>
              <w:spacing w:after="0" w:line="168" w:lineRule="exact"/>
              <w:rPr>
                <w:sz w:val="20"/>
                <w:szCs w:val="20"/>
                <w:color w:val="auto"/>
              </w:rPr>
            </w:pPr>
            <w:r>
              <w:rPr>
                <w:rFonts w:ascii="Arial" w:cs="Arial" w:eastAsia="Arial" w:hAnsi="Arial"/>
                <w:sz w:val="16"/>
                <w:szCs w:val="16"/>
                <w:b w:val="1"/>
                <w:bCs w:val="1"/>
                <w:color w:val="auto"/>
              </w:rPr>
              <w:t>Details about 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2500" w:type="dxa"/>
            <w:vAlign w:val="bottom"/>
          </w:tcPr>
          <w:p>
            <w:pPr>
              <w:ind w:left="180"/>
              <w:spacing w:after="0" w:line="162" w:lineRule="exact"/>
              <w:rPr>
                <w:sz w:val="20"/>
                <w:szCs w:val="20"/>
                <w:color w:val="auto"/>
              </w:rPr>
            </w:pPr>
            <w:r>
              <w:rPr>
                <w:rFonts w:ascii="Arial" w:cs="Arial" w:eastAsia="Arial" w:hAnsi="Arial"/>
                <w:sz w:val="16"/>
                <w:szCs w:val="16"/>
                <w:b w:val="1"/>
                <w:bCs w:val="1"/>
                <w:color w:val="auto"/>
              </w:rPr>
              <w:t>Other Comprehensive 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80" w:type="dxa"/>
            <w:vAlign w:val="bottom"/>
            <w:gridSpan w:val="8"/>
            <w:vMerge w:val="restart"/>
          </w:tcPr>
          <w:p>
            <w:pPr>
              <w:jc w:val="right"/>
              <w:ind w:right="321"/>
              <w:spacing w:after="0"/>
              <w:rPr>
                <w:sz w:val="20"/>
                <w:szCs w:val="20"/>
                <w:color w:val="auto"/>
              </w:rPr>
            </w:pPr>
            <w:r>
              <w:rPr>
                <w:rFonts w:ascii="Arial" w:cs="Arial" w:eastAsia="Arial" w:hAnsi="Arial"/>
                <w:sz w:val="16"/>
                <w:szCs w:val="16"/>
                <w:b w:val="1"/>
                <w:bCs w:val="1"/>
                <w:color w:val="auto"/>
              </w:rPr>
              <w:t>Amounts Reclassified from Other Comprehensive Loss</w:t>
            </w:r>
          </w:p>
        </w:tc>
        <w:tc>
          <w:tcPr>
            <w:tcW w:w="10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Consolidated Statements</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Components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8"/>
            <w:vMerge w:val="continue"/>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Income</w:t>
            </w: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0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Unrealized gains (losses) on</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available-for-sale debt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500" w:type="dxa"/>
            <w:vAlign w:val="bottom"/>
          </w:tcPr>
          <w:p>
            <w:pPr>
              <w:ind w:left="240"/>
              <w:spacing w:after="0" w:line="189" w:lineRule="exact"/>
              <w:rPr>
                <w:sz w:val="20"/>
                <w:szCs w:val="20"/>
                <w:color w:val="auto"/>
              </w:rPr>
            </w:pPr>
            <w:r>
              <w:rPr>
                <w:rFonts w:ascii="Arial" w:cs="Arial" w:eastAsia="Arial" w:hAnsi="Arial"/>
                <w:sz w:val="18"/>
                <w:szCs w:val="18"/>
                <w:color w:val="auto"/>
              </w:rPr>
              <w:t>Realized gain (loss) on sale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40"/>
              <w:spacing w:after="0"/>
              <w:rPr>
                <w:sz w:val="20"/>
                <w:szCs w:val="20"/>
                <w:color w:val="auto"/>
              </w:rPr>
            </w:pPr>
            <w:r>
              <w:rPr>
                <w:rFonts w:ascii="Arial" w:cs="Arial" w:eastAsia="Arial" w:hAnsi="Arial"/>
                <w:sz w:val="18"/>
                <w:szCs w:val="18"/>
                <w:color w:val="auto"/>
              </w:rPr>
              <w:t>of securities</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138,274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(261,483)</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(2,091,962)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101"/>
              <w:spacing w:after="0"/>
              <w:rPr>
                <w:sz w:val="20"/>
                <w:szCs w:val="20"/>
                <w:color w:val="auto"/>
              </w:rPr>
            </w:pPr>
            <w:r>
              <w:rPr>
                <w:rFonts w:ascii="Arial" w:cs="Arial" w:eastAsia="Arial" w:hAnsi="Arial"/>
                <w:sz w:val="16"/>
                <w:szCs w:val="16"/>
                <w:color w:val="auto"/>
                <w:w w:val="99"/>
              </w:rPr>
              <w:t>(597,818)</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176"/>
        </w:trPr>
        <w:tc>
          <w:tcPr>
            <w:tcW w:w="250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Provision for income</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54,911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439,312</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121"/>
              <w:spacing w:after="0"/>
              <w:rPr>
                <w:sz w:val="20"/>
                <w:szCs w:val="20"/>
                <w:color w:val="auto"/>
              </w:rPr>
            </w:pPr>
            <w:r>
              <w:rPr>
                <w:rFonts w:ascii="Arial" w:cs="Arial" w:eastAsia="Arial" w:hAnsi="Arial"/>
                <w:sz w:val="16"/>
                <w:szCs w:val="16"/>
                <w:color w:val="auto"/>
              </w:rPr>
              <w:t>125,542</w:t>
            </w:r>
          </w:p>
        </w:tc>
        <w:tc>
          <w:tcPr>
            <w:tcW w:w="1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line="170" w:lineRule="exact"/>
              <w:rPr>
                <w:sz w:val="20"/>
                <w:szCs w:val="20"/>
                <w:color w:val="auto"/>
              </w:rPr>
            </w:pPr>
            <w:r>
              <w:rPr>
                <w:rFonts w:ascii="Arial" w:cs="Arial" w:eastAsia="Arial" w:hAnsi="Arial"/>
                <w:sz w:val="18"/>
                <w:szCs w:val="18"/>
                <w:color w:val="auto"/>
              </w:rPr>
              <w:t>Total net reclassifications for</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2"/>
              <w:spacing w:after="0"/>
              <w:rPr>
                <w:sz w:val="20"/>
                <w:szCs w:val="20"/>
                <w:color w:val="auto"/>
              </w:rPr>
            </w:pPr>
            <w:r>
              <w:rPr>
                <w:rFonts w:ascii="Arial" w:cs="Arial" w:eastAsia="Arial" w:hAnsi="Arial"/>
                <w:sz w:val="16"/>
                <w:szCs w:val="16"/>
                <w:color w:val="auto"/>
              </w:rPr>
              <w:t>109,236</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(206,572)</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(1,652,650)</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center"/>
              <w:ind w:left="101"/>
              <w:spacing w:after="0"/>
              <w:rPr>
                <w:sz w:val="20"/>
                <w:szCs w:val="20"/>
                <w:color w:val="auto"/>
              </w:rPr>
            </w:pPr>
            <w:r>
              <w:rPr>
                <w:rFonts w:ascii="Arial" w:cs="Arial" w:eastAsia="Arial" w:hAnsi="Arial"/>
                <w:sz w:val="16"/>
                <w:szCs w:val="16"/>
                <w:color w:val="auto"/>
                <w:w w:val="99"/>
              </w:rPr>
              <w:t>(472,276)</w:t>
            </w: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20"/>
              <w:spacing w:after="0" w:line="202" w:lineRule="exact"/>
              <w:rPr>
                <w:sz w:val="20"/>
                <w:szCs w:val="20"/>
                <w:color w:val="auto"/>
              </w:rPr>
            </w:pPr>
            <w:r>
              <w:rPr>
                <w:rFonts w:ascii="Arial" w:cs="Arial" w:eastAsia="Arial" w:hAnsi="Arial"/>
                <w:sz w:val="18"/>
                <w:szCs w:val="18"/>
                <w:color w:val="auto"/>
              </w:rPr>
              <w:t>the period</w:t>
            </w:r>
          </w:p>
        </w:tc>
        <w:tc>
          <w:tcPr>
            <w:tcW w:w="26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On October 15, 2018, the Company entered into a credit agreement with PNC as the administrative agent and sole lender, which has now been amended and restated as discussed below.</w:t>
      </w:r>
    </w:p>
    <w:p>
      <w:pPr>
        <w:spacing w:after="0" w:line="20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On February 21, 2023, as previously disclosed, the Company entered into an amended and restated credit agreement ("Credit Agreement") that provides for, among other things, a three-year unsecured revolving credit facility with a borrowing capacity of up to $250.0 million ("Revolver") that matures on February 21, 2026, replacing in its entirety the Company's above referenced prior $150.0 million revolving credit facility scheduled to mature on October 15, 2023. Included in the Revolver is a $20.0 million sublimit for standby letters of credit and a $35.0 million sublimit for swingline loans, each subject to certain conditions. Funds are available under the Revolver for working capital, capital expenditures, and other lawful corporate purposes, including, but not limited to, acquisitions and common stock repurchases, subject in each case to compliance with certain financial covenants, as defined in the Credit Agreement. As of June 30, 2023, there was no outstanding balance on the Revolver.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2023, the Company is in compliance with its covenants under the Credit Agreement.</w:t>
      </w: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decrease in common stock during the six months ended June 30, 2023, was primarily due to the repurchases of 2.0 million shares, partially offset by the issuance of 1.2 million shares of the Company’s common stock, net of cancellations, under the Company’s stock-based compensation plans. The total net decrease was 0.7 million shares.</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recorded a cash dividend of $0.120 per share during the second quarter of 2023 as compared to a cash dividend of $0.120 per share during the second quarter of 2022. The second quarter 2023 dividend of $28.0 million was declared on May 31, 2023 and was paid on July 19, 2023.</w:t>
      </w:r>
    </w:p>
    <w:p>
      <w:pPr>
        <w:spacing w:after="0" w:line="200" w:lineRule="exact"/>
        <w:rPr>
          <w:sz w:val="20"/>
          <w:szCs w:val="20"/>
          <w:color w:val="auto"/>
        </w:rPr>
      </w:pPr>
    </w:p>
    <w:p>
      <w:pPr>
        <w:spacing w:after="0" w:line="25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and laminate products for the aerospace industry and fire protection products for the commercial construction industry. In 2020, the Company acquired Vaporsens, which specializes in nanofiber chemical sensing. These three non-automotive segments are combined into the "Other" segment as shown below.</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2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2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2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574,109,748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452,951,028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1,111,532,736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910,903,581</w:t>
            </w:r>
          </w:p>
        </w:tc>
      </w:tr>
      <w:tr>
        <w:trPr>
          <w:trHeight w:val="243"/>
        </w:trPr>
        <w:tc>
          <w:tcPr>
            <w:tcW w:w="2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9,363,098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10,471,974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22,701,421</w:t>
            </w:r>
          </w:p>
        </w:tc>
        <w:tc>
          <w:tcPr>
            <w:tcW w:w="5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20,770,196</w:t>
            </w:r>
          </w:p>
        </w:tc>
      </w:tr>
      <w:tr>
        <w:trPr>
          <w:trHeight w:val="223"/>
        </w:trPr>
        <w:tc>
          <w:tcPr>
            <w:tcW w:w="2340" w:type="dxa"/>
            <w:vAlign w:val="bottom"/>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583,472,846</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463,423,002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1,134,234,157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931,673,777</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34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Income (Loss) from</w:t>
            </w: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42"/>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29"/>
        </w:trPr>
        <w:tc>
          <w:tcPr>
            <w:tcW w:w="2340" w:type="dxa"/>
            <w:vAlign w:val="bottom"/>
          </w:tcPr>
          <w:p>
            <w:pPr>
              <w:ind w:left="240"/>
              <w:spacing w:after="0"/>
              <w:rPr>
                <w:sz w:val="20"/>
                <w:szCs w:val="20"/>
                <w:color w:val="auto"/>
              </w:rPr>
            </w:pPr>
            <w:r>
              <w:rPr>
                <w:rFonts w:ascii="Arial" w:cs="Arial" w:eastAsia="Arial" w:hAnsi="Arial"/>
                <w:sz w:val="18"/>
                <w:szCs w:val="18"/>
                <w:color w:val="auto"/>
              </w:rPr>
              <w:t>Automotive Products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128,729,058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86,908,119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240,168,856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190,383,628</w:t>
            </w:r>
          </w:p>
        </w:tc>
      </w:tr>
      <w:tr>
        <w:trPr>
          <w:trHeight w:val="230"/>
        </w:trPr>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(1,439,670)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(1,117,150)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371,179</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(1,286,755)</w:t>
            </w:r>
          </w:p>
        </w:tc>
      </w:tr>
      <w:tr>
        <w:trPr>
          <w:trHeight w:val="237"/>
        </w:trPr>
        <w:tc>
          <w:tcPr>
            <w:tcW w:w="2340" w:type="dxa"/>
            <w:vAlign w:val="bottom"/>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127,289,388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85,790,969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240,540,035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189,096,873</w:t>
            </w:r>
          </w:p>
        </w:tc>
      </w:tr>
      <w:tr>
        <w:trPr>
          <w:trHeight w:val="20"/>
        </w:trPr>
        <w:tc>
          <w:tcPr>
            <w:tcW w:w="2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effective tax rate was 15.5% in the six months ended June 30, 2023, compared to an effective tax rate of 15.0% for the same period in 2022. Generally, effective tax rates for these periods differ from statutory federal income tax rates, due to provisions for state and local income taxes, permanent tax differences, the foreign-derived intangible income tax deduction, and research and development tax credits.</w:t>
      </w:r>
    </w:p>
    <w:p>
      <w:pPr>
        <w:spacing w:after="0" w:line="21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73"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six month periods ended June 30, 2023 and June 30,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4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gridSpan w:val="4"/>
          </w:tcPr>
          <w:p>
            <w:pPr>
              <w:jc w:val="right"/>
              <w:ind w:right="892"/>
              <w:spacing w:after="0"/>
              <w:rPr>
                <w:sz w:val="20"/>
                <w:szCs w:val="20"/>
                <w:color w:val="auto"/>
              </w:rPr>
            </w:pPr>
            <w:r>
              <w:rPr>
                <w:rFonts w:ascii="Arial" w:cs="Arial" w:eastAsia="Arial" w:hAnsi="Arial"/>
                <w:sz w:val="14"/>
                <w:szCs w:val="14"/>
                <w:b w:val="1"/>
                <w:bCs w:val="1"/>
                <w:color w:val="auto"/>
              </w:rPr>
              <w:t>Six Months Ended June 30,</w:t>
            </w:r>
          </w:p>
        </w:tc>
      </w:tr>
      <w:tr>
        <w:trPr>
          <w:trHeight w:val="191"/>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2022</w:t>
            </w: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2160" w:type="dxa"/>
            <w:vAlign w:val="bottom"/>
          </w:tcPr>
          <w:p>
            <w:pPr>
              <w:ind w:left="120"/>
              <w:spacing w:after="0"/>
              <w:rPr>
                <w:sz w:val="20"/>
                <w:szCs w:val="20"/>
                <w:color w:val="auto"/>
              </w:rPr>
            </w:pPr>
            <w:r>
              <w:rPr>
                <w:rFonts w:ascii="Arial" w:cs="Arial" w:eastAsia="Arial" w:hAnsi="Arial"/>
                <w:sz w:val="18"/>
                <w:szCs w:val="18"/>
                <w:color w:val="auto"/>
              </w:rPr>
              <w:t>U.S.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177,940,475</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145,818,259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348,722,079</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288,012,229</w:t>
            </w:r>
          </w:p>
        </w:tc>
      </w:tr>
      <w:tr>
        <w:trPr>
          <w:trHeight w:val="230"/>
        </w:trPr>
        <w:tc>
          <w:tcPr>
            <w:tcW w:w="2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Germany</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73,990,846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71,580,008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154,570,311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139,145,328</w:t>
            </w:r>
          </w:p>
        </w:tc>
      </w:tr>
      <w:tr>
        <w:trPr>
          <w:trHeight w:val="236"/>
        </w:trPr>
        <w:tc>
          <w:tcPr>
            <w:tcW w:w="2160" w:type="dxa"/>
            <w:vAlign w:val="bottom"/>
          </w:tcPr>
          <w:p>
            <w:pPr>
              <w:ind w:left="120"/>
              <w:spacing w:after="0"/>
              <w:rPr>
                <w:sz w:val="20"/>
                <w:szCs w:val="20"/>
                <w:color w:val="auto"/>
              </w:rPr>
            </w:pPr>
            <w:r>
              <w:rPr>
                <w:rFonts w:ascii="Arial" w:cs="Arial" w:eastAsia="Arial" w:hAnsi="Arial"/>
                <w:sz w:val="18"/>
                <w:szCs w:val="18"/>
                <w:color w:val="auto"/>
              </w:rPr>
              <w:t>Japan</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84,178,567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46,655,756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156,334,551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101,418,244</w:t>
            </w:r>
          </w:p>
        </w:tc>
      </w:tr>
      <w:tr>
        <w:trPr>
          <w:trHeight w:val="236"/>
        </w:trPr>
        <w:tc>
          <w:tcPr>
            <w:tcW w:w="2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Mexico</w:t>
            </w: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36,803,254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29,792,178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71,090,798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61,927,257</w:t>
            </w:r>
          </w:p>
        </w:tc>
      </w:tr>
      <w:tr>
        <w:trPr>
          <w:trHeight w:val="230"/>
        </w:trPr>
        <w:tc>
          <w:tcPr>
            <w:tcW w:w="2160" w:type="dxa"/>
            <w:vAlign w:val="bottom"/>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201,196,606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159,104,827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380,814,997</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320,400,523</w:t>
            </w:r>
          </w:p>
        </w:tc>
      </w:tr>
      <w:tr>
        <w:trPr>
          <w:trHeight w:val="23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Automotive Products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574,109,748</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452,951,028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1,111,532,736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910,903,581</w:t>
            </w: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Other Products (U.S.)</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9,363,098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10,471,974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22,701,421</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20,770,196</w:t>
            </w:r>
          </w:p>
        </w:tc>
      </w:tr>
      <w:tr>
        <w:trPr>
          <w:trHeight w:val="243"/>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583,472,846</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463,423,002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1,134,234,157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931,673,777</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global supply chain constraints;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p>
      <w:pPr>
        <w:ind w:left="660" w:right="500"/>
        <w:spacing w:after="0" w:line="273"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six month periods ended June 30, 2023 and June 30, 2022:</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0"/>
        </w:trPr>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Six Months Ended June 30,</w:t>
            </w:r>
          </w:p>
        </w:tc>
      </w:tr>
      <w:tr>
        <w:trPr>
          <w:trHeight w:val="232"/>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90"/>
        </w:trPr>
        <w:tc>
          <w:tcPr>
            <w:tcW w:w="2760" w:type="dxa"/>
            <w:vAlign w:val="bottom"/>
          </w:tcPr>
          <w:p>
            <w:pPr>
              <w:ind w:left="240"/>
              <w:spacing w:after="0" w:line="189" w:lineRule="exact"/>
              <w:rPr>
                <w:sz w:val="20"/>
                <w:szCs w:val="20"/>
                <w:color w:val="auto"/>
              </w:rPr>
            </w:pPr>
            <w:r>
              <w:rPr>
                <w:rFonts w:ascii="Arial" w:cs="Arial" w:eastAsia="Arial" w:hAnsi="Arial"/>
                <w:sz w:val="18"/>
                <w:szCs w:val="18"/>
                <w:color w:val="auto"/>
              </w:rPr>
              <w:t>Automotive Mirrors &amp;</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9"/>
        </w:trPr>
        <w:tc>
          <w:tcPr>
            <w:tcW w:w="2760" w:type="dxa"/>
            <w:vAlign w:val="bottom"/>
          </w:tcPr>
          <w:p>
            <w:pPr>
              <w:ind w:left="240"/>
              <w:spacing w:after="0"/>
              <w:rPr>
                <w:sz w:val="20"/>
                <w:szCs w:val="20"/>
                <w:color w:val="auto"/>
              </w:rPr>
            </w:pPr>
            <w:r>
              <w:rPr>
                <w:rFonts w:ascii="Arial" w:cs="Arial" w:eastAsia="Arial" w:hAnsi="Arial"/>
                <w:sz w:val="18"/>
                <w:szCs w:val="18"/>
                <w:color w:val="auto"/>
              </w:rPr>
              <w:t>Electronics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540,636,798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419,492,115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1,046,368,374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843,118,604</w:t>
            </w:r>
          </w:p>
        </w:tc>
      </w:tr>
      <w:tr>
        <w:trPr>
          <w:trHeight w:val="229"/>
        </w:trPr>
        <w:tc>
          <w:tcPr>
            <w:tcW w:w="2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33,472,950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33,458,913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65,164,362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67,784,977</w:t>
            </w:r>
          </w:p>
        </w:tc>
      </w:tr>
      <w:tr>
        <w:trPr>
          <w:trHeight w:val="237"/>
        </w:trPr>
        <w:tc>
          <w:tcPr>
            <w:tcW w:w="276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574,109,748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452,951,028</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1,111,532,736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910,903,581</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Fire Protection Products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9,645,549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15,320,083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18,093,236</w:t>
            </w:r>
          </w:p>
        </w:tc>
      </w:tr>
      <w:tr>
        <w:trPr>
          <w:trHeight w:val="243"/>
        </w:trPr>
        <w:tc>
          <w:tcPr>
            <w:tcW w:w="27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Aerospace Products</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3,344,168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826,425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7,381,338</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2,676,960</w:t>
            </w: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9,363,098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10,471,974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22,701,421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20,770,196</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154305</wp:posOffset>
            </wp:positionV>
            <wp:extent cx="624967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49670" cy="145415"/>
                    </a:xfrm>
                    <a:prstGeom prst="rect">
                      <a:avLst/>
                    </a:prstGeom>
                    <a:noFill/>
                  </pic:spPr>
                </pic:pic>
              </a:graphicData>
            </a:graphic>
          </wp:anchor>
        </w:drawing>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Company has operating leases for certain sales and engineering offices, as well as other vehicles and equipment, which are included within "Plant and Equipment - Net" section of the condensed consolidated balance sheets. The leases have remaining lease terms of 1 year to 5 years. The weighted average remaining lease term for operating leases as of June 30, 2023 was 3 years, with a weighted average discount rate of 6.1%.</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June 30,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31115</wp:posOffset>
            </wp:positionV>
            <wp:extent cx="620649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06490" cy="128905"/>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1,051,018</w:t>
            </w:r>
          </w:p>
        </w:tc>
        <w:tc>
          <w:tcPr>
            <w:tcW w:w="60" w:type="dxa"/>
            <w:vAlign w:val="bottom"/>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1,285,724</w:t>
            </w:r>
          </w:p>
        </w:tc>
        <w:tc>
          <w:tcPr>
            <w:tcW w:w="60" w:type="dxa"/>
            <w:vAlign w:val="bottom"/>
          </w:tcPr>
          <w:p>
            <w:pPr>
              <w:spacing w:after="0"/>
              <w:rPr>
                <w:sz w:val="19"/>
                <w:szCs w:val="19"/>
                <w:color w:val="auto"/>
              </w:rPr>
            </w:pPr>
          </w:p>
        </w:tc>
      </w:tr>
      <w:tr>
        <w:trPr>
          <w:trHeight w:val="24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882,673</w:t>
            </w:r>
          </w:p>
        </w:tc>
        <w:tc>
          <w:tcPr>
            <w:tcW w:w="60" w:type="dxa"/>
            <w:vAlign w:val="bottom"/>
          </w:tcPr>
          <w:p>
            <w:pPr>
              <w:spacing w:after="0"/>
              <w:rPr>
                <w:sz w:val="21"/>
                <w:szCs w:val="21"/>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452,055</w:t>
            </w:r>
          </w:p>
        </w:tc>
        <w:tc>
          <w:tcPr>
            <w:tcW w:w="60" w:type="dxa"/>
            <w:vAlign w:val="bottom"/>
          </w:tcPr>
          <w:p>
            <w:pPr>
              <w:spacing w:after="0"/>
              <w:rPr>
                <w:sz w:val="19"/>
                <w:szCs w:val="19"/>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215,760</w:t>
            </w:r>
          </w:p>
        </w:tc>
        <w:tc>
          <w:tcPr>
            <w:tcW w:w="60" w:type="dxa"/>
            <w:vAlign w:val="bottom"/>
          </w:tcPr>
          <w:p>
            <w:pPr>
              <w:spacing w:after="0"/>
              <w:rPr>
                <w:sz w:val="19"/>
                <w:szCs w:val="19"/>
                <w:color w:val="auto"/>
              </w:rPr>
            </w:pPr>
          </w:p>
        </w:tc>
      </w:tr>
      <w:tr>
        <w:trPr>
          <w:trHeight w:val="24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23"/>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future minimum lease payments</w:t>
            </w:r>
          </w:p>
        </w:tc>
        <w:tc>
          <w:tcPr>
            <w:tcW w:w="8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3,887,230</w:t>
            </w:r>
          </w:p>
        </w:tc>
        <w:tc>
          <w:tcPr>
            <w:tcW w:w="60" w:type="dxa"/>
            <w:vAlign w:val="bottom"/>
          </w:tcPr>
          <w:p>
            <w:pPr>
              <w:spacing w:after="0"/>
              <w:rPr>
                <w:sz w:val="19"/>
                <w:szCs w:val="19"/>
                <w:color w:val="auto"/>
              </w:rPr>
            </w:pP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(200,767)</w:t>
            </w:r>
          </w:p>
        </w:tc>
        <w:tc>
          <w:tcPr>
            <w:tcW w:w="60" w:type="dxa"/>
            <w:vAlign w:val="bottom"/>
          </w:tcPr>
          <w:p>
            <w:pPr>
              <w:spacing w:after="0"/>
              <w:rPr>
                <w:sz w:val="19"/>
                <w:szCs w:val="19"/>
                <w:color w:val="auto"/>
              </w:rPr>
            </w:pPr>
          </w:p>
        </w:tc>
      </w:tr>
      <w:tr>
        <w:trPr>
          <w:trHeight w:val="237"/>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3,686,463</w:t>
            </w:r>
          </w:p>
        </w:tc>
        <w:tc>
          <w:tcPr>
            <w:tcW w:w="60" w:type="dxa"/>
            <w:vAlign w:val="bottom"/>
          </w:tcPr>
          <w:p>
            <w:pPr>
              <w:spacing w:after="0"/>
              <w:rPr>
                <w:sz w:val="20"/>
                <w:szCs w:val="20"/>
                <w:color w:val="auto"/>
              </w:rPr>
            </w:pPr>
          </w:p>
        </w:tc>
      </w:tr>
      <w:tr>
        <w:trPr>
          <w:trHeight w:val="351"/>
        </w:trPr>
        <w:tc>
          <w:tcPr>
            <w:tcW w:w="7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7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r>
    </w:tbl>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1,768,445</w:t>
            </w:r>
          </w:p>
        </w:tc>
      </w:tr>
      <w:tr>
        <w:trPr>
          <w:trHeight w:val="230"/>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1,918,018</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3,686,463</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SECOND QUARTER 2023 VERSUS SECOND QUARTER 2022</w:t>
      </w:r>
    </w:p>
    <w:p>
      <w:pPr>
        <w:spacing w:after="0" w:line="148"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second quarter of 2023 increased by $120.0 million or 26%, when compared with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2022.</w:t>
      </w:r>
    </w:p>
    <w:p>
      <w:pPr>
        <w:spacing w:after="0" w:line="10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Automotive net sales for the second quarter of 2023 were $574.1 million, a 27% increase when compared with automotive net sales of $452.9 million in the second quarter of 2022. The 21% increase in automotive mirror unit shipments in the second quarter of 2023 to 12.9 million units, compared with 10.7 million units in the second quarter of 2022, was driven by a 34% quarter over quarter increase in exterior auto-dimming mirror unit shipments and a 14% quarter over quarter increase in interior auto-dimming mirror unit shipments.</w:t>
      </w:r>
    </w:p>
    <w:p>
      <w:pPr>
        <w:spacing w:after="0" w:line="219" w:lineRule="exact"/>
        <w:rPr>
          <w:sz w:val="20"/>
          <w:szCs w:val="20"/>
          <w:color w:val="auto"/>
        </w:rPr>
      </w:pPr>
    </w:p>
    <w:p>
      <w:pPr>
        <w:ind w:left="660" w:right="40"/>
        <w:spacing w:after="0" w:line="275"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June 30, 2023, and 2022 </w:t>
      </w:r>
      <w:r>
        <w:rPr>
          <w:rFonts w:ascii="Arial" w:cs="Arial" w:eastAsia="Arial" w:hAnsi="Arial"/>
          <w:sz w:val="18"/>
          <w:szCs w:val="18"/>
          <w:i w:val="1"/>
          <w:iCs w:val="1"/>
          <w:color w:val="auto"/>
        </w:rPr>
        <w:t>(in thousands):</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33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1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33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 Change</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24"/>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4,825</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4,288</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w:t>
            </w:r>
          </w:p>
        </w:tc>
      </w:tr>
      <w:tr>
        <w:trPr>
          <w:trHeight w:val="24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9"/>
              </w:rPr>
              <w:t>23%</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3,419</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2,929</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w:t>
            </w:r>
          </w:p>
        </w:tc>
      </w:tr>
      <w:tr>
        <w:trPr>
          <w:trHeight w:val="223"/>
        </w:trPr>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 North American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8,244</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7,217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70"/>
        </w:trPr>
        <w:tc>
          <w:tcPr>
            <w:tcW w:w="3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11,391</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9,996</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4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9"/>
              </w:rPr>
              <w:t>42%</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6,003</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4,482</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34%</w:t>
            </w:r>
          </w:p>
        </w:tc>
      </w:tr>
      <w:tr>
        <w:trPr>
          <w:trHeight w:val="223"/>
        </w:trPr>
        <w:tc>
          <w:tcPr>
            <w:tcW w:w="3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International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23%</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17,394</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14,477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w:t>
            </w:r>
          </w:p>
        </w:tc>
      </w:tr>
      <w:tr>
        <w:trPr>
          <w:trHeight w:val="270"/>
        </w:trPr>
        <w:tc>
          <w:tcPr>
            <w:tcW w:w="3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16,216</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14,284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4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color w:val="auto"/>
                <w:w w:val="99"/>
              </w:rPr>
              <w:t>34%</w:t>
            </w: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9,422</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7,411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27%</w:t>
            </w:r>
          </w:p>
        </w:tc>
      </w:tr>
      <w:tr>
        <w:trPr>
          <w:trHeight w:val="243"/>
        </w:trPr>
        <w:tc>
          <w:tcPr>
            <w:tcW w:w="3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 Auto-Dimming Mirror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10,692</w:t>
            </w:r>
          </w:p>
        </w:tc>
        <w:tc>
          <w:tcPr>
            <w:tcW w:w="1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21%</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25,638</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21,695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18%</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Other net sales were $9.4 million in the second quarter of 2023, compared to $10.5 million in the second quarter of 2022. Fire protection sales decreased to $6.0 million for the second quarter of 2023, compared to $9.6 million in the same quarter of last year. Dimmable aircraft sales increased for the second quarter of 2023 to $3.3 million, from $0.8 million in the same quarter of last year.</w:t>
      </w:r>
    </w:p>
    <w:p>
      <w:pPr>
        <w:spacing w:after="0" w:line="9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66.9% for the second quarter of 2023,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68.0% in the same quarter last year. The quarter over quarter increase in the gross profit margin was primarily the result of decreases in freight expense, improved fixed overhead leverage, cost recoveries from customers, and product mix, which was partially offset by raw material and labor cost increases and prior commitments to annual customer price reductions. On a quarter over quarter basis, both decreases in freight expense and improved fixed overhead leverage each had a separate individual impact on gross margin of approximately 150 - 200 basis points on gross margin, and customer cost recoveries and product mix each individually had an impact of approximately 50 - 100 basis points on gross margin. Both raw material increases and annual customer price reductions each had a separate negative impact on gross margin of approximately 100 - 150 basis points on a quarter over quarter basis. Labor cost increases had a negative impact on gross margin of approximately 50 - 100 basis points.</w:t>
      </w:r>
    </w:p>
    <w:p>
      <w:pPr>
        <w:spacing w:after="0" w:line="12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expenses for the second quarter of 2023 increased by $5.1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when compared with the second quarter of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FAAC16"/>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2" w:name="page23"/>
    <w:bookmarkEnd w:id="22"/>
    <w:p>
      <w:pPr>
        <w:jc w:val="both"/>
        <w:spacing w:after="0" w:line="258" w:lineRule="auto"/>
        <w:rPr>
          <w:sz w:val="20"/>
          <w:szCs w:val="20"/>
          <w:color w:val="auto"/>
        </w:rPr>
      </w:pPr>
      <w:r>
        <w:rPr>
          <w:rFonts w:ascii="Arial" w:cs="Arial" w:eastAsia="Arial" w:hAnsi="Arial"/>
          <w:sz w:val="18"/>
          <w:szCs w:val="18"/>
          <w:color w:val="auto"/>
        </w:rPr>
        <w:t>Selling, general and administrative ("S, G &amp; A") expenses decreased by 6% or $1.9 million for the second quarter of 2023, compared to the second quarter of 2022. S, G &amp; A expenses were 5% of net sales in the second quarter of 2023 and 6% of net sales in the second quarter of 2022. S, G, &amp; A expenses decreased on a quarter over quarter basis primarily due to the decrease in expense related to the previously disclosed SEC settlement that was accrued for in the second quarter of 2022.</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operating expenses were $65.8 million in the second quarter of 2023, an increase of 5% quarter over quarter or $3.2 million, from $62.6 million in the second quarter of 2022.</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second quarter of 2023 increased by $2.3 million,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2022.</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15.1% for, and an income tax expense of $19.4 million was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2023, compared to an effective tax rate of 14.6% for, and an income tax expense of $ 12.4 million recorded in, the same quarter of 2022.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second quarter of 2023 was $109.2 million, up from a net income of $72.4 million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2022. The change in net income was primarily the result of quarter over quarter increases in net sales and operating profits.</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second quarter of 2023 of $0.47, which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diluted share of $0.31 for the second quarter of 2022.</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2023 VERSUS SIX MONTHS ENDED JUNE 30, 2022</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six months ended June 30, 2023 increased by $202.6 million or 22%, when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2022.</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Automotive net sales for the first six months of 2023 were $1.1 billion, up 22% compared with automotive net sales of $910.9 million for the first six months of 2022, primarily due to a 18% period over period increase in automotive mirror unit shipments. Domestic automotive mirror shipments in the six months ended June 30, 2023 increased 14% to 8.2 million units, compared with 7.2 million units in the same period in 2022. International automotive mirror shipments in the six months ended June 30, 2023 increased 20% to 17.4 million units, compared with the same period in 2022.</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net sales were $22.7 million for the first six months of 2023, compared to $20.8 million for the same period last year. This increase is primarily due to the 176% increase in dimmable aircraft sales for the first six months of 2023 to $ 7.4 million, from $2.7 million for the same period in 2022. Fire protection sales decreased by 15% to $15.3 million for the first six months of 2023, compared to $18.1 million in the same period of 2022.</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67.6% for the first six months of 2023,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66.9% in the same period last year. The period over period decrease in the gross profit margin was primarily the result of raw material cost increases and prior commitments to annual customer price reductions, which were partially offset by fixed overhead and freight expense decreases, On a period over period basis, raw material increases and annual customer price reductions each had a separate negative impact of approximately 100 - 150 basis points on gross margin. Freight expense had a positive impact on gross margin of approximately 100 - 150 basis points, and fixed overhead leverage had a positive impact on gross margin of approximately 50 - 100 basis points on a period over period basis.</w:t>
      </w:r>
    </w:p>
    <w:p>
      <w:pPr>
        <w:spacing w:after="0" w:line="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six months ended June 30, 2023 were $72.6 million, compared with $64.8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last year. The 12% increase in E, R &amp; D expenses, in the first six months of 2023 compared to the same period in 2022 was primarily due to additional staffing, professional fees, and new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23" w:name="page24"/>
    <w:bookmarkEnd w:id="23"/>
    <w:p>
      <w:pPr>
        <w:jc w:val="both"/>
        <w:spacing w:after="0" w:line="275" w:lineRule="auto"/>
        <w:rPr>
          <w:sz w:val="20"/>
          <w:szCs w:val="20"/>
          <w:color w:val="auto"/>
        </w:rPr>
      </w:pPr>
      <w:r>
        <w:rPr>
          <w:rFonts w:ascii="Arial" w:cs="Arial" w:eastAsia="Arial" w:hAnsi="Arial"/>
          <w:sz w:val="18"/>
          <w:szCs w:val="18"/>
          <w:color w:val="auto"/>
        </w:rPr>
        <w:t>S, G &amp; A expenses for the first six months of 2023 decreased $0.2 million to $54.7 million, when compared with the same period in 2022. S, G &amp; A expenses were 5% of net sales in the first six months of 2023 and 6% of net sales in the same period in 2022.</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Total Other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six months ended June 30, 2023 was $4.1 million, compared with a total other</w:t>
      </w:r>
      <w:r>
        <w:rPr>
          <w:rFonts w:ascii="Arial" w:cs="Arial" w:eastAsia="Arial" w:hAnsi="Arial"/>
          <w:sz w:val="18"/>
          <w:szCs w:val="18"/>
          <w:i w:val="1"/>
          <w:iCs w:val="1"/>
          <w:color w:val="auto"/>
        </w:rPr>
        <w:t xml:space="preserve"> </w:t>
      </w:r>
      <w:r>
        <w:rPr>
          <w:rFonts w:ascii="Arial" w:cs="Arial" w:eastAsia="Arial" w:hAnsi="Arial"/>
          <w:sz w:val="18"/>
          <w:szCs w:val="18"/>
          <w:color w:val="auto"/>
        </w:rPr>
        <w:t>loss of $1.0 million for the same period last year.</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15.5% for the six months ended June 30, 2023, compared to 15.0%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2022. Generally, effective tax rates for the Company differ from statutory federal income tax rates, due to provisions for state and local income taxes, permanent tax differences, the foreign-derived intangible income tax deduction, and research and development tax credits.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six months ended June 30, 2023 increased by $46.8 million or 29% to $206.7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$159.9 million in the same period last year. The increase in net income was primarily the result of the period over period increases in net sales and operating profits.</w:t>
      </w:r>
    </w:p>
    <w:p>
      <w:pPr>
        <w:spacing w:after="0" w:line="1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six months ended June 30, 2023 of $0.88,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$0.68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cash and cash equivalents as of June 30, 2023 were $237.7 million, which increased $22.9 million, compared to $214.8 million as of December 31, 2022. The increase was primarily due to cash flows from operations, which was in large part offset by capital expenditures, dividend payments, investment purchases, and share repurchases during the six months ended June 30, 2023.</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Short-term investments as of June 30, 2023 were $20.2 million, down from $ 23.0 million as of December 31, 2022, and long-term investments were $239.6 million as of June 30, 2023, up from $202.3 million as of December 31, 2022, primarily due to the $21.5 million investment in Adasky, as discussed in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of the financial statements.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as of June 30, 2023 increased approximately $73.9 million compared to December 31, 2022, primarily due to the timing and increase of sales during the six months ended June 30, 2023. As of June 30, 2023, all of the Company's material tier one and OEM customers continue to be in good standing.</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Inventories as of June 30, 2023 were $390.0 million, compared to $404.4 million as of December 31, 2022, primarily due to decreases in raw materials, which was partially offset by increases finished goods.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Accounts payable as of June 30, 2023 increased approximately $16.7 million to $168.5 million, when compared to December 31, 2022, primarily driven by month end payment timing and increased capital expenditures.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Accrued liabilities as of June 30, 2023 increased approximately $8.8 million compared to December 31, 2022, primarily due to an increase in accrued salaries and wages.</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Cash flow from operating activities for the six months ended June 30, 2023 increased $52.5 million to $241.8 million, compared with $189.3 million during the same six month period last year, primarily due to an increase in net income and changes in working capital.</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for the six months ended June 30, 2023 were approximately $90.3 million, compared with approximately $58.0 million for the same period last year. The increase was primarily due to an increase in expenditures related to building and facility construction projects previously disclosed.</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 In the first quarter of 2022, the Company began construction on a 350,000 square-foot manufacturing facility located at a 140 acre site in Zeeland, Michigan, where the Company previously performed master planning and completed land infrastructure improvements. The total cost of the building project is still expected to be approximately $80 - $90 million, which will be funded with cash and cash equivalents on hand. The facility is expected to be operational in the fourth quarter of 2023. The Company has also begun construction on two building expansions during the second quarter of 2022. The Company is expanding its current distribution center for an additional 300,000 square feet, with a total cost still expected to be approximately $40 - $45 million. The Company is also expanding one of its manufacturing facilities for an additional 60,000 feet, with a total cost still expected to be $20 - $30 million. Both expansion projects will be funded with cash and cash equivalents on hand. The Company also entered into a multi-year lease for 32,000 square feet of manufacturing space at a location approximately 20 miles from its main campus that began operations during the second quarter of 2023.</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estimates that it currently has building capacity to manufacture approximately 42 - 45 million interior mirror units annually and approximately 17 - 20 million exterior mirror units annually, based on current product mix. The Company also evaluates equipment capacity on an ongoing basis and adds equipment as needed.</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749,244,410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698,099,624</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239,621,466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202,331,983</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988,865,876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900,431,607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Future share repurchases may vary from time to time and will take into account macroeconomic events (including the COVID-19 pandemic, industry-wide parts shortages, and global supply chain and labor constraints), market trends, and other factors the Company deems appropriate (including the market price of the stock, anti-dilutive effect of repurchases, and available cash). During the three and six months ended June 30, 2023, the Company repurchased 920,374 and 1,967,300 shares, respectively. The Company has 18,815,865 shares remaining under the plan as of June 30, 2023, as is further detailed in </w:t>
      </w:r>
      <w:r>
        <w:rPr>
          <w:rFonts w:ascii="Arial" w:cs="Arial" w:eastAsia="Arial" w:hAnsi="Arial"/>
          <w:sz w:val="18"/>
          <w:szCs w:val="18"/>
          <w:u w:val="single" w:color="auto"/>
          <w:color w:val="auto"/>
        </w:rPr>
        <w:t>Part II, Item 2</w:t>
      </w:r>
      <w:r>
        <w:rPr>
          <w:rFonts w:ascii="Arial" w:cs="Arial" w:eastAsia="Arial" w:hAnsi="Arial"/>
          <w:sz w:val="18"/>
          <w:szCs w:val="18"/>
          <w:color w:val="auto"/>
        </w:rPr>
        <w:t xml:space="preserve"> of this Form 10-Q.</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second quarter of 2023, the Company reported net sales of $583.5 million, compared to net sales of $463.4 million in the second quarter of 2022, a 26% increase quarter over quarter and a new quarterly sales record for the Company. For the second quarter of 2023, global light vehicle production in North America, Europe, Japan/Korea, and China increased approximately 18%, when compared to the second quarter of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2023, the Company had 35 net new launches of interior and exterior auto-dimming mirrors and electronic</w:t>
      </w:r>
    </w:p>
    <w:p>
      <w:pPr>
        <w:jc w:val="both"/>
        <w:spacing w:after="0" w:line="227" w:lineRule="auto"/>
        <w:rPr>
          <w:sz w:val="20"/>
          <w:szCs w:val="20"/>
          <w:color w:val="auto"/>
        </w:rPr>
      </w:pPr>
      <w:r>
        <w:rPr>
          <w:rFonts w:ascii="Arial" w:cs="Arial" w:eastAsia="Arial" w:hAnsi="Arial"/>
          <w:sz w:val="18"/>
          <w:szCs w:val="18"/>
          <w:color w:val="auto"/>
        </w:rPr>
        <w:t>features. Over 60% of the launches in the second quarter of 2023 were advanced feature launches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being the bulk of such launches.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Mirror Systems</w:t>
      </w:r>
    </w:p>
    <w:p>
      <w:pPr>
        <w:spacing w:after="0" w:line="25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second quarter of 2023, The People's Republic of China newly issued GB15084 and the related procedures, which allow for the Company's frameless inside mirrors to be used on vehicles in the China domestic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Camera Systems</w:t>
      </w:r>
    </w:p>
    <w:p>
      <w:pPr>
        <w:spacing w:after="0" w:line="25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Full Display Mirror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3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As of the second quarter of 2023,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fifteen different automaker customers, which are General Motors, Subaru, Toyota, Nissan, Jaguar Land Rover, Mitsubishi, Aston Martin, Stellantis, Maserati, Fiat, Mercedes, Ferrari, Ford, Hyundai, and Mazda. The</w:t>
      </w: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85" w:right="339" w:bottom="1440" w:gutter="0" w:footer="0" w:header="0"/>
        </w:sectPr>
      </w:pPr>
    </w:p>
    <w:bookmarkStart w:id="26" w:name="page27"/>
    <w:bookmarkEnd w:id="26"/>
    <w:p>
      <w:pPr>
        <w:jc w:val="both"/>
        <w:spacing w:after="0" w:line="280" w:lineRule="auto"/>
        <w:rPr>
          <w:sz w:val="20"/>
          <w:szCs w:val="20"/>
          <w:color w:val="auto"/>
        </w:rPr>
      </w:pPr>
      <w:r>
        <w:rPr>
          <w:rFonts w:ascii="Arial" w:cs="Arial" w:eastAsia="Arial" w:hAnsi="Arial"/>
          <w:sz w:val="18"/>
          <w:szCs w:val="18"/>
          <w:color w:val="auto"/>
        </w:rPr>
        <w:t>Company remains confident that ongoing discussions with certain other customers may in the future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 enhance capability and usability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previously introduced its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 ("NHTSA") to allow automakers to use camera monitoring systems as an option to replace conventional rearview mirrors within the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States. At the annual SAE Government-Industry Meeting in January 2017, NHTSA requested that SAE develop Recommended Procedures for test protocols and performance criteria for camera monitoring systems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monitoring systems to replace mirrors in Japan and European countries. Since January 2017, camera monitoring systems are also permitted as an alternative to replace mirrors in the Korea market. As noted, China has now released an updated version of its GB15084, which will be effective later in 2023, and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been in production with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since 2015 and has, in the ordinary course of</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27" w:name="page28"/>
    <w:bookmarkEnd w:id="27"/>
    <w:p>
      <w:pPr>
        <w:jc w:val="both"/>
        <w:spacing w:after="0" w:line="244" w:lineRule="auto"/>
        <w:rPr>
          <w:sz w:val="20"/>
          <w:szCs w:val="20"/>
          <w:color w:val="auto"/>
        </w:rPr>
      </w:pPr>
      <w:r>
        <w:rPr>
          <w:rFonts w:ascii="Arial" w:cs="Arial" w:eastAsia="Arial" w:hAnsi="Arial"/>
          <w:sz w:val="18"/>
          <w:szCs w:val="18"/>
          <w:color w:val="auto"/>
        </w:rPr>
        <w:t>business, been awarded programs with fifteen OEM customers. The Company is currently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all fifteen of these automaker customers. The Company's CMS solution uses three cameras to provide a comprehensive view of the sides and rear of the vehicle while still providing the traditional safety of interior and exterior mirrors, which mirrors continue to function when cameras are obstructed or are not functioning. The Company has also previously announced that it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will be increased competition.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began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Digital Video Recording ("DVR" capability) for the Toyota Harrier in the second quarter of 2020. This mirror and system launched in the Japan market and combine the superior functionality of the Full Display Mirror </w:t>
      </w:r>
      <w:r>
        <w:rPr>
          <w:rFonts w:ascii="Arial" w:cs="Arial" w:eastAsia="Arial" w:hAnsi="Arial"/>
          <w:sz w:val="23"/>
          <w:szCs w:val="23"/>
          <w:color w:val="auto"/>
          <w:vertAlign w:val="superscript"/>
        </w:rPr>
        <w:t>®</w:t>
      </w:r>
      <w:r>
        <w:rPr>
          <w:rFonts w:ascii="Arial" w:cs="Arial" w:eastAsia="Arial" w:hAnsi="Arial"/>
          <w:sz w:val="18"/>
          <w:szCs w:val="18"/>
          <w:color w:val="auto"/>
        </w:rPr>
        <w:t>, with the added capability to record video from the rearward facing and forward-facing cameras simultaneously. The data is stored to an SD storage card as requested by the customer. This integrated solution provides consumers with the features they want, while allowing the OEM to control the integration and execution in the vehicle. During the second quarter of 2023, the Company also continued shipping auto-dimming mirrors containing DVR for both the Toyota Yaris and the Yaris Cross for the Japan market. This product is the first Gentex DVR product that has an app available to allow the consumer to pull recorded information from the mirror to a phone, which creates a more user friendly experience.</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combining with other systems on the vehicle, including radar, navigation, steering, and related modules provided by other suppliers. This enables the Company to provide its customers with highly customizable solutions that meets their unique needs and specifications.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 -automatic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On January 14, 2021, NHTSA issued a request for comment regarding NCAP with advanced driver assist features, including forward collision, lane keeping, blind spot detection, and forward pedestrian impact avoidance technologies.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079" w:right="339" w:bottom="1440" w:gutter="0" w:footer="0" w:header="0"/>
        </w:sectPr>
      </w:pPr>
    </w:p>
    <w:bookmarkStart w:id="28" w:name="page29"/>
    <w:bookmarkEnd w:id="28"/>
    <w:p>
      <w:pPr>
        <w:jc w:val="both"/>
        <w:spacing w:after="0" w:line="229" w:lineRule="auto"/>
        <w:rPr>
          <w:sz w:val="20"/>
          <w:szCs w:val="20"/>
          <w:color w:val="auto"/>
        </w:rPr>
      </w:pPr>
      <w:r>
        <w:rPr>
          <w:rFonts w:ascii="Arial" w:cs="Arial" w:eastAsia="Arial" w:hAnsi="Arial"/>
          <w:sz w:val="18"/>
          <w:szCs w:val="18"/>
          <w:color w:val="auto"/>
        </w:rPr>
        <w:t>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noted, on October 10, 2019, an Advanced Notice of Proposed Rulemaking ("ANPRM") was published seeking public comment on permitting camera-based rear visibility systems, as an alternative to inside and outside rearview mirrors required under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 NHTSA is seeking additional information is because research conducted by NHTSA and others between 2006 and 2017 has consistently shown that prototype and preproduction camera-based rear visibility systems can exhibit safety-relevant performance issues. In November 2022, NHTSA conducted a public meeting and discussed the ongoing research of this technology.</w:t>
      </w:r>
    </w:p>
    <w:p>
      <w:pPr>
        <w:spacing w:after="0" w:line="22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final rule issued by NHTSA for adaptive driving beans (AEB) was made effective February 22, 2022. The Company believes its adaptive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(dynamic lighting system), which has been manufactured and sold for many years in jurisdictions outside the United States, will be permitted under the NHTSA Final Rule.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Connected Car</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Company's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2"/>
          <w:szCs w:val="22"/>
          <w:color w:val="auto"/>
          <w:vertAlign w:val="superscript"/>
        </w:rPr>
        <w:t>®</w:t>
      </w:r>
      <w:r>
        <w:rPr>
          <w:rFonts w:ascii="Arial" w:cs="Arial" w:eastAsia="Arial" w:hAnsi="Arial"/>
          <w:sz w:val="17"/>
          <w:szCs w:val="17"/>
          <w:color w:val="auto"/>
        </w:rPr>
        <w:t>, commonly referred to as HomeLink Connect</w:t>
      </w:r>
      <w:r>
        <w:rPr>
          <w:rFonts w:ascii="Arial" w:cs="Arial" w:eastAsia="Arial" w:hAnsi="Arial"/>
          <w:sz w:val="22"/>
          <w:szCs w:val="22"/>
          <w:color w:val="auto"/>
          <w:vertAlign w:val="superscript"/>
        </w:rPr>
        <w:t>®</w:t>
      </w:r>
      <w:r>
        <w:rPr>
          <w:rFonts w:ascii="Arial" w:cs="Arial" w:eastAsia="Arial" w:hAnsi="Arial"/>
          <w:sz w:val="17"/>
          <w:szCs w:val="17"/>
          <w:color w:val="auto"/>
        </w:rPr>
        <w:t>, which uses both RF and wireless cloud-based connectivity to deliver complete vehicle-to-home automation.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a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button press communicates with the HomeLink Connect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third party software into the vehicle’s computer network. The Company also continues to work on providing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for alternative automobile and vehicle types which include, but are not limited to, motorcycles, mopeds, snowmobiles, tractors, combines, lawn mowers, loaders, bulldozers, road-graders, backhoes, and golf carts. In May 2021, the Company announced the Volkswagen as the first automaker to offer Bluetooth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enabled mirror for home automation that works in conjunction with HomeLink Connect</w:t>
      </w:r>
      <w:r>
        <w:rPr>
          <w:rFonts w:ascii="Arial" w:cs="Arial" w:eastAsia="Arial" w:hAnsi="Arial"/>
          <w:sz w:val="22"/>
          <w:szCs w:val="22"/>
          <w:color w:val="auto"/>
          <w:vertAlign w:val="superscript"/>
        </w:rPr>
        <w:t>®</w:t>
      </w:r>
      <w:r>
        <w:rPr>
          <w:rFonts w:ascii="Arial" w:cs="Arial" w:eastAsia="Arial" w:hAnsi="Arial"/>
          <w:sz w:val="17"/>
          <w:szCs w:val="17"/>
          <w:color w:val="auto"/>
        </w:rPr>
        <w:t>. The Company further continues to work with compatibility partners for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applications in other markets like China. The unique attributes of the China market allow for potential different use cases of these products and offer the potential for additional growth opportunities for the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 and products. In 2017, the Company began its first volume production shipments of HomeLink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units on vehicles for the China market.</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0" w:right="339" w:bottom="1440" w:gutter="0" w:footer="0" w:header="0"/>
        </w:sectPr>
      </w:pPr>
    </w:p>
    <w:bookmarkStart w:id="29" w:name="page30"/>
    <w:bookmarkEnd w:id="29"/>
    <w:p>
      <w:pPr>
        <w:jc w:val="both"/>
        <w:spacing w:after="0" w:line="208"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11 Audi platforms, which are: the A4, A5, A6, A7, A8, Q5, Q5 Sportback, Q7, Q8, e-tron, and the e-tron Sportback.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throughout the remainder of 2023 and 2024. The Company is also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 second OEM customer, Mercedes, on the EQS model.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3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November 2020, the Company announced a partnership, in the ordinary course of business, with PayByCar™, to pursue compatibility between the Company's Integrated Toll Module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PayByCar's innovative payment solution that allows drivers to use their smartphones and toll transponder to fuel up at certain gas stations without using cash or a credit card. Compatibility between these two technologies can help to grow each company's respective consumer base while introducing new users to the benefits of the transactional vehicle.</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2021, the Company announced a partnership, in the ordinary course of business, with Simplenight to provide drivers and vehicle occupants with access to enhanced mobile capability for booking personalized entertainment and lifestyle experiences in addition to everyday purchases. Simplenight delivers a customizable and robust platform that enables brands to globally offer real-time book-ability across multiple categories such as dining, accommodations, attractions, events, gas, parking, shopping and more. The platform is unique in that it is designed to seamlessly integrate into automaker infotainment and navigation systems, as well as mobile applications and voice assistants. Simplenight can be integrated into the Company's current and future connected vehicle technologies, including HomeLink</w:t>
      </w:r>
      <w:r>
        <w:rPr>
          <w:rFonts w:ascii="Arial" w:cs="Arial" w:eastAsia="Arial" w:hAnsi="Arial"/>
          <w:sz w:val="23"/>
          <w:szCs w:val="23"/>
          <w:color w:val="auto"/>
          <w:vertAlign w:val="superscript"/>
        </w:rPr>
        <w:t>®</w:t>
      </w:r>
      <w:r>
        <w:rPr>
          <w:rFonts w:ascii="Arial" w:cs="Arial" w:eastAsia="Arial" w:hAnsi="Arial"/>
          <w:sz w:val="18"/>
          <w:szCs w:val="18"/>
          <w:color w:val="auto"/>
        </w:rPr>
        <w:t>, which, again, is the automotive industry’s leading car-to-home automation system.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consists of vehicle-integrated buttons that can be programmed to operate a myriad of home automation devices. Integration of Simplenight into the Company's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is underway and will allow users to program their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buttons and control cloud-based devices from their vehicles.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Dimmable Devices</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As also previously announced, Airbus is now offering, as optional content, the Company's dimmable aircraft windows on its aircraft, with production having begun in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Medical</w:t>
      </w: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w:t>
      </w:r>
    </w:p>
    <w:p>
      <w:pPr>
        <w:spacing w:after="0" w:line="200" w:lineRule="exact"/>
        <w:rPr>
          <w:sz w:val="20"/>
          <w:szCs w:val="20"/>
          <w:color w:val="auto"/>
        </w:rPr>
      </w:pPr>
    </w:p>
    <w:p>
      <w:pPr>
        <w:spacing w:after="0" w:line="362"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3" w:right="3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In 2023, the Company continues to further develop and work on the intelligent medical lighting system in order to assess system performance and work toward obtaining any necessary approvals.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Automotive revenues represent approximately 97% - 99% of the Company's total revenue, consisting of interior and exterior electrochromic automatic-dimming rearview mirrors and automotive electronics.</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as the Company engages with automotive customers regarding the inflationary aspects of the business, it continues to experience pricing pressure from such customers and competitors, in addition to raw material cost increases, labor cost increases, and logistics costs, which will continue to cause downward pressure on its sales and profit margins. The Company works continuously to offset these supply chain issues and inflationary pressures with engineering and purchasing cost reductions, productivity improvements, increases in unit sales volume, and negotiations with customers to reduce the impact of the inflationary pressures, but there is no assurance the Company will be able to do so in the future.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including the current inflationary environment. The Company has been likewise affected by industry-wide parts shortages and global supply constraints and labor shortages.</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most recent forecasts for light vehicle production for the third quarter of 2023, and full years 2023 and 2024 are based on the mid-July 2023 S&amp;P Global Mobility light vehicle production forecast for light vehicle production in North America, Europe, Japan/Korea, and China. Third quarter of 2023 and calendar years 2023 and 2024 forecasted light vehicle production volumes are shown below:</w:t>
      </w:r>
    </w:p>
    <w:p>
      <w:pPr>
        <w:spacing w:after="0" w:line="243"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auto"/>
        </w:rPr>
        <w:t>Light Vehicle Production (per S&amp;P Global Mobility mid-July light vehicle production forecast)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Region</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Q3 2023</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Q3 2022</w:t>
            </w:r>
          </w:p>
        </w:tc>
        <w:tc>
          <w:tcPr>
            <w:tcW w:w="8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940" w:type="dxa"/>
            <w:vAlign w:val="bottom"/>
          </w:tcPr>
          <w:p>
            <w:pPr>
              <w:jc w:val="right"/>
              <w:ind w:right="102"/>
              <w:spacing w:after="0"/>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95"/>
              <w:spacing w:after="0"/>
              <w:rPr>
                <w:sz w:val="20"/>
                <w:szCs w:val="20"/>
                <w:color w:val="auto"/>
              </w:rPr>
            </w:pPr>
            <w:r>
              <w:rPr>
                <w:rFonts w:ascii="Arial" w:cs="Arial" w:eastAsia="Arial" w:hAnsi="Arial"/>
                <w:sz w:val="14"/>
                <w:szCs w:val="14"/>
                <w:b w:val="1"/>
                <w:bCs w:val="1"/>
                <w:color w:val="auto"/>
              </w:rPr>
              <w:t>Calendar</w:t>
            </w:r>
          </w:p>
        </w:tc>
        <w:tc>
          <w:tcPr>
            <w:tcW w:w="900" w:type="dxa"/>
            <w:vAlign w:val="bottom"/>
          </w:tcPr>
          <w:p>
            <w:pPr>
              <w:jc w:val="right"/>
              <w:ind w:right="75"/>
              <w:spacing w:after="0"/>
              <w:rPr>
                <w:sz w:val="20"/>
                <w:szCs w:val="20"/>
                <w:color w:val="auto"/>
              </w:rPr>
            </w:pPr>
            <w:r>
              <w:rPr>
                <w:rFonts w:ascii="Arial" w:cs="Arial" w:eastAsia="Arial" w:hAnsi="Arial"/>
                <w:sz w:val="14"/>
                <w:szCs w:val="14"/>
                <w:b w:val="1"/>
                <w:bCs w:val="1"/>
                <w:color w:val="auto"/>
              </w:rPr>
              <w:t>Calendar</w:t>
            </w:r>
          </w:p>
        </w:tc>
        <w:tc>
          <w:tcPr>
            <w:tcW w:w="120" w:type="dxa"/>
            <w:vAlign w:val="bottom"/>
          </w:tcPr>
          <w:p>
            <w:pPr>
              <w:spacing w:after="0"/>
              <w:rPr>
                <w:sz w:val="14"/>
                <w:szCs w:val="14"/>
                <w:color w:val="auto"/>
              </w:rPr>
            </w:pPr>
          </w:p>
        </w:tc>
        <w:tc>
          <w:tcPr>
            <w:tcW w:w="1200" w:type="dxa"/>
            <w:vAlign w:val="bottom"/>
          </w:tcPr>
          <w:p>
            <w:pPr>
              <w:jc w:val="right"/>
              <w:ind w:right="82"/>
              <w:spacing w:after="0"/>
              <w:rPr>
                <w:sz w:val="20"/>
                <w:szCs w:val="20"/>
                <w:color w:val="auto"/>
              </w:rPr>
            </w:pPr>
            <w:r>
              <w:rPr>
                <w:rFonts w:ascii="Arial" w:cs="Arial" w:eastAsia="Arial" w:hAnsi="Arial"/>
                <w:sz w:val="14"/>
                <w:szCs w:val="14"/>
                <w:b w:val="1"/>
                <w:bCs w:val="1"/>
                <w:color w:val="auto"/>
              </w:rPr>
              <w:t>2024 vs 2023</w:t>
            </w:r>
          </w:p>
        </w:tc>
        <w:tc>
          <w:tcPr>
            <w:tcW w:w="1160" w:type="dxa"/>
            <w:vAlign w:val="bottom"/>
          </w:tcPr>
          <w:p>
            <w:pPr>
              <w:jc w:val="right"/>
              <w:ind w:right="55"/>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Year 2024</w:t>
            </w: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Year 2023</w:t>
            </w: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Year 2022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15.84</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3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6"/>
        </w:trPr>
        <w:tc>
          <w:tcPr>
            <w:tcW w:w="2040" w:type="dxa"/>
            <w:vAlign w:val="bottom"/>
          </w:tcPr>
          <w:p>
            <w:pPr>
              <w:ind w:left="20"/>
              <w:spacing w:after="0"/>
              <w:rPr>
                <w:sz w:val="20"/>
                <w:szCs w:val="20"/>
                <w:color w:val="auto"/>
              </w:rPr>
            </w:pPr>
            <w:r>
              <w:rPr>
                <w:rFonts w:ascii="Arial" w:cs="Arial" w:eastAsia="Arial" w:hAnsi="Arial"/>
                <w:sz w:val="18"/>
                <w:szCs w:val="18"/>
                <w:color w:val="auto"/>
              </w:rPr>
              <w:t>Europe</w:t>
            </w:r>
          </w:p>
        </w:tc>
        <w:tc>
          <w:tcPr>
            <w:tcW w:w="780" w:type="dxa"/>
            <w:vAlign w:val="bottom"/>
          </w:tcPr>
          <w:p>
            <w:pPr>
              <w:jc w:val="right"/>
              <w:spacing w:after="0"/>
              <w:rPr>
                <w:sz w:val="20"/>
                <w:szCs w:val="20"/>
                <w:color w:val="auto"/>
              </w:rPr>
            </w:pPr>
            <w:r>
              <w:rPr>
                <w:rFonts w:ascii="Arial" w:cs="Arial" w:eastAsia="Arial" w:hAnsi="Arial"/>
                <w:sz w:val="18"/>
                <w:szCs w:val="18"/>
                <w:color w:val="auto"/>
              </w:rPr>
              <w:t>3.84</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17.27</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17.44</w:t>
            </w:r>
          </w:p>
        </w:tc>
        <w:tc>
          <w:tcPr>
            <w:tcW w:w="900" w:type="dxa"/>
            <w:vAlign w:val="bottom"/>
          </w:tcPr>
          <w:p>
            <w:pPr>
              <w:jc w:val="right"/>
              <w:spacing w:after="0"/>
              <w:rPr>
                <w:sz w:val="20"/>
                <w:szCs w:val="20"/>
                <w:color w:val="auto"/>
              </w:rPr>
            </w:pPr>
            <w:r>
              <w:rPr>
                <w:rFonts w:ascii="Arial" w:cs="Arial" w:eastAsia="Arial" w:hAnsi="Arial"/>
                <w:sz w:val="18"/>
                <w:szCs w:val="18"/>
                <w:color w:val="auto"/>
              </w:rPr>
              <w:t>15.83</w:t>
            </w:r>
          </w:p>
        </w:tc>
        <w:tc>
          <w:tcPr>
            <w:tcW w:w="1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11.60</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320" w:type="dxa"/>
            <w:vAlign w:val="bottom"/>
            <w:tcBorders>
              <w:righ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28.09</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26.55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1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0"/>
        </w:trPr>
        <w:tc>
          <w:tcPr>
            <w:tcW w:w="2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Total Light Vehicle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17.49</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72.80</w:t>
            </w: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71.83</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3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1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2"/>
        </w:trPr>
        <w:tc>
          <w:tcPr>
            <w:tcW w:w="2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Production</w:t>
            </w:r>
          </w:p>
        </w:tc>
        <w:tc>
          <w:tcPr>
            <w:tcW w:w="7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320" w:type="dxa"/>
            <w:vAlign w:val="bottom"/>
            <w:tcBorders>
              <w:right w:val="single" w:sz="8" w:color="auto"/>
            </w:tcBorders>
            <w:gridSpan w:val="2"/>
            <w:vMerge w:val="continue"/>
            <w:shd w:val="clear" w:color="auto" w:fill="CCEEFF"/>
          </w:tcPr>
          <w:p>
            <w:pPr>
              <w:spacing w:after="0"/>
              <w:rPr>
                <w:sz w:val="19"/>
                <w:szCs w:val="19"/>
                <w:color w:val="auto"/>
              </w:rPr>
            </w:pPr>
          </w:p>
        </w:tc>
        <w:tc>
          <w:tcPr>
            <w:tcW w:w="1160" w:type="dxa"/>
            <w:vAlign w:val="bottom"/>
            <w:tcBorders>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aforementioned light vehicle production forecast and the results for the first six months of 2023, the Company is updating certain guidance for calendar year 2023 as shown below.</w:t>
      </w:r>
    </w:p>
    <w:p>
      <w:pPr>
        <w:spacing w:after="0" w:line="1" w:lineRule="exact"/>
        <w:rPr>
          <w:sz w:val="20"/>
          <w:szCs w:val="20"/>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is expected to be between $2.2 and $2.3 billion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Margin is expected to be between 32.5% and 33%</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Expenses are expected to be approximately $260 to $270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Annual Tax Rate, which assumes no changes to the statutory rate, is expected to be between 15% and 16%</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are expected to be between $200 and $225 million</w:t>
      </w:r>
    </w:p>
    <w:p>
      <w:pPr>
        <w:spacing w:after="0" w:line="9" w:lineRule="exact"/>
        <w:rPr>
          <w:rFonts w:ascii="Arial" w:cs="Arial" w:eastAsia="Arial" w:hAnsi="Arial"/>
          <w:sz w:val="18"/>
          <w:szCs w:val="18"/>
          <w:color w:val="auto"/>
        </w:rPr>
      </w:pPr>
    </w:p>
    <w:p>
      <w:pPr>
        <w:ind w:left="640" w:hanging="320"/>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Depreciation and Amortization is expected to be between $100 and $110 million</w:t>
      </w:r>
    </w:p>
    <w:p>
      <w:pPr>
        <w:spacing w:after="0" w:line="24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Due to ongoing volatility in customer orders and vehicle production volumes, supply chain constraints, the Ukraine-Russia war, labor shortages, and overall economic uncertainty, the Company believes that revenue remains difficult to forecast for the remainder of the year and beyond. Ongoing uncertainties remain, including: light vehicle production levels; industry-wide parts shortages and global supply chain constraints; work stoppages stemming from automaker or labor union strikes; impacts of already in place and potential additional future tariffs; impacts of regulation changes; automotive plant shutdowns; vehicle sales rates in Europe, Asia and North America; OEM strategies and cost pressures; customer inventory management and the impact of potential automotive customer (including their Tier 1 suppliers) and supplier bankruptcies; etc., all of which could disrupt shipments to these customers and make forecasting difficult.</w:t>
      </w:r>
    </w:p>
    <w:p>
      <w:pPr>
        <w:spacing w:after="0" w:line="23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accordance with the previously announced share repurchase plan, the Company will consider the appropriateness of continuing to repurchase additional shares of common stock in the future in support of the capital allocation strategy, but share repurchases will vary from time to time and will take into account macroeconomic events, market trends, and other factors the Company deems appropriate (including the market price of the stock, anti-dilutive effect of repurchases, and available cash). As of June 30, 2023, the Company has 18.8 million shares remaining available for repurchase under the previously announced share repurchase plan.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based on the Company’s current forecasts for light vehicle production for calendar year 2024, the Company expects calendar year 2024 revenue of approximately $2.45 to $2.55 billion. As noted above, continuing uncertainties make forecasting difficult.</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83"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5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2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2022.</w:t>
      </w:r>
    </w:p>
    <w:p>
      <w:pPr>
        <w:spacing w:after="0" w:line="2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realized losses on the sale of fixed income investments and/or recognized losses due to an impairment adjustment on investment securities, as well as the impact on demand for light vehicles. For the quarter ended June 30, 2023, any material changes in risk factors that were disclosed in the Company's report on Form 10-K for the year ended December 31, 2022 are set forth herein, including potential work stoppages stemming from automaker or union labor strikes.</w:t>
      </w:r>
    </w:p>
    <w:p>
      <w:pPr>
        <w:spacing w:after="0" w:line="12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and Chinese Yuan Renminbi accounts, which currently are not significant overall to the Company as a whole. Because the Company sells its automotive mirrors throughout the world, and automotive manufacturing is highly dependent on general economic conditions and the global supply chain, the Company has been and will continue to be affected by uncertain economic conditions in North American and foreign markets, including inflation, that have reduced, and could continue to reduce, demand for its products.</w:t>
      </w:r>
    </w:p>
    <w:p>
      <w:pPr>
        <w:spacing w:after="0" w:line="10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June 30, 2023, and have concluded that as of that date, the Company's disclosure controls and procedures are effective.</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June 30, 2023 that materially affected, or are reasonably likely to materially affect, the Company's internal control over financial reporting.</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3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This Quarterly Report contains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w:t>
      </w:r>
      <w:r>
        <w:rPr>
          <w:rFonts w:ascii="Arial" w:cs="Arial" w:eastAsia="Arial" w:hAnsi="Arial"/>
          <w:sz w:val="18"/>
          <w:szCs w:val="18"/>
          <w:color w:val="0A0A0A"/>
        </w:rPr>
        <w:t>These</w:t>
      </w:r>
      <w:r>
        <w:rPr>
          <w:rFonts w:ascii="Arial" w:cs="Arial" w:eastAsia="Arial" w:hAnsi="Arial"/>
          <w:sz w:val="18"/>
          <w:szCs w:val="18"/>
          <w:color w:val="auto"/>
        </w:rPr>
        <w:t xml:space="preserve"> </w:t>
      </w:r>
      <w:r>
        <w:rPr>
          <w:rFonts w:ascii="Arial" w:cs="Arial" w:eastAsia="Arial" w:hAnsi="Arial"/>
          <w:sz w:val="18"/>
          <w:szCs w:val="18"/>
          <w:color w:val="0A0A0A"/>
        </w:rPr>
        <w:t>forward-looking statements generally can be identified by the use of words such as “anticipate,” “believe,” “could,” “estimate,” “expect,” “forecast,” “future,” “goal,” “guidance,” “hope,” “intend,”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w:t>
      </w:r>
    </w:p>
    <w:p>
      <w:pPr>
        <w:sectPr>
          <w:pgSz w:w="11900" w:h="16838" w:orient="portrait"/>
          <w:cols w:equalWidth="0" w:num="1">
            <w:col w:w="11240"/>
          </w:cols>
          <w:pgMar w:left="320" w:top="118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type w:val="continuous"/>
        </w:sectPr>
      </w:pPr>
    </w:p>
    <w:bookmarkStart w:id="33" w:name="page34"/>
    <w:bookmarkEnd w:id="33"/>
    <w:p>
      <w:pPr>
        <w:jc w:val="both"/>
        <w:spacing w:after="0" w:line="252" w:lineRule="auto"/>
        <w:rPr>
          <w:sz w:val="20"/>
          <w:szCs w:val="20"/>
          <w:color w:val="auto"/>
        </w:rPr>
      </w:pPr>
      <w:r>
        <w:rPr>
          <w:rFonts w:ascii="Arial" w:cs="Arial" w:eastAsia="Arial" w:hAnsi="Arial"/>
          <w:sz w:val="18"/>
          <w:szCs w:val="18"/>
          <w:color w:val="0A0A0A"/>
        </w:rPr>
        <w:t>described. These risks and uncertainties include, without limitation: changes in general industry or regional market conditions, including the impact of inflation; potential work stoppages stemming from automaker or union labor strikes;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the remaining impact of the COVID-19 (coronavirus) pandemic across our business on demand, operations, and the global supply chain. Readers are cautioned not to place undue reliance on these forward-looking statements, which speak only as of the date they are made.</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now include the impacts of an inflationary environment, potential work stoppages stemming from automaker or union labor strikes, and supply chain and labor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July 14, 2023 (http://www.gentex.com/forecast-disclaimer).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9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2022. There have been no material changes to the risk factors previously disclosed in the Company’s report on Form 10-K for the year ended December 31, 2022, except to the extent described in Part I – Item 2 and Item 3 of this Form 10-Q, and otherwise herein.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6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first six months of 2023, the Company repurchased 2.0 million shares under the share repurchase plan. As previously disclosed, the Company will consider the appropriateness of continuing to repurchase additional shares of common stock in the future in support of the capital allocation strategy, but share repurchases will vary from time to time and will take into account macroeconomic events (including shutdowns related to the microchip shortage as well as other supply chain and labor constraints), market trends, and other factors the Company deems appropriate (including the market price of the stock, anti-dilutive effect of repurchases, and available cash).</w:t>
      </w:r>
    </w:p>
    <w:p>
      <w:pPr>
        <w:spacing w:after="0" w:line="219" w:lineRule="exact"/>
        <w:rPr>
          <w:sz w:val="20"/>
          <w:szCs w:val="20"/>
          <w:color w:val="auto"/>
        </w:rPr>
      </w:pPr>
    </w:p>
    <w:p>
      <w:pPr>
        <w:jc w:val="both"/>
        <w:ind w:left="660"/>
        <w:spacing w:after="0" w:line="275" w:lineRule="auto"/>
        <w:rPr>
          <w:sz w:val="20"/>
          <w:szCs w:val="20"/>
          <w:color w:val="auto"/>
        </w:rPr>
      </w:pPr>
      <w:r>
        <w:rPr>
          <w:rFonts w:ascii="Arial" w:cs="Arial" w:eastAsia="Arial" w:hAnsi="Arial"/>
          <w:sz w:val="18"/>
          <w:szCs w:val="18"/>
          <w:color w:val="auto"/>
        </w:rPr>
        <w:t>After the Company repurchased 1,967,300 shares during the first six months of 2023, the Company has 18.8 million shares remaining under the plan as of June 30, 2023.</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month of the six month period ended June 30, 2023:</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44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jc w:val="right"/>
              <w:ind w:right="1516"/>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8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20,783,165</w:t>
            </w:r>
          </w:p>
        </w:tc>
        <w:tc>
          <w:tcPr>
            <w:tcW w:w="0" w:type="dxa"/>
            <w:vAlign w:val="bottom"/>
          </w:tcPr>
          <w:p>
            <w:pPr>
              <w:spacing w:after="0"/>
              <w:rPr>
                <w:sz w:val="1"/>
                <w:szCs w:val="1"/>
                <w:color w:val="auto"/>
              </w:rPr>
            </w:pPr>
          </w:p>
        </w:tc>
      </w:tr>
      <w:tr>
        <w:trPr>
          <w:trHeight w:val="236"/>
        </w:trPr>
        <w:tc>
          <w:tcPr>
            <w:tcW w:w="2440" w:type="dxa"/>
            <w:vAlign w:val="bottom"/>
          </w:tcPr>
          <w:p>
            <w:pPr>
              <w:ind w:left="20"/>
              <w:spacing w:after="0"/>
              <w:rPr>
                <w:sz w:val="20"/>
                <w:szCs w:val="20"/>
                <w:color w:val="auto"/>
              </w:rPr>
            </w:pPr>
            <w:r>
              <w:rPr>
                <w:rFonts w:ascii="Arial" w:cs="Arial" w:eastAsia="Arial" w:hAnsi="Arial"/>
                <w:sz w:val="18"/>
                <w:szCs w:val="18"/>
                <w:color w:val="auto"/>
              </w:rPr>
              <w:t>February 2023</w:t>
            </w:r>
          </w:p>
        </w:tc>
        <w:tc>
          <w:tcPr>
            <w:tcW w:w="1800" w:type="dxa"/>
            <w:vAlign w:val="bottom"/>
          </w:tcPr>
          <w:p>
            <w:pPr>
              <w:jc w:val="right"/>
              <w:spacing w:after="0"/>
              <w:rPr>
                <w:sz w:val="20"/>
                <w:szCs w:val="20"/>
                <w:color w:val="auto"/>
              </w:rPr>
            </w:pPr>
            <w:r>
              <w:rPr>
                <w:rFonts w:ascii="Arial" w:cs="Arial" w:eastAsia="Arial" w:hAnsi="Arial"/>
                <w:sz w:val="18"/>
                <w:szCs w:val="18"/>
                <w:color w:val="auto"/>
              </w:rPr>
              <w:t>46,835</w:t>
            </w:r>
          </w:p>
        </w:tc>
        <w:tc>
          <w:tcPr>
            <w:tcW w:w="1440" w:type="dxa"/>
            <w:vAlign w:val="bottom"/>
          </w:tcPr>
          <w:p>
            <w:pPr>
              <w:jc w:val="right"/>
              <w:spacing w:after="0"/>
              <w:rPr>
                <w:sz w:val="20"/>
                <w:szCs w:val="20"/>
                <w:color w:val="auto"/>
              </w:rPr>
            </w:pPr>
            <w:r>
              <w:rPr>
                <w:rFonts w:ascii="Arial" w:cs="Arial" w:eastAsia="Arial" w:hAnsi="Arial"/>
                <w:sz w:val="18"/>
                <w:szCs w:val="18"/>
                <w:color w:val="auto"/>
              </w:rPr>
              <w:t>28.58</w:t>
            </w:r>
          </w:p>
        </w:tc>
        <w:tc>
          <w:tcPr>
            <w:tcW w:w="2060" w:type="dxa"/>
            <w:vAlign w:val="bottom"/>
          </w:tcPr>
          <w:p>
            <w:pPr>
              <w:jc w:val="right"/>
              <w:spacing w:after="0"/>
              <w:rPr>
                <w:sz w:val="20"/>
                <w:szCs w:val="20"/>
                <w:color w:val="auto"/>
              </w:rPr>
            </w:pPr>
            <w:r>
              <w:rPr>
                <w:rFonts w:ascii="Arial" w:cs="Arial" w:eastAsia="Arial" w:hAnsi="Arial"/>
                <w:sz w:val="18"/>
                <w:szCs w:val="18"/>
                <w:color w:val="auto"/>
              </w:rPr>
              <w:t>46,835</w:t>
            </w:r>
          </w:p>
        </w:tc>
        <w:tc>
          <w:tcPr>
            <w:tcW w:w="2060" w:type="dxa"/>
            <w:vAlign w:val="bottom"/>
          </w:tcPr>
          <w:p>
            <w:pPr>
              <w:jc w:val="right"/>
              <w:spacing w:after="0"/>
              <w:rPr>
                <w:sz w:val="20"/>
                <w:szCs w:val="20"/>
                <w:color w:val="auto"/>
              </w:rPr>
            </w:pPr>
            <w:r>
              <w:rPr>
                <w:rFonts w:ascii="Arial" w:cs="Arial" w:eastAsia="Arial" w:hAnsi="Arial"/>
                <w:sz w:val="18"/>
                <w:szCs w:val="18"/>
                <w:color w:val="auto"/>
              </w:rPr>
              <w:t>20,736,330</w:t>
            </w: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1,000,091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color w:val="auto"/>
              </w:rPr>
              <w:t>1st Quarter 2023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1,046,926</w:t>
            </w:r>
          </w:p>
        </w:tc>
        <w:tc>
          <w:tcPr>
            <w:tcW w:w="1440" w:type="dxa"/>
            <w:vAlign w:val="bottom"/>
          </w:tcPr>
          <w:p>
            <w:pPr>
              <w:jc w:val="right"/>
              <w:spacing w:after="0"/>
              <w:rPr>
                <w:sz w:val="20"/>
                <w:szCs w:val="20"/>
                <w:color w:val="auto"/>
              </w:rPr>
            </w:pPr>
            <w:r>
              <w:rPr>
                <w:rFonts w:ascii="Arial" w:cs="Arial" w:eastAsia="Arial" w:hAnsi="Arial"/>
                <w:sz w:val="18"/>
                <w:szCs w:val="18"/>
                <w:color w:val="auto"/>
              </w:rPr>
              <w:t>27.19</w:t>
            </w:r>
          </w:p>
        </w:tc>
        <w:tc>
          <w:tcPr>
            <w:tcW w:w="2060" w:type="dxa"/>
            <w:vAlign w:val="bottom"/>
          </w:tcPr>
          <w:p>
            <w:pPr>
              <w:jc w:val="right"/>
              <w:spacing w:after="0"/>
              <w:rPr>
                <w:sz w:val="20"/>
                <w:szCs w:val="20"/>
                <w:color w:val="auto"/>
              </w:rPr>
            </w:pPr>
            <w:r>
              <w:rPr>
                <w:rFonts w:ascii="Arial" w:cs="Arial" w:eastAsia="Arial" w:hAnsi="Arial"/>
                <w:sz w:val="18"/>
                <w:szCs w:val="18"/>
                <w:color w:val="auto"/>
              </w:rPr>
              <w:t>1,046,926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40" w:type="dxa"/>
            <w:vAlign w:val="bottom"/>
          </w:tcPr>
          <w:p>
            <w:pPr>
              <w:ind w:left="20"/>
              <w:spacing w:after="0"/>
              <w:rPr>
                <w:sz w:val="20"/>
                <w:szCs w:val="20"/>
                <w:color w:val="auto"/>
              </w:rPr>
            </w:pPr>
            <w:r>
              <w:rPr>
                <w:rFonts w:ascii="Arial" w:cs="Arial" w:eastAsia="Arial" w:hAnsi="Arial"/>
                <w:sz w:val="18"/>
                <w:szCs w:val="18"/>
                <w:color w:val="auto"/>
              </w:rPr>
              <w:t>April 2023</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2023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400,062</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19,336,177</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June 2023</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520,312</w:t>
            </w:r>
          </w:p>
        </w:tc>
        <w:tc>
          <w:tcPr>
            <w:tcW w:w="1440" w:type="dxa"/>
            <w:vAlign w:val="bottom"/>
          </w:tcPr>
          <w:p>
            <w:pPr>
              <w:jc w:val="right"/>
              <w:spacing w:after="0"/>
              <w:rPr>
                <w:sz w:val="20"/>
                <w:szCs w:val="20"/>
                <w:color w:val="auto"/>
              </w:rPr>
            </w:pPr>
            <w:r>
              <w:rPr>
                <w:rFonts w:ascii="Arial" w:cs="Arial" w:eastAsia="Arial" w:hAnsi="Arial"/>
                <w:sz w:val="18"/>
                <w:szCs w:val="18"/>
                <w:color w:val="auto"/>
              </w:rPr>
              <w:t>27.64</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520,312</w:t>
            </w:r>
          </w:p>
        </w:tc>
        <w:tc>
          <w:tcPr>
            <w:tcW w:w="2060" w:type="dxa"/>
            <w:vAlign w:val="bottom"/>
          </w:tcPr>
          <w:p>
            <w:pPr>
              <w:jc w:val="right"/>
              <w:spacing w:after="0"/>
              <w:rPr>
                <w:sz w:val="20"/>
                <w:szCs w:val="20"/>
                <w:color w:val="auto"/>
              </w:rPr>
            </w:pPr>
            <w:r>
              <w:rPr>
                <w:rFonts w:ascii="Arial" w:cs="Arial" w:eastAsia="Arial" w:hAnsi="Arial"/>
                <w:sz w:val="18"/>
                <w:szCs w:val="18"/>
                <w:color w:val="auto"/>
              </w:rPr>
              <w:t>18,815,865</w:t>
            </w:r>
          </w:p>
        </w:tc>
        <w:tc>
          <w:tcPr>
            <w:tcW w:w="0" w:type="dxa"/>
            <w:vAlign w:val="bottom"/>
          </w:tcPr>
          <w:p>
            <w:pPr>
              <w:spacing w:after="0"/>
              <w:rPr>
                <w:sz w:val="1"/>
                <w:szCs w:val="1"/>
                <w:color w:val="auto"/>
              </w:rPr>
            </w:pPr>
          </w:p>
        </w:tc>
      </w:tr>
      <w:tr>
        <w:trPr>
          <w:trHeight w:val="236"/>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2nd Quarter 2023 Total</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920,374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19,736,239</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18,815,865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660" w:right="920"/>
        <w:spacing w:after="0" w:line="275" w:lineRule="auto"/>
        <w:rPr>
          <w:sz w:val="20"/>
          <w:szCs w:val="20"/>
          <w:color w:val="auto"/>
        </w:rPr>
      </w:pPr>
      <w:r>
        <w:rPr>
          <w:rFonts w:ascii="Arial" w:cs="Arial" w:eastAsia="Arial" w:hAnsi="Arial"/>
          <w:sz w:val="18"/>
          <w:szCs w:val="18"/>
          <w:color w:val="auto"/>
        </w:rPr>
        <w:t>As of June 30, 2023, the Company has repurchased 153,183,863 shares at a total cost of $2,654,214,597 under its share repurchase plan or as otherwise previously disclosed.</w:t>
      </w:r>
    </w:p>
    <w:p>
      <w:pPr>
        <w:spacing w:after="0" w:line="200" w:lineRule="exact"/>
        <w:rPr>
          <w:sz w:val="20"/>
          <w:szCs w:val="20"/>
          <w:color w:val="auto"/>
        </w:rPr>
      </w:pP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See Exhibit Index on Page </w:t>
      </w:r>
      <w:r>
        <w:rPr>
          <w:rFonts w:ascii="Arial" w:cs="Arial" w:eastAsia="Arial" w:hAnsi="Arial"/>
          <w:sz w:val="18"/>
          <w:szCs w:val="18"/>
          <w:u w:val="single" w:color="auto"/>
          <w:color w:val="0000FF"/>
        </w:rPr>
        <w:t>37</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5" w:name="page36"/>
    <w:bookmarkEnd w:id="35"/>
    <w:p>
      <w:pPr>
        <w:ind w:right="12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5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40"/>
              <w:spacing w:after="0"/>
              <w:rPr>
                <w:sz w:val="20"/>
                <w:szCs w:val="20"/>
                <w:color w:val="auto"/>
              </w:rPr>
            </w:pPr>
            <w:r>
              <w:rPr>
                <w:rFonts w:ascii="Arial" w:cs="Arial" w:eastAsia="Arial" w:hAnsi="Arial"/>
                <w:sz w:val="18"/>
                <w:szCs w:val="18"/>
                <w:color w:val="auto"/>
              </w:rPr>
              <w:t>August 3, 2023</w:t>
            </w:r>
          </w:p>
        </w:tc>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23"/>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29"/>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5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40"/>
              <w:spacing w:after="0"/>
              <w:rPr>
                <w:sz w:val="20"/>
                <w:szCs w:val="20"/>
                <w:color w:val="auto"/>
              </w:rPr>
            </w:pPr>
            <w:r>
              <w:rPr>
                <w:rFonts w:ascii="Arial" w:cs="Arial" w:eastAsia="Arial" w:hAnsi="Arial"/>
                <w:sz w:val="18"/>
                <w:szCs w:val="18"/>
                <w:color w:val="auto"/>
              </w:rPr>
              <w:t>August 3, 2023</w:t>
            </w:r>
          </w:p>
        </w:tc>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23"/>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29"/>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90"/>
        </w:trPr>
        <w:tc>
          <w:tcPr>
            <w:tcW w:w="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660" w:type="dxa"/>
            <w:vAlign w:val="bottom"/>
          </w:tcPr>
          <w:p>
            <w:pPr>
              <w:ind w:left="20"/>
              <w:spacing w:after="0" w:line="189"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29"/>
        </w:trPr>
        <w:tc>
          <w:tcPr>
            <w:tcW w:w="5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51"/>
        </w:trPr>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60" w:type="dxa"/>
            <w:vAlign w:val="bottom"/>
            <w:gridSpan w:val="3"/>
          </w:tcPr>
          <w:p>
            <w:pPr>
              <w:ind w:left="2200"/>
              <w:spacing w:after="0"/>
              <w:rPr>
                <w:sz w:val="20"/>
                <w:szCs w:val="20"/>
                <w:color w:val="auto"/>
              </w:rPr>
            </w:pPr>
            <w:r>
              <w:rPr>
                <w:rFonts w:ascii="Arial" w:cs="Arial" w:eastAsia="Arial" w:hAnsi="Arial"/>
                <w:sz w:val="18"/>
                <w:szCs w:val="18"/>
                <w:b w:val="1"/>
                <w:bCs w:val="1"/>
                <w:color w:val="auto"/>
              </w:rPr>
              <w:t>EXHIBIT INDEX</w:t>
            </w:r>
          </w:p>
        </w:tc>
      </w:tr>
      <w:tr>
        <w:trPr>
          <w:trHeight w:val="404"/>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60" w:type="dxa"/>
            <w:vAlign w:val="bottom"/>
            <w:gridSpan w:val="3"/>
          </w:tcPr>
          <w:p>
            <w:pPr>
              <w:ind w:left="3120"/>
              <w:spacing w:after="0"/>
              <w:rPr>
                <w:sz w:val="20"/>
                <w:szCs w:val="20"/>
                <w:color w:val="auto"/>
              </w:rPr>
            </w:pPr>
            <w:r>
              <w:rPr>
                <w:rFonts w:ascii="Arial" w:cs="Arial" w:eastAsia="Arial" w:hAnsi="Arial"/>
                <w:sz w:val="14"/>
                <w:szCs w:val="14"/>
                <w:b w:val="1"/>
                <w:bCs w:val="1"/>
                <w:color w:val="auto"/>
              </w:rPr>
              <w:t>Description</w:t>
            </w:r>
          </w:p>
        </w:tc>
      </w:tr>
      <w:tr>
        <w:trPr>
          <w:trHeight w:val="191"/>
        </w:trPr>
        <w:tc>
          <w:tcPr>
            <w:tcW w:w="1360" w:type="dxa"/>
            <w:vAlign w:val="bottom"/>
          </w:tcPr>
          <w:p>
            <w:pPr>
              <w:ind w:left="20"/>
              <w:spacing w:after="0" w:line="191" w:lineRule="exact"/>
              <w:rPr>
                <w:sz w:val="20"/>
                <w:szCs w:val="20"/>
                <w:color w:val="auto"/>
              </w:rPr>
            </w:pPr>
            <w:r>
              <w:rPr>
                <w:rFonts w:ascii="Arial" w:cs="Arial" w:eastAsia="Arial" w:hAnsi="Arial"/>
                <w:sz w:val="18"/>
                <w:szCs w:val="18"/>
                <w:color w:val="auto"/>
              </w:rPr>
              <w:t>31.1</w:t>
            </w:r>
          </w:p>
        </w:tc>
        <w:tc>
          <w:tcPr>
            <w:tcW w:w="9860" w:type="dxa"/>
            <w:vAlign w:val="bottom"/>
            <w:gridSpan w:val="4"/>
          </w:tcPr>
          <w:p>
            <w:pPr>
              <w:spacing w:after="0" w:line="191" w:lineRule="exact"/>
              <w:rPr>
                <w:sz w:val="20"/>
                <w:szCs w:val="20"/>
                <w:color w:val="auto"/>
              </w:rPr>
            </w:pPr>
            <w:r>
              <w:rPr>
                <w:rFonts w:ascii="Arial" w:cs="Arial" w:eastAsia="Arial" w:hAnsi="Arial"/>
                <w:sz w:val="18"/>
                <w:szCs w:val="18"/>
                <w:color w:val="0000FF"/>
              </w:rPr>
              <w:t>Certificate of the Chief Executive Officer of Gentex Corporation pursuant to Section 302 of the Sarbanes-Oxley Act of 2002</w:t>
            </w:r>
          </w:p>
        </w:tc>
      </w:tr>
      <w:tr>
        <w:trPr>
          <w:trHeight w:val="155"/>
        </w:trPr>
        <w:tc>
          <w:tcPr>
            <w:tcW w:w="1360" w:type="dxa"/>
            <w:vAlign w:val="bottom"/>
          </w:tcPr>
          <w:p>
            <w:pPr>
              <w:spacing w:after="0"/>
              <w:rPr>
                <w:sz w:val="13"/>
                <w:szCs w:val="13"/>
                <w:color w:val="auto"/>
              </w:rPr>
            </w:pPr>
          </w:p>
        </w:tc>
        <w:tc>
          <w:tcPr>
            <w:tcW w:w="974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(18 U.S.C. 1350).</w:t>
            </w:r>
          </w:p>
        </w:tc>
        <w:tc>
          <w:tcPr>
            <w:tcW w:w="120" w:type="dxa"/>
            <w:vAlign w:val="bottom"/>
          </w:tcPr>
          <w:p>
            <w:pPr>
              <w:spacing w:after="0"/>
              <w:rPr>
                <w:sz w:val="13"/>
                <w:szCs w:val="13"/>
                <w:color w:val="auto"/>
              </w:rPr>
            </w:pPr>
          </w:p>
        </w:tc>
      </w:tr>
      <w:tr>
        <w:trPr>
          <w:trHeight w:val="34"/>
        </w:trPr>
        <w:tc>
          <w:tcPr>
            <w:tcW w:w="136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8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Certificate of the Chief Financial Officer of Gentex Corporation pursuant to Section 302 of the Sarbanes-Oxley Act of 2002</w:t>
            </w:r>
          </w:p>
        </w:tc>
      </w:tr>
      <w:tr>
        <w:trPr>
          <w:trHeight w:val="156"/>
        </w:trPr>
        <w:tc>
          <w:tcPr>
            <w:tcW w:w="136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2"/>
            <w:shd w:val="clear" w:color="auto" w:fill="CCEEFF"/>
          </w:tcPr>
          <w:p>
            <w:pPr>
              <w:spacing w:after="0" w:line="156" w:lineRule="exact"/>
              <w:rPr>
                <w:sz w:val="20"/>
                <w:szCs w:val="20"/>
                <w:color w:val="auto"/>
              </w:rPr>
            </w:pPr>
            <w:r>
              <w:rPr>
                <w:rFonts w:ascii="Arial" w:cs="Arial" w:eastAsia="Arial" w:hAnsi="Arial"/>
                <w:sz w:val="18"/>
                <w:szCs w:val="18"/>
                <w:color w:val="0000FF"/>
              </w:rPr>
              <w:t>(18 U.S.C. 1350).</w:t>
            </w:r>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p>
      <w:pPr>
        <w:ind w:left="1360" w:right="260" w:hanging="1334"/>
        <w:spacing w:after="0" w:line="244" w:lineRule="auto"/>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FF"/>
        </w:rPr>
        <w:t>Certificate of the Chief Executive Officer and Chief Financial Officer of Gentex Corporation pursuant to Section 906 of the Sarbanes-Oxley Act of 2002 (18 U.S.C. 1350).</w:t>
      </w:r>
    </w:p>
    <w:tbl>
      <w:tblPr>
        <w:tblLayout w:type="fixed"/>
        <w:tblInd w:w="0" w:type="dxa"/>
        <w:tblCellMar>
          <w:top w:w="0" w:type="dxa"/>
          <w:left w:w="0" w:type="dxa"/>
          <w:bottom w:w="0" w:type="dxa"/>
          <w:right w:w="0" w:type="dxa"/>
        </w:tblCellMar>
      </w:tblPr>
      <w:tr>
        <w:trPr>
          <w:trHeight w:val="173"/>
        </w:trPr>
        <w:tc>
          <w:tcPr>
            <w:tcW w:w="10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300"/>
              <w:spacing w:after="0" w:line="173"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42"/>
        </w:trPr>
        <w:tc>
          <w:tcPr>
            <w:tcW w:w="1060" w:type="dxa"/>
            <w:vAlign w:val="bottom"/>
            <w:shd w:val="clear" w:color="auto" w:fill="CCEEFF"/>
          </w:tcPr>
          <w:p>
            <w:pPr>
              <w:spacing w:after="0"/>
              <w:rPr>
                <w:sz w:val="21"/>
                <w:szCs w:val="21"/>
                <w:color w:val="auto"/>
              </w:rPr>
            </w:pP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30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Calculation Linkbase</w:t>
            </w:r>
          </w:p>
        </w:tc>
      </w:tr>
      <w:tr>
        <w:trPr>
          <w:trHeight w:val="236"/>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w:t>
            </w:r>
          </w:p>
        </w:tc>
      </w:tr>
      <w:tr>
        <w:trPr>
          <w:trHeight w:val="236"/>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92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3" w:lineRule="auto"/>
        <w:tabs>
          <w:tab w:leader="none" w:pos="22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0" w:lineRule="exact"/>
        <w:rPr>
          <w:rFonts w:ascii="Arial" w:cs="Arial" w:eastAsia="Arial" w:hAnsi="Arial"/>
          <w:sz w:val="18"/>
          <w:szCs w:val="18"/>
          <w:color w:val="auto"/>
        </w:rPr>
      </w:pPr>
    </w:p>
    <w:p>
      <w:pPr>
        <w:jc w:val="both"/>
        <w:ind w:left="240" w:hanging="232"/>
        <w:spacing w:after="0" w:line="257" w:lineRule="auto"/>
        <w:tabs>
          <w:tab w:leader="none" w:pos="2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660" w:hanging="238"/>
        <w:spacing w:after="0" w:line="263" w:lineRule="auto"/>
        <w:tabs>
          <w:tab w:leader="none" w:pos="6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4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238"/>
        <w:spacing w:after="0" w:line="275" w:lineRule="auto"/>
        <w:tabs>
          <w:tab w:leader="none" w:pos="6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hanging="238"/>
        <w:spacing w:after="0" w:line="275" w:lineRule="auto"/>
        <w:tabs>
          <w:tab w:leader="none" w:pos="6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63" w:lineRule="auto"/>
        <w:tabs>
          <w:tab w:leader="none" w:pos="227"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0" w:lineRule="exact"/>
        <w:rPr>
          <w:rFonts w:ascii="Arial" w:cs="Arial" w:eastAsia="Arial" w:hAnsi="Arial"/>
          <w:sz w:val="18"/>
          <w:szCs w:val="18"/>
          <w:color w:val="auto"/>
        </w:rPr>
      </w:pPr>
    </w:p>
    <w:p>
      <w:pPr>
        <w:jc w:val="both"/>
        <w:ind w:left="240" w:hanging="232"/>
        <w:spacing w:after="0" w:line="257" w:lineRule="auto"/>
        <w:tabs>
          <w:tab w:leader="none" w:pos="2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8"/>
          <w:szCs w:val="18"/>
          <w:color w:val="auto"/>
        </w:rPr>
      </w:pPr>
    </w:p>
    <w:p>
      <w:pPr>
        <w:jc w:val="both"/>
        <w:ind w:left="660" w:hanging="238"/>
        <w:spacing w:after="0" w:line="263" w:lineRule="auto"/>
        <w:tabs>
          <w:tab w:leader="none" w:pos="6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10" w:lineRule="exact"/>
        <w:rPr>
          <w:rFonts w:ascii="Arial" w:cs="Arial" w:eastAsia="Arial" w:hAnsi="Arial"/>
          <w:sz w:val="18"/>
          <w:szCs w:val="18"/>
          <w:color w:val="auto"/>
        </w:rPr>
      </w:pPr>
    </w:p>
    <w:p>
      <w:pPr>
        <w:jc w:val="both"/>
        <w:ind w:left="660" w:hanging="238"/>
        <w:spacing w:after="0" w:line="263" w:lineRule="auto"/>
        <w:tabs>
          <w:tab w:leader="none" w:pos="6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240" w:hanging="232"/>
        <w:spacing w:after="0" w:line="263" w:lineRule="auto"/>
        <w:tabs>
          <w:tab w:leader="none" w:pos="2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hanging="238"/>
        <w:spacing w:after="0" w:line="275" w:lineRule="auto"/>
        <w:tabs>
          <w:tab w:leader="none" w:pos="6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hanging="238"/>
        <w:spacing w:after="0" w:line="275" w:lineRule="auto"/>
        <w:tabs>
          <w:tab w:leader="none" w:pos="6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01" w:lineRule="exact"/>
        <w:rPr>
          <w:sz w:val="20"/>
          <w:szCs w:val="20"/>
          <w:color w:val="auto"/>
        </w:rPr>
      </w:pPr>
    </w:p>
    <w:p>
      <w:pPr>
        <w:ind w:left="240" w:hanging="232"/>
        <w:spacing w:after="0" w:line="275" w:lineRule="auto"/>
        <w:tabs>
          <w:tab w:leader="none" w:pos="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June 30, 2023, which this statement accompanies,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ind w:left="240" w:hanging="232"/>
        <w:spacing w:after="0" w:line="275" w:lineRule="auto"/>
        <w:tabs>
          <w:tab w:leader="none" w:pos="2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June 30, 2023,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Dated: August 3,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decimal"/>
      <w:start w:val="13"/>
    </w:lvl>
  </w:abstractNum>
  <w:abstractNum w:abstractNumId="16">
    <w:nsid w:val="62BBD95A"/>
    <w:multiLevelType w:val="hybridMultilevel"/>
    <w:lvl w:ilvl="0">
      <w:lvlJc w:val="left"/>
      <w:lvlText w:val="(%1)"/>
      <w:numFmt w:val="decimal"/>
      <w:start w:val="1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decimal"/>
      <w:start w:val="32"/>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2023-08-03T10:37:55Z</dcterms:created>
  <dcterms:modified xsi:type="dcterms:W3CDTF">2023-08-03T10:37:55Z</dcterms:modified>
</cp:coreProperties>
</file>