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For the quarterly period ended September 30, 2022 or</w:t>
      </w:r>
    </w:p>
    <w:p>
      <w:pPr>
        <w:spacing w:after="0" w:line="289" w:lineRule="exact"/>
        <w:rPr>
          <w:sz w:val="24"/>
          <w:szCs w:val="24"/>
          <w:color w:val="auto"/>
        </w:rPr>
      </w:pPr>
    </w:p>
    <w:p>
      <w:pPr>
        <w:ind w:left="720" w:hanging="694"/>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420" w:type="dxa"/>
            <w:vAlign w:val="bottom"/>
          </w:tcPr>
          <w:p>
            <w:pPr>
              <w:ind w:left="340"/>
              <w:spacing w:after="0"/>
              <w:rPr>
                <w:sz w:val="20"/>
                <w:szCs w:val="20"/>
                <w:color w:val="auto"/>
              </w:rPr>
            </w:pPr>
            <w:r>
              <w:rPr>
                <w:rFonts w:ascii="Arial" w:cs="Arial" w:eastAsia="Arial" w:hAnsi="Arial"/>
                <w:sz w:val="16"/>
                <w:szCs w:val="16"/>
                <w:color w:val="auto"/>
              </w:rPr>
              <w:t>For the transition period from</w:t>
            </w:r>
          </w:p>
        </w:tc>
        <w:tc>
          <w:tcPr>
            <w:tcW w:w="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to</w:t>
            </w:r>
          </w:p>
        </w:tc>
        <w:tc>
          <w:tcPr>
            <w:tcW w:w="54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4280" w:type="dxa"/>
            <w:vAlign w:val="bottom"/>
            <w:gridSpan w:val="6"/>
          </w:tcPr>
          <w:p>
            <w:pPr>
              <w:ind w:left="340"/>
              <w:spacing w:after="0"/>
              <w:rPr>
                <w:sz w:val="20"/>
                <w:szCs w:val="20"/>
                <w:color w:val="auto"/>
              </w:rPr>
            </w:pPr>
            <w:r>
              <w:rPr>
                <w:rFonts w:ascii="Arial" w:cs="Arial" w:eastAsia="Arial" w:hAnsi="Arial"/>
                <w:sz w:val="16"/>
                <w:szCs w:val="16"/>
                <w:color w:val="auto"/>
              </w:rPr>
              <w:t>Commission File Number</w:t>
            </w:r>
            <w:r>
              <w:rPr>
                <w:rFonts w:ascii="Arial" w:cs="Arial" w:eastAsia="Arial" w:hAnsi="Arial"/>
                <w:sz w:val="16"/>
                <w:szCs w:val="16"/>
                <w:b w:val="1"/>
                <w:bCs w:val="1"/>
                <w:color w:val="auto"/>
              </w:rPr>
              <w:t>: 0-10235</w:t>
            </w:r>
          </w:p>
        </w:tc>
        <w:tc>
          <w:tcPr>
            <w:tcW w:w="6980" w:type="dxa"/>
            <w:vAlign w:val="bottom"/>
            <w:gridSpan w:val="2"/>
            <w:vMerge w:val="restart"/>
          </w:tcPr>
          <w:p>
            <w:pPr>
              <w:jc w:val="center"/>
              <w:ind w:right="4223"/>
              <w:spacing w:after="0"/>
              <w:rPr>
                <w:sz w:val="20"/>
                <w:szCs w:val="20"/>
                <w:color w:val="auto"/>
              </w:rPr>
            </w:pPr>
            <w:r>
              <w:rPr>
                <w:rFonts w:ascii="Arial" w:cs="Arial" w:eastAsia="Arial" w:hAnsi="Arial"/>
                <w:sz w:val="22"/>
                <w:szCs w:val="22"/>
                <w:b w:val="1"/>
                <w:bCs w:val="1"/>
                <w:color w:val="auto"/>
                <w:w w:val="97"/>
              </w:rPr>
              <w:t>GENTEX CORPORATION</w:t>
            </w:r>
          </w:p>
        </w:tc>
        <w:tc>
          <w:tcPr>
            <w:tcW w:w="0" w:type="dxa"/>
            <w:vAlign w:val="bottom"/>
          </w:tcPr>
          <w:p>
            <w:pPr>
              <w:spacing w:after="0"/>
              <w:rPr>
                <w:sz w:val="1"/>
                <w:szCs w:val="1"/>
                <w:color w:val="auto"/>
              </w:rPr>
            </w:pPr>
          </w:p>
        </w:tc>
      </w:tr>
      <w:tr>
        <w:trPr>
          <w:trHeight w:val="228"/>
        </w:trPr>
        <w:tc>
          <w:tcPr>
            <w:tcW w:w="2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540" w:type="dxa"/>
            <w:vAlign w:val="bottom"/>
            <w:gridSpan w:val="3"/>
          </w:tcPr>
          <w:p>
            <w:pPr>
              <w:jc w:val="center"/>
              <w:ind w:right="3663"/>
              <w:spacing w:after="0"/>
              <w:rPr>
                <w:sz w:val="20"/>
                <w:szCs w:val="20"/>
                <w:color w:val="auto"/>
              </w:rPr>
            </w:pPr>
            <w:r>
              <w:rPr>
                <w:rFonts w:ascii="Arial" w:cs="Arial" w:eastAsia="Arial" w:hAnsi="Arial"/>
                <w:sz w:val="14"/>
                <w:szCs w:val="14"/>
                <w:color w:val="auto"/>
              </w:rPr>
              <w:t>(Exact name of registrant as specified in its charter)</w:t>
            </w:r>
          </w:p>
        </w:tc>
        <w:tc>
          <w:tcPr>
            <w:tcW w:w="0" w:type="dxa"/>
            <w:vAlign w:val="bottom"/>
          </w:tcPr>
          <w:p>
            <w:pPr>
              <w:spacing w:after="0"/>
              <w:rPr>
                <w:sz w:val="1"/>
                <w:szCs w:val="1"/>
                <w:color w:val="auto"/>
              </w:rPr>
            </w:pPr>
          </w:p>
        </w:tc>
      </w:tr>
      <w:tr>
        <w:trPr>
          <w:trHeight w:val="255"/>
        </w:trPr>
        <w:tc>
          <w:tcPr>
            <w:tcW w:w="4280" w:type="dxa"/>
            <w:vAlign w:val="bottom"/>
            <w:gridSpan w:val="6"/>
          </w:tcPr>
          <w:p>
            <w:pPr>
              <w:jc w:val="center"/>
              <w:ind w:left="1224"/>
              <w:spacing w:after="0"/>
              <w:rPr>
                <w:sz w:val="20"/>
                <w:szCs w:val="20"/>
                <w:color w:val="auto"/>
              </w:rPr>
            </w:pPr>
            <w:r>
              <w:rPr>
                <w:rFonts w:ascii="Arial" w:cs="Arial" w:eastAsia="Arial" w:hAnsi="Arial"/>
                <w:sz w:val="18"/>
                <w:szCs w:val="18"/>
                <w:b w:val="1"/>
                <w:bCs w:val="1"/>
                <w:color w:val="auto"/>
                <w:w w:val="99"/>
              </w:rPr>
              <w:t>Michigan</w:t>
            </w:r>
          </w:p>
        </w:tc>
        <w:tc>
          <w:tcPr>
            <w:tcW w:w="2200" w:type="dxa"/>
            <w:vAlign w:val="bottom"/>
          </w:tcPr>
          <w:p>
            <w:pPr>
              <w:spacing w:after="0"/>
              <w:rPr>
                <w:sz w:val="22"/>
                <w:szCs w:val="22"/>
                <w:color w:val="auto"/>
              </w:rPr>
            </w:pPr>
          </w:p>
        </w:tc>
        <w:tc>
          <w:tcPr>
            <w:tcW w:w="4780" w:type="dxa"/>
            <w:vAlign w:val="bottom"/>
          </w:tcPr>
          <w:p>
            <w:pPr>
              <w:jc w:val="right"/>
              <w:ind w:right="2263"/>
              <w:spacing w:after="0"/>
              <w:rPr>
                <w:sz w:val="20"/>
                <w:szCs w:val="20"/>
                <w:color w:val="auto"/>
              </w:rPr>
            </w:pPr>
            <w:r>
              <w:rPr>
                <w:rFonts w:ascii="Arial" w:cs="Arial" w:eastAsia="Arial" w:hAnsi="Arial"/>
                <w:sz w:val="18"/>
                <w:szCs w:val="18"/>
                <w:b w:val="1"/>
                <w:bCs w:val="1"/>
                <w:color w:val="auto"/>
              </w:rPr>
              <w:t>38-2030505</w:t>
            </w:r>
          </w:p>
        </w:tc>
        <w:tc>
          <w:tcPr>
            <w:tcW w:w="0" w:type="dxa"/>
            <w:vAlign w:val="bottom"/>
          </w:tcPr>
          <w:p>
            <w:pPr>
              <w:spacing w:after="0"/>
              <w:rPr>
                <w:sz w:val="1"/>
                <w:szCs w:val="1"/>
                <w:color w:val="auto"/>
              </w:rPr>
            </w:pPr>
          </w:p>
        </w:tc>
      </w:tr>
      <w:tr>
        <w:trPr>
          <w:trHeight w:val="148"/>
        </w:trPr>
        <w:tc>
          <w:tcPr>
            <w:tcW w:w="4280" w:type="dxa"/>
            <w:vAlign w:val="bottom"/>
            <w:gridSpan w:val="6"/>
          </w:tcPr>
          <w:p>
            <w:pPr>
              <w:jc w:val="center"/>
              <w:ind w:left="1244"/>
              <w:spacing w:after="0" w:line="149" w:lineRule="exact"/>
              <w:rPr>
                <w:sz w:val="20"/>
                <w:szCs w:val="20"/>
                <w:color w:val="auto"/>
              </w:rPr>
            </w:pPr>
            <w:r>
              <w:rPr>
                <w:rFonts w:ascii="Arial" w:cs="Arial" w:eastAsia="Arial" w:hAnsi="Arial"/>
                <w:sz w:val="14"/>
                <w:szCs w:val="14"/>
                <w:color w:val="auto"/>
              </w:rPr>
              <w:t>(State or other jurisdiction of</w:t>
            </w:r>
          </w:p>
        </w:tc>
        <w:tc>
          <w:tcPr>
            <w:tcW w:w="2200" w:type="dxa"/>
            <w:vAlign w:val="bottom"/>
          </w:tcPr>
          <w:p>
            <w:pPr>
              <w:spacing w:after="0"/>
              <w:rPr>
                <w:sz w:val="12"/>
                <w:szCs w:val="12"/>
                <w:color w:val="auto"/>
              </w:rPr>
            </w:pPr>
          </w:p>
        </w:tc>
        <w:tc>
          <w:tcPr>
            <w:tcW w:w="4780" w:type="dxa"/>
            <w:vAlign w:val="bottom"/>
          </w:tcPr>
          <w:p>
            <w:pPr>
              <w:jc w:val="center"/>
              <w:ind w:right="783"/>
              <w:spacing w:after="0" w:line="149"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90"/>
        </w:trPr>
        <w:tc>
          <w:tcPr>
            <w:tcW w:w="4280" w:type="dxa"/>
            <w:vAlign w:val="bottom"/>
            <w:gridSpan w:val="6"/>
          </w:tcPr>
          <w:p>
            <w:pPr>
              <w:jc w:val="center"/>
              <w:ind w:left="1244"/>
              <w:spacing w:after="0"/>
              <w:rPr>
                <w:sz w:val="20"/>
                <w:szCs w:val="20"/>
                <w:color w:val="auto"/>
              </w:rPr>
            </w:pPr>
            <w:r>
              <w:rPr>
                <w:rFonts w:ascii="Arial" w:cs="Arial" w:eastAsia="Arial" w:hAnsi="Arial"/>
                <w:sz w:val="14"/>
                <w:szCs w:val="14"/>
                <w:color w:val="auto"/>
              </w:rPr>
              <w:t>incorporation or organization)</w:t>
            </w:r>
          </w:p>
        </w:tc>
        <w:tc>
          <w:tcPr>
            <w:tcW w:w="2200" w:type="dxa"/>
            <w:vAlign w:val="bottom"/>
          </w:tcPr>
          <w:p>
            <w:pPr>
              <w:spacing w:after="0"/>
              <w:rPr>
                <w:sz w:val="16"/>
                <w:szCs w:val="16"/>
                <w:color w:val="auto"/>
              </w:rPr>
            </w:pPr>
          </w:p>
        </w:tc>
        <w:tc>
          <w:tcPr>
            <w:tcW w:w="4780" w:type="dxa"/>
            <w:vAlign w:val="bottom"/>
          </w:tcPr>
          <w:p>
            <w:pPr>
              <w:jc w:val="center"/>
              <w:ind w:right="783"/>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64"/>
        </w:trPr>
        <w:tc>
          <w:tcPr>
            <w:tcW w:w="4280" w:type="dxa"/>
            <w:vAlign w:val="bottom"/>
            <w:gridSpan w:val="6"/>
          </w:tcPr>
          <w:p>
            <w:pPr>
              <w:jc w:val="center"/>
              <w:ind w:left="1244"/>
              <w:spacing w:after="0"/>
              <w:rPr>
                <w:sz w:val="20"/>
                <w:szCs w:val="20"/>
                <w:color w:val="auto"/>
              </w:rPr>
            </w:pPr>
            <w:r>
              <w:rPr>
                <w:rFonts w:ascii="Arial" w:cs="Arial" w:eastAsia="Arial" w:hAnsi="Arial"/>
                <w:sz w:val="16"/>
                <w:szCs w:val="16"/>
                <w:b w:val="1"/>
                <w:bCs w:val="1"/>
                <w:color w:val="auto"/>
              </w:rPr>
              <w:t>600 N. Centennial</w:t>
            </w:r>
          </w:p>
        </w:tc>
        <w:tc>
          <w:tcPr>
            <w:tcW w:w="220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gridSpan w:val="4"/>
          </w:tcPr>
          <w:p>
            <w:pPr>
              <w:jc w:val="center"/>
              <w:ind w:right="1088"/>
              <w:spacing w:after="0"/>
              <w:rPr>
                <w:sz w:val="20"/>
                <w:szCs w:val="20"/>
                <w:color w:val="auto"/>
              </w:rPr>
            </w:pPr>
            <w:r>
              <w:rPr>
                <w:rFonts w:ascii="Arial" w:cs="Arial" w:eastAsia="Arial" w:hAnsi="Arial"/>
                <w:sz w:val="16"/>
                <w:szCs w:val="16"/>
                <w:b w:val="1"/>
                <w:bCs w:val="1"/>
                <w:color w:val="auto"/>
              </w:rPr>
              <w:t>Zeeland</w:t>
            </w:r>
          </w:p>
        </w:tc>
        <w:tc>
          <w:tcPr>
            <w:tcW w:w="2200" w:type="dxa"/>
            <w:vAlign w:val="bottom"/>
          </w:tcPr>
          <w:p>
            <w:pPr>
              <w:spacing w:after="0"/>
              <w:rPr>
                <w:sz w:val="18"/>
                <w:szCs w:val="18"/>
                <w:color w:val="auto"/>
              </w:rPr>
            </w:pPr>
          </w:p>
        </w:tc>
        <w:tc>
          <w:tcPr>
            <w:tcW w:w="4780" w:type="dxa"/>
            <w:vAlign w:val="bottom"/>
            <w:vMerge w:val="restart"/>
          </w:tcPr>
          <w:p>
            <w:pPr>
              <w:jc w:val="right"/>
              <w:ind w:right="2503"/>
              <w:spacing w:after="0"/>
              <w:rPr>
                <w:sz w:val="20"/>
                <w:szCs w:val="20"/>
                <w:color w:val="auto"/>
              </w:rPr>
            </w:pPr>
            <w:r>
              <w:rPr>
                <w:rFonts w:ascii="Arial" w:cs="Arial" w:eastAsia="Arial" w:hAnsi="Arial"/>
                <w:sz w:val="18"/>
                <w:szCs w:val="18"/>
                <w:b w:val="1"/>
                <w:bCs w:val="1"/>
                <w:color w:val="auto"/>
              </w:rPr>
              <w:t>49464</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1860" w:type="dxa"/>
            <w:vAlign w:val="bottom"/>
            <w:gridSpan w:val="5"/>
          </w:tcPr>
          <w:p>
            <w:pPr>
              <w:jc w:val="center"/>
              <w:ind w:right="1048"/>
              <w:spacing w:after="0"/>
              <w:rPr>
                <w:sz w:val="20"/>
                <w:szCs w:val="20"/>
                <w:color w:val="auto"/>
              </w:rPr>
            </w:pPr>
            <w:r>
              <w:rPr>
                <w:rFonts w:ascii="Arial" w:cs="Arial" w:eastAsia="Arial" w:hAnsi="Arial"/>
                <w:sz w:val="16"/>
                <w:szCs w:val="16"/>
                <w:b w:val="1"/>
                <w:bCs w:val="1"/>
                <w:color w:val="auto"/>
              </w:rPr>
              <w:t>Michigan</w:t>
            </w:r>
          </w:p>
        </w:tc>
        <w:tc>
          <w:tcPr>
            <w:tcW w:w="2200" w:type="dxa"/>
            <w:vAlign w:val="bottom"/>
          </w:tcPr>
          <w:p>
            <w:pPr>
              <w:spacing w:after="0"/>
              <w:rPr>
                <w:sz w:val="20"/>
                <w:szCs w:val="20"/>
                <w:color w:val="auto"/>
              </w:rPr>
            </w:pPr>
          </w:p>
        </w:tc>
        <w:tc>
          <w:tcPr>
            <w:tcW w:w="4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280" w:type="dxa"/>
            <w:vAlign w:val="bottom"/>
            <w:gridSpan w:val="6"/>
          </w:tcPr>
          <w:p>
            <w:pPr>
              <w:jc w:val="center"/>
              <w:ind w:left="1224"/>
              <w:spacing w:after="0"/>
              <w:rPr>
                <w:sz w:val="20"/>
                <w:szCs w:val="20"/>
                <w:color w:val="auto"/>
              </w:rPr>
            </w:pPr>
            <w:r>
              <w:rPr>
                <w:rFonts w:ascii="Arial" w:cs="Arial" w:eastAsia="Arial" w:hAnsi="Arial"/>
                <w:sz w:val="14"/>
                <w:szCs w:val="14"/>
                <w:color w:val="auto"/>
              </w:rPr>
              <w:t>(Address of principal executive offices)</w:t>
            </w:r>
          </w:p>
        </w:tc>
        <w:tc>
          <w:tcPr>
            <w:tcW w:w="2200" w:type="dxa"/>
            <w:vAlign w:val="bottom"/>
          </w:tcPr>
          <w:p>
            <w:pPr>
              <w:spacing w:after="0"/>
              <w:rPr>
                <w:sz w:val="16"/>
                <w:szCs w:val="16"/>
                <w:color w:val="auto"/>
              </w:rPr>
            </w:pPr>
          </w:p>
        </w:tc>
        <w:tc>
          <w:tcPr>
            <w:tcW w:w="4780" w:type="dxa"/>
            <w:vAlign w:val="bottom"/>
          </w:tcPr>
          <w:p>
            <w:pPr>
              <w:jc w:val="center"/>
              <w:ind w:right="783"/>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309"/>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0" w:type="dxa"/>
            <w:vAlign w:val="bottom"/>
          </w:tcPr>
          <w:p>
            <w:pPr>
              <w:jc w:val="right"/>
              <w:ind w:right="155"/>
              <w:spacing w:after="0"/>
              <w:rPr>
                <w:sz w:val="20"/>
                <w:szCs w:val="20"/>
                <w:color w:val="auto"/>
              </w:rPr>
            </w:pPr>
            <w:r>
              <w:rPr>
                <w:rFonts w:ascii="Arial" w:cs="Arial" w:eastAsia="Arial" w:hAnsi="Arial"/>
                <w:sz w:val="18"/>
                <w:szCs w:val="18"/>
                <w:b w:val="1"/>
                <w:bCs w:val="1"/>
                <w:color w:val="auto"/>
              </w:rPr>
              <w:t>(616) 772-1800</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540" w:type="dxa"/>
            <w:vAlign w:val="bottom"/>
            <w:gridSpan w:val="3"/>
          </w:tcPr>
          <w:p>
            <w:pPr>
              <w:jc w:val="center"/>
              <w:ind w:right="3643"/>
              <w:spacing w:after="0"/>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8840" w:type="dxa"/>
            <w:vAlign w:val="bottom"/>
            <w:gridSpan w:val="7"/>
          </w:tcPr>
          <w:p>
            <w:pPr>
              <w:jc w:val="right"/>
              <w:ind w:right="3883"/>
              <w:spacing w:after="0"/>
              <w:rPr>
                <w:sz w:val="20"/>
                <w:szCs w:val="20"/>
                <w:color w:val="auto"/>
              </w:rPr>
            </w:pPr>
            <w:r>
              <w:rPr>
                <w:rFonts w:ascii="Arial" w:cs="Arial" w:eastAsia="Arial" w:hAnsi="Arial"/>
                <w:sz w:val="11"/>
                <w:szCs w:val="11"/>
                <w:color w:val="auto"/>
              </w:rPr>
              <w:t>________________________________________________________</w:t>
            </w:r>
          </w:p>
        </w:tc>
        <w:tc>
          <w:tcPr>
            <w:tcW w:w="0" w:type="dxa"/>
            <w:vAlign w:val="bottom"/>
          </w:tcPr>
          <w:p>
            <w:pPr>
              <w:spacing w:after="0"/>
              <w:rPr>
                <w:sz w:val="1"/>
                <w:szCs w:val="1"/>
                <w:color w:val="auto"/>
              </w:rPr>
            </w:pPr>
          </w:p>
        </w:tc>
      </w:tr>
      <w:tr>
        <w:trPr>
          <w:trHeight w:val="417"/>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60" w:type="dxa"/>
            <w:vAlign w:val="bottom"/>
            <w:gridSpan w:val="5"/>
          </w:tcPr>
          <w:p>
            <w:pPr>
              <w:jc w:val="center"/>
              <w:ind w:right="2923"/>
              <w:spacing w:after="0"/>
              <w:rPr>
                <w:sz w:val="20"/>
                <w:szCs w:val="20"/>
                <w:color w:val="auto"/>
              </w:rPr>
            </w:pPr>
            <w:r>
              <w:rPr>
                <w:rFonts w:ascii="Arial" w:cs="Arial" w:eastAsia="Arial" w:hAnsi="Arial"/>
                <w:sz w:val="14"/>
                <w:szCs w:val="14"/>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580"/>
        </w:trPr>
        <w:tc>
          <w:tcPr>
            <w:tcW w:w="4280" w:type="dxa"/>
            <w:vAlign w:val="bottom"/>
            <w:gridSpan w:val="6"/>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2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2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Title of each class</w:t>
            </w:r>
          </w:p>
        </w:tc>
        <w:tc>
          <w:tcPr>
            <w:tcW w:w="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Trading Symbol(s)</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96"/>
        </w:trPr>
        <w:tc>
          <w:tcPr>
            <w:tcW w:w="4280" w:type="dxa"/>
            <w:vAlign w:val="bottom"/>
            <w:tcBorders>
              <w:left w:val="single" w:sz="8" w:color="auto"/>
              <w:bottom w:val="single" w:sz="8" w:color="auto"/>
              <w:right w:val="single" w:sz="8" w:color="auto"/>
            </w:tcBorders>
            <w:gridSpan w:val="6"/>
          </w:tcPr>
          <w:p>
            <w:pPr>
              <w:ind w:left="40"/>
              <w:spacing w:after="0"/>
              <w:rPr>
                <w:sz w:val="20"/>
                <w:szCs w:val="20"/>
                <w:color w:val="auto"/>
              </w:rPr>
            </w:pPr>
            <w:r>
              <w:rPr>
                <w:rFonts w:ascii="Arial" w:cs="Arial" w:eastAsia="Arial" w:hAnsi="Arial"/>
                <w:sz w:val="14"/>
                <w:szCs w:val="14"/>
                <w:color w:val="auto"/>
              </w:rPr>
              <w:t>Common Stock, par value $0.06 per share</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GNTX</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NASDAQ Global Select Market</w:t>
            </w:r>
          </w:p>
        </w:tc>
        <w:tc>
          <w:tcPr>
            <w:tcW w:w="0" w:type="dxa"/>
            <w:vAlign w:val="bottom"/>
          </w:tcPr>
          <w:p>
            <w:pPr>
              <w:spacing w:after="0"/>
              <w:rPr>
                <w:sz w:val="1"/>
                <w:szCs w:val="1"/>
                <w:color w:val="auto"/>
              </w:rPr>
            </w:pPr>
          </w:p>
        </w:tc>
      </w:tr>
    </w:tbl>
    <w:p>
      <w:pPr>
        <w:spacing w:after="0" w:line="234" w:lineRule="exact"/>
        <w:rPr>
          <w:sz w:val="24"/>
          <w:szCs w:val="24"/>
          <w:color w:val="auto"/>
        </w:rPr>
      </w:pPr>
    </w:p>
    <w:p>
      <w:pPr>
        <w:ind w:right="120"/>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tabs>
          <w:tab w:leader="none" w:pos="6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o</w:t>
      </w:r>
    </w:p>
    <w:p>
      <w:pPr>
        <w:spacing w:after="0" w:line="166" w:lineRule="exact"/>
        <w:rPr>
          <w:sz w:val="24"/>
          <w:szCs w:val="24"/>
          <w:color w:val="auto"/>
        </w:rPr>
      </w:pPr>
    </w:p>
    <w:p>
      <w:pPr>
        <w:ind w:right="540"/>
        <w:spacing w:after="0" w:line="18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23" w:lineRule="exact"/>
        <w:rPr>
          <w:sz w:val="24"/>
          <w:szCs w:val="24"/>
          <w:color w:val="auto"/>
        </w:rPr>
      </w:pPr>
    </w:p>
    <w:p>
      <w:pPr>
        <w:ind w:right="260"/>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140" w:type="dxa"/>
            <w:vAlign w:val="bottom"/>
          </w:tcPr>
          <w:p>
            <w:pPr>
              <w:ind w:left="294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5" w:lineRule="exact"/>
        <w:rPr>
          <w:sz w:val="24"/>
          <w:szCs w:val="24"/>
          <w:color w:val="auto"/>
        </w:rPr>
      </w:pPr>
    </w:p>
    <w:p>
      <w:pPr>
        <w:ind w:right="20"/>
        <w:spacing w:after="0" w:line="285"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5" w:lineRule="exact"/>
        <w:rPr>
          <w:sz w:val="24"/>
          <w:szCs w:val="24"/>
          <w:color w:val="auto"/>
        </w:rPr>
      </w:pPr>
    </w:p>
    <w:p>
      <w:pPr>
        <w:spacing w:after="0" w:line="161" w:lineRule="exact"/>
        <w:tabs>
          <w:tab w:leader="none" w:pos="8280" w:val="left"/>
        </w:tabs>
        <w:rPr>
          <w:sz w:val="20"/>
          <w:szCs w:val="20"/>
          <w:color w:val="auto"/>
        </w:rPr>
      </w:pPr>
      <w:r>
        <w:rPr>
          <w:rFonts w:ascii="Arial" w:cs="Arial" w:eastAsia="Arial" w:hAnsi="Arial"/>
          <w:sz w:val="14"/>
          <w:szCs w:val="14"/>
          <w:color w:val="auto"/>
        </w:rPr>
        <w:t xml:space="preserve">Indicate by a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r>
        <w:rPr>
          <w:sz w:val="20"/>
          <w:szCs w:val="20"/>
          <w:color w:val="auto"/>
        </w:rPr>
        <w:tab/>
      </w:r>
      <w:r>
        <w:rPr>
          <w:rFonts w:ascii="MS PGothic" w:cs="MS PGothic" w:eastAsia="MS PGothic" w:hAnsi="MS PGothic"/>
          <w:sz w:val="14"/>
          <w:szCs w:val="14"/>
          <w:color w:val="auto"/>
        </w:rPr>
        <w:t>☑</w:t>
      </w:r>
    </w:p>
    <w:p>
      <w:pPr>
        <w:spacing w:after="0" w:line="200"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ISSUERS INVOLVED IN BANKRUPTCY PROCEEDINGS DURING THE PRECEDING FIVE YEARS:</w:t>
      </w:r>
    </w:p>
    <w:p>
      <w:pPr>
        <w:spacing w:after="0" w:line="177" w:lineRule="exact"/>
        <w:rPr>
          <w:sz w:val="24"/>
          <w:szCs w:val="24"/>
          <w:color w:val="auto"/>
        </w:rPr>
      </w:pPr>
    </w:p>
    <w:p>
      <w:pPr>
        <w:ind w:right="560"/>
        <w:spacing w:after="0" w:line="305" w:lineRule="auto"/>
        <w:rPr>
          <w:sz w:val="20"/>
          <w:szCs w:val="20"/>
          <w:color w:val="auto"/>
        </w:rPr>
      </w:pPr>
      <w:r>
        <w:rPr>
          <w:rFonts w:ascii="Arial" w:cs="Arial" w:eastAsia="Arial" w:hAnsi="Arial"/>
          <w:sz w:val="14"/>
          <w:szCs w:val="14"/>
          <w:color w:val="auto"/>
        </w:rPr>
        <w:t>Indicate by check mark whether the registrant has filed all documents and reports required to be filed by Sections 12, 13 or 15(d) of the Securities Exchange Act of 1934 subsequent to the distribution of securities under a plan confirmed by a court. Yes: o No: o</w:t>
      </w:r>
    </w:p>
    <w:p>
      <w:pPr>
        <w:spacing w:after="0" w:line="90"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CORPORATE ISSUERS:</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7"/>
                <w:szCs w:val="17"/>
                <w:color w:val="auto"/>
              </w:rPr>
            </w:pP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Outstanding, October 28, 2022</w:t>
            </w:r>
          </w:p>
        </w:tc>
      </w:tr>
      <w:tr>
        <w:trPr>
          <w:trHeight w:val="189"/>
        </w:trPr>
        <w:tc>
          <w:tcPr>
            <w:tcW w:w="5280" w:type="dxa"/>
            <w:vAlign w:val="bottom"/>
            <w:gridSpan w:val="2"/>
          </w:tcPr>
          <w:p>
            <w:pPr>
              <w:jc w:val="center"/>
              <w:ind w:right="80"/>
              <w:spacing w:after="0"/>
              <w:rPr>
                <w:sz w:val="20"/>
                <w:szCs w:val="20"/>
                <w:color w:val="auto"/>
              </w:rPr>
            </w:pPr>
            <w:r>
              <w:rPr>
                <w:rFonts w:ascii="Arial" w:cs="Arial" w:eastAsia="Arial" w:hAnsi="Arial"/>
                <w:sz w:val="14"/>
                <w:szCs w:val="14"/>
                <w:color w:val="auto"/>
              </w:rPr>
              <w:t>Common Stock, $.06 Par Value</w:t>
            </w:r>
          </w:p>
        </w:tc>
        <w:tc>
          <w:tcPr>
            <w:tcW w:w="5520" w:type="dxa"/>
            <w:vAlign w:val="bottom"/>
          </w:tcPr>
          <w:p>
            <w:pPr>
              <w:jc w:val="right"/>
              <w:ind w:right="2288"/>
              <w:spacing w:after="0"/>
              <w:rPr>
                <w:sz w:val="20"/>
                <w:szCs w:val="20"/>
                <w:color w:val="auto"/>
              </w:rPr>
            </w:pPr>
            <w:r>
              <w:rPr>
                <w:rFonts w:ascii="Arial" w:cs="Arial" w:eastAsia="Arial" w:hAnsi="Arial"/>
                <w:sz w:val="14"/>
                <w:szCs w:val="14"/>
                <w:color w:val="auto"/>
              </w:rPr>
              <w:t>234,582,146</w:t>
            </w:r>
          </w:p>
        </w:tc>
      </w:tr>
    </w:tbl>
    <w:p>
      <w:pPr>
        <w:spacing w:after="0" w:line="200" w:lineRule="exact"/>
        <w:rPr>
          <w:sz w:val="24"/>
          <w:szCs w:val="24"/>
          <w:color w:val="auto"/>
        </w:rPr>
      </w:pPr>
    </w:p>
    <w:p>
      <w:pPr>
        <w:sectPr>
          <w:pgSz w:w="11900" w:h="16838" w:orient="portrait"/>
          <w:cols w:equalWidth="0" w:num="1">
            <w:col w:w="11260"/>
          </w:cols>
          <w:pgMar w:left="320" w:top="607"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07" w:right="319" w:bottom="1440" w:gutter="0" w:footer="0" w:header="0"/>
          <w:type w:val="continuous"/>
        </w:sectPr>
      </w:pPr>
    </w:p>
    <w:bookmarkStart w:id="1" w:name="page2"/>
    <w:bookmarkEnd w:id="1"/>
    <w:p>
      <w:pPr>
        <w:jc w:val="center"/>
        <w:ind w:right="80"/>
        <w:spacing w:after="0"/>
        <w:rPr>
          <w:sz w:val="20"/>
          <w:szCs w:val="20"/>
          <w:color w:val="auto"/>
        </w:rPr>
      </w:pPr>
      <w:r>
        <w:rPr>
          <w:rFonts w:ascii="Arial" w:cs="Arial" w:eastAsia="Arial" w:hAnsi="Arial"/>
          <w:sz w:val="18"/>
          <w:szCs w:val="18"/>
          <w:b w:val="1"/>
          <w:bCs w:val="1"/>
          <w:color w:val="auto"/>
        </w:rPr>
        <w:t>GENTEX CORPORATION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Three and Nine Months Ended September 30, 2022</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Index</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9040" w:type="dxa"/>
            <w:vAlign w:val="bottom"/>
            <w:gridSpan w:val="16"/>
          </w:tcPr>
          <w:p>
            <w:pPr>
              <w:spacing w:after="0"/>
              <w:rPr>
                <w:sz w:val="20"/>
                <w:szCs w:val="20"/>
                <w:color w:val="auto"/>
              </w:rPr>
            </w:pPr>
            <w:r>
              <w:rPr>
                <w:rFonts w:ascii="Arial" w:cs="Arial" w:eastAsia="Arial" w:hAnsi="Arial"/>
                <w:sz w:val="22"/>
                <w:szCs w:val="22"/>
                <w:b w:val="1"/>
                <w:bCs w:val="1"/>
                <w:color w:val="auto"/>
              </w:rPr>
              <w:t>Part I - Financial Information</w:t>
            </w:r>
          </w:p>
        </w:tc>
        <w:tc>
          <w:tcPr>
            <w:tcW w:w="1480" w:type="dxa"/>
            <w:vAlign w:val="bottom"/>
            <w:gridSpan w:val="3"/>
          </w:tcPr>
          <w:p>
            <w:pPr>
              <w:ind w:left="960"/>
              <w:spacing w:after="0"/>
              <w:rPr>
                <w:sz w:val="20"/>
                <w:szCs w:val="20"/>
                <w:color w:val="auto"/>
              </w:rPr>
            </w:pPr>
            <w:r>
              <w:rPr>
                <w:rFonts w:ascii="Arial" w:cs="Arial" w:eastAsia="Arial" w:hAnsi="Arial"/>
                <w:sz w:val="22"/>
                <w:szCs w:val="22"/>
                <w:b w:val="1"/>
                <w:bCs w:val="1"/>
                <w:color w:val="auto"/>
                <w:w w:val="94"/>
              </w:rPr>
              <w:t>Page</w:t>
            </w:r>
          </w:p>
        </w:tc>
      </w:tr>
      <w:tr>
        <w:trPr>
          <w:trHeight w:val="194"/>
        </w:trPr>
        <w:tc>
          <w:tcPr>
            <w:tcW w:w="1000" w:type="dxa"/>
            <w:vAlign w:val="bottom"/>
          </w:tcPr>
          <w:p>
            <w:pPr>
              <w:spacing w:after="0" w:line="195" w:lineRule="exact"/>
              <w:rPr>
                <w:sz w:val="20"/>
                <w:szCs w:val="20"/>
                <w:color w:val="auto"/>
              </w:rPr>
            </w:pPr>
            <w:r>
              <w:rPr>
                <w:rFonts w:ascii="Arial" w:cs="Arial" w:eastAsia="Arial" w:hAnsi="Arial"/>
                <w:sz w:val="18"/>
                <w:szCs w:val="18"/>
                <w:color w:val="auto"/>
              </w:rPr>
              <w:t>Item 1.</w:t>
            </w:r>
          </w:p>
        </w:tc>
        <w:tc>
          <w:tcPr>
            <w:tcW w:w="4620" w:type="dxa"/>
            <w:vAlign w:val="bottom"/>
            <w:gridSpan w:val="6"/>
          </w:tcPr>
          <w:p>
            <w:pPr>
              <w:spacing w:after="0" w:line="195" w:lineRule="exact"/>
              <w:rPr>
                <w:sz w:val="20"/>
                <w:szCs w:val="20"/>
                <w:color w:val="auto"/>
              </w:rPr>
            </w:pPr>
            <w:r>
              <w:rPr>
                <w:rFonts w:ascii="Arial" w:cs="Arial" w:eastAsia="Arial" w:hAnsi="Arial"/>
                <w:sz w:val="18"/>
                <w:szCs w:val="18"/>
                <w:color w:val="0000FF"/>
                <w:w w:val="99"/>
              </w:rPr>
              <w:t>Unaudited Condensed Consolidated Financial Statements</w:t>
            </w:r>
          </w:p>
        </w:tc>
        <w:tc>
          <w:tcPr>
            <w:tcW w:w="3420" w:type="dxa"/>
            <w:vAlign w:val="bottom"/>
            <w:gridSpan w:val="9"/>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jc w:val="center"/>
              <w:spacing w:after="0" w:line="195" w:lineRule="exact"/>
              <w:rPr>
                <w:sz w:val="20"/>
                <w:szCs w:val="20"/>
                <w:color w:val="auto"/>
              </w:rPr>
            </w:pPr>
            <w:r>
              <w:rPr>
                <w:rFonts w:ascii="Arial" w:cs="Arial" w:eastAsia="Arial" w:hAnsi="Arial"/>
                <w:sz w:val="18"/>
                <w:szCs w:val="18"/>
                <w:color w:val="0000FF"/>
                <w:w w:val="99"/>
              </w:rPr>
              <w:t>3</w:t>
            </w:r>
          </w:p>
        </w:tc>
        <w:tc>
          <w:tcPr>
            <w:tcW w:w="2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4200" w:type="dxa"/>
            <w:vAlign w:val="bottom"/>
            <w:gridSpan w:val="5"/>
          </w:tcPr>
          <w:p>
            <w:pPr>
              <w:spacing w:after="0"/>
              <w:rPr>
                <w:sz w:val="20"/>
                <w:szCs w:val="20"/>
                <w:color w:val="auto"/>
              </w:rPr>
            </w:pPr>
            <w:r>
              <w:rPr>
                <w:rFonts w:ascii="Arial" w:cs="Arial" w:eastAsia="Arial" w:hAnsi="Arial"/>
                <w:sz w:val="18"/>
                <w:szCs w:val="18"/>
                <w:color w:val="0000FF"/>
                <w:w w:val="99"/>
              </w:rPr>
              <w:t>Unaudited Condensed Consolidated Balance Sheets</w:t>
            </w:r>
          </w:p>
        </w:tc>
        <w:tc>
          <w:tcPr>
            <w:tcW w:w="420" w:type="dxa"/>
            <w:vAlign w:val="bottom"/>
          </w:tcPr>
          <w:p>
            <w:pPr>
              <w:spacing w:after="0"/>
              <w:rPr>
                <w:sz w:val="18"/>
                <w:szCs w:val="18"/>
                <w:color w:val="auto"/>
              </w:rPr>
            </w:pPr>
          </w:p>
        </w:tc>
        <w:tc>
          <w:tcPr>
            <w:tcW w:w="3420" w:type="dxa"/>
            <w:vAlign w:val="bottom"/>
            <w:gridSpan w:val="9"/>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3</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040" w:type="dxa"/>
            <w:vAlign w:val="bottom"/>
            <w:gridSpan w:val="15"/>
          </w:tcPr>
          <w:p>
            <w:pPr>
              <w:spacing w:after="0"/>
              <w:rPr>
                <w:sz w:val="20"/>
                <w:szCs w:val="20"/>
                <w:color w:val="auto"/>
              </w:rPr>
            </w:pPr>
            <w:r>
              <w:rPr>
                <w:rFonts w:ascii="Arial" w:cs="Arial" w:eastAsia="Arial" w:hAnsi="Arial"/>
                <w:sz w:val="18"/>
                <w:szCs w:val="18"/>
                <w:color w:val="0000FF"/>
              </w:rPr>
              <w:t>Unaudited Condensed Consolidated Statements of Income</w:t>
            </w:r>
          </w:p>
        </w:tc>
        <w:tc>
          <w:tcPr>
            <w:tcW w:w="1260" w:type="dxa"/>
            <w:vAlign w:val="bottom"/>
            <w:gridSpan w:val="2"/>
          </w:tcPr>
          <w:p>
            <w:pPr>
              <w:jc w:val="center"/>
              <w:ind w:left="1068"/>
              <w:spacing w:after="0"/>
              <w:rPr>
                <w:sz w:val="20"/>
                <w:szCs w:val="20"/>
                <w:color w:val="auto"/>
              </w:rPr>
            </w:pPr>
            <w:r>
              <w:rPr>
                <w:rFonts w:ascii="Arial" w:cs="Arial" w:eastAsia="Arial" w:hAnsi="Arial"/>
                <w:sz w:val="18"/>
                <w:szCs w:val="18"/>
                <w:color w:val="0000FF"/>
                <w:w w:val="99"/>
              </w:rPr>
              <w:t>4</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6000" w:type="dxa"/>
            <w:vAlign w:val="bottom"/>
            <w:gridSpan w:val="12"/>
          </w:tcPr>
          <w:p>
            <w:pPr>
              <w:spacing w:after="0"/>
              <w:rPr>
                <w:sz w:val="20"/>
                <w:szCs w:val="20"/>
                <w:color w:val="auto"/>
              </w:rPr>
            </w:pPr>
            <w:r>
              <w:rPr>
                <w:rFonts w:ascii="Arial" w:cs="Arial" w:eastAsia="Arial" w:hAnsi="Arial"/>
                <w:sz w:val="18"/>
                <w:szCs w:val="18"/>
                <w:color w:val="0000FF"/>
                <w:w w:val="99"/>
              </w:rPr>
              <w:t>Unaudited Condensed Consolidated Statements of Comprehensive Income</w:t>
            </w:r>
          </w:p>
        </w:tc>
        <w:tc>
          <w:tcPr>
            <w:tcW w:w="2040" w:type="dxa"/>
            <w:vAlign w:val="bottom"/>
            <w:gridSpan w:val="3"/>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5</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8040" w:type="dxa"/>
            <w:vAlign w:val="bottom"/>
            <w:gridSpan w:val="15"/>
          </w:tcPr>
          <w:p>
            <w:pPr>
              <w:spacing w:after="0"/>
              <w:rPr>
                <w:sz w:val="20"/>
                <w:szCs w:val="20"/>
                <w:color w:val="auto"/>
              </w:rPr>
            </w:pPr>
            <w:r>
              <w:rPr>
                <w:rFonts w:ascii="Arial" w:cs="Arial" w:eastAsia="Arial" w:hAnsi="Arial"/>
                <w:sz w:val="18"/>
                <w:szCs w:val="18"/>
                <w:color w:val="0000FF"/>
              </w:rPr>
              <w:t>Unaudited Condensed Consolidated Statements of Shareholders' Investment</w:t>
            </w:r>
          </w:p>
        </w:tc>
        <w:tc>
          <w:tcPr>
            <w:tcW w:w="1260" w:type="dxa"/>
            <w:vAlign w:val="bottom"/>
            <w:gridSpan w:val="2"/>
          </w:tcPr>
          <w:p>
            <w:pPr>
              <w:jc w:val="center"/>
              <w:ind w:left="1068"/>
              <w:spacing w:after="0"/>
              <w:rPr>
                <w:sz w:val="20"/>
                <w:szCs w:val="20"/>
                <w:color w:val="auto"/>
              </w:rPr>
            </w:pPr>
            <w:r>
              <w:rPr>
                <w:rFonts w:ascii="Arial" w:cs="Arial" w:eastAsia="Arial" w:hAnsi="Arial"/>
                <w:sz w:val="18"/>
                <w:szCs w:val="18"/>
                <w:color w:val="0000FF"/>
                <w:w w:val="99"/>
              </w:rPr>
              <w:t>6</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5040" w:type="dxa"/>
            <w:vAlign w:val="bottom"/>
            <w:gridSpan w:val="10"/>
          </w:tcPr>
          <w:p>
            <w:pPr>
              <w:spacing w:after="0"/>
              <w:rPr>
                <w:sz w:val="20"/>
                <w:szCs w:val="20"/>
                <w:color w:val="auto"/>
              </w:rPr>
            </w:pPr>
            <w:r>
              <w:rPr>
                <w:rFonts w:ascii="Arial" w:cs="Arial" w:eastAsia="Arial" w:hAnsi="Arial"/>
                <w:sz w:val="18"/>
                <w:szCs w:val="18"/>
                <w:color w:val="0000FF"/>
                <w:w w:val="99"/>
              </w:rPr>
              <w:t>Unaudited Condensed Consolidated Statements of Cash Flows</w:t>
            </w:r>
          </w:p>
        </w:tc>
        <w:tc>
          <w:tcPr>
            <w:tcW w:w="1080" w:type="dxa"/>
            <w:vAlign w:val="bottom"/>
            <w:gridSpan w:val="3"/>
          </w:tcPr>
          <w:p>
            <w:pPr>
              <w:spacing w:after="0"/>
              <w:rPr>
                <w:sz w:val="18"/>
                <w:szCs w:val="18"/>
                <w:color w:val="auto"/>
              </w:rPr>
            </w:pPr>
          </w:p>
        </w:tc>
        <w:tc>
          <w:tcPr>
            <w:tcW w:w="192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8</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5340" w:type="dxa"/>
            <w:vAlign w:val="bottom"/>
            <w:gridSpan w:val="11"/>
          </w:tcPr>
          <w:p>
            <w:pPr>
              <w:spacing w:after="0"/>
              <w:rPr>
                <w:sz w:val="20"/>
                <w:szCs w:val="20"/>
                <w:color w:val="auto"/>
              </w:rPr>
            </w:pPr>
            <w:r>
              <w:rPr>
                <w:rFonts w:ascii="Arial" w:cs="Arial" w:eastAsia="Arial" w:hAnsi="Arial"/>
                <w:sz w:val="18"/>
                <w:szCs w:val="18"/>
                <w:color w:val="0000FF"/>
                <w:w w:val="99"/>
              </w:rPr>
              <w:t>Notes to Unaudited Condensed Consolidated Financial Statements</w:t>
            </w:r>
          </w:p>
        </w:tc>
        <w:tc>
          <w:tcPr>
            <w:tcW w:w="2700" w:type="dxa"/>
            <w:vAlign w:val="bottom"/>
            <w:gridSpan w:val="4"/>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9</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gridSpan w:val="15"/>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23</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7060" w:type="dxa"/>
            <w:vAlign w:val="bottom"/>
            <w:gridSpan w:val="14"/>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80" w:type="dxa"/>
            <w:vAlign w:val="bottom"/>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35</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8"/>
          </w:tcPr>
          <w:p>
            <w:pPr>
              <w:spacing w:after="0"/>
              <w:rPr>
                <w:sz w:val="20"/>
                <w:szCs w:val="20"/>
                <w:color w:val="auto"/>
              </w:rPr>
            </w:pPr>
            <w:r>
              <w:rPr>
                <w:rFonts w:ascii="Arial" w:cs="Arial" w:eastAsia="Arial" w:hAnsi="Arial"/>
                <w:sz w:val="18"/>
                <w:szCs w:val="18"/>
                <w:color w:val="0000FF"/>
              </w:rPr>
              <w:t>Controls and Procedures</w:t>
            </w:r>
          </w:p>
        </w:tc>
        <w:tc>
          <w:tcPr>
            <w:tcW w:w="3340" w:type="dxa"/>
            <w:vAlign w:val="bottom"/>
            <w:gridSpan w:val="7"/>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35</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555"/>
        </w:trPr>
        <w:tc>
          <w:tcPr>
            <w:tcW w:w="9040" w:type="dxa"/>
            <w:vAlign w:val="bottom"/>
            <w:gridSpan w:val="16"/>
          </w:tcPr>
          <w:p>
            <w:pPr>
              <w:spacing w:after="0"/>
              <w:rPr>
                <w:sz w:val="20"/>
                <w:szCs w:val="20"/>
                <w:color w:val="auto"/>
              </w:rPr>
            </w:pPr>
            <w:r>
              <w:rPr>
                <w:rFonts w:ascii="Arial" w:cs="Arial" w:eastAsia="Arial" w:hAnsi="Arial"/>
                <w:sz w:val="22"/>
                <w:szCs w:val="22"/>
                <w:b w:val="1"/>
                <w:bCs w:val="1"/>
                <w:color w:val="auto"/>
              </w:rPr>
              <w:t>Part II - Other Information</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4"/>
        </w:trPr>
        <w:tc>
          <w:tcPr>
            <w:tcW w:w="1000" w:type="dxa"/>
            <w:vAlign w:val="bottom"/>
          </w:tcPr>
          <w:p>
            <w:pPr>
              <w:spacing w:after="0" w:line="195" w:lineRule="exact"/>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line="195" w:lineRule="exact"/>
              <w:rPr>
                <w:sz w:val="20"/>
                <w:szCs w:val="20"/>
                <w:color w:val="auto"/>
              </w:rPr>
            </w:pPr>
            <w:r>
              <w:rPr>
                <w:rFonts w:ascii="Arial" w:cs="Arial" w:eastAsia="Arial" w:hAnsi="Arial"/>
                <w:sz w:val="18"/>
                <w:szCs w:val="18"/>
                <w:color w:val="0000FF"/>
                <w:w w:val="95"/>
              </w:rPr>
              <w:t>Risk Factors</w:t>
            </w:r>
          </w:p>
        </w:tc>
        <w:tc>
          <w:tcPr>
            <w:tcW w:w="7040" w:type="dxa"/>
            <w:vAlign w:val="bottom"/>
            <w:gridSpan w:val="12"/>
          </w:tcPr>
          <w:p>
            <w:pPr>
              <w:spacing w:after="0"/>
              <w:rPr>
                <w:sz w:val="16"/>
                <w:szCs w:val="16"/>
                <w:color w:val="auto"/>
              </w:rPr>
            </w:pPr>
          </w:p>
        </w:tc>
        <w:tc>
          <w:tcPr>
            <w:tcW w:w="1480" w:type="dxa"/>
            <w:vAlign w:val="bottom"/>
            <w:gridSpan w:val="3"/>
          </w:tcPr>
          <w:p>
            <w:pPr>
              <w:jc w:val="center"/>
              <w:ind w:left="868"/>
              <w:spacing w:after="0" w:line="195" w:lineRule="exact"/>
              <w:rPr>
                <w:sz w:val="20"/>
                <w:szCs w:val="20"/>
                <w:color w:val="auto"/>
              </w:rPr>
            </w:pPr>
            <w:r>
              <w:rPr>
                <w:rFonts w:ascii="Arial" w:cs="Arial" w:eastAsia="Arial" w:hAnsi="Arial"/>
                <w:sz w:val="18"/>
                <w:szCs w:val="18"/>
                <w:color w:val="0000FF"/>
                <w:w w:val="99"/>
              </w:rPr>
              <w:t>38</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gridSpan w:val="15"/>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38</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40" w:type="dxa"/>
            <w:vAlign w:val="bottom"/>
            <w:tcBorders>
              <w:left w:val="single" w:sz="8" w:color="0000FF"/>
            </w:tcBorders>
            <w:gridSpan w:val="6"/>
            <w:shd w:val="clear" w:color="auto" w:fill="0000FF"/>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4840" w:type="dxa"/>
            <w:vAlign w:val="bottom"/>
            <w:gridSpan w:val="9"/>
          </w:tcPr>
          <w:p>
            <w:pPr>
              <w:spacing w:after="0"/>
              <w:rPr>
                <w:sz w:val="20"/>
                <w:szCs w:val="20"/>
                <w:color w:val="auto"/>
              </w:rPr>
            </w:pPr>
            <w:r>
              <w:rPr>
                <w:rFonts w:ascii="Arial" w:cs="Arial" w:eastAsia="Arial" w:hAnsi="Arial"/>
                <w:sz w:val="18"/>
                <w:szCs w:val="18"/>
                <w:color w:val="0000FF"/>
              </w:rPr>
              <w:t>Exhibits</w:t>
            </w:r>
          </w:p>
        </w:tc>
        <w:tc>
          <w:tcPr>
            <w:tcW w:w="3200" w:type="dxa"/>
            <w:vAlign w:val="bottom"/>
            <w:gridSpan w:val="6"/>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39</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40" w:type="dxa"/>
            <w:vAlign w:val="bottom"/>
            <w:gridSpan w:val="12"/>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302FF"/>
                <w:w w:val="97"/>
              </w:rPr>
              <w:t>Signatures</w:t>
            </w:r>
          </w:p>
        </w:tc>
        <w:tc>
          <w:tcPr>
            <w:tcW w:w="7180" w:type="dxa"/>
            <w:vAlign w:val="bottom"/>
            <w:gridSpan w:val="13"/>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39</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302FF"/>
          </w:tcPr>
          <w:p>
            <w:pPr>
              <w:spacing w:after="0" w:line="20" w:lineRule="exact"/>
              <w:rPr>
                <w:sz w:val="1"/>
                <w:szCs w:val="1"/>
                <w:color w:val="auto"/>
              </w:rPr>
            </w:pPr>
          </w:p>
        </w:tc>
        <w:tc>
          <w:tcPr>
            <w:tcW w:w="240" w:type="dxa"/>
            <w:vAlign w:val="bottom"/>
            <w:shd w:val="clear" w:color="auto" w:fill="0302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040" w:type="dxa"/>
            <w:vAlign w:val="bottom"/>
            <w:gridSpan w:val="15"/>
          </w:tcPr>
          <w:p>
            <w:pPr>
              <w:spacing w:after="0"/>
              <w:rPr>
                <w:sz w:val="20"/>
                <w:szCs w:val="20"/>
                <w:color w:val="auto"/>
              </w:rPr>
            </w:pPr>
            <w:r>
              <w:rPr>
                <w:rFonts w:ascii="Arial" w:cs="Arial" w:eastAsia="Arial" w:hAnsi="Arial"/>
                <w:sz w:val="18"/>
                <w:szCs w:val="18"/>
                <w:color w:val="0000FF"/>
              </w:rPr>
              <w:t>Exhibit Index</w:t>
            </w: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40</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931" w:right="339" w:bottom="1440" w:gutter="0" w:footer="0" w:header="0"/>
        </w:sectPr>
      </w:pPr>
    </w:p>
    <w:bookmarkStart w:id="2" w:name="page3"/>
    <w:bookmarkEnd w:id="2"/>
    <w:p>
      <w:pPr>
        <w:ind w:left="4080"/>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33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As of September 30, 2022 and December 31, 2021</w:t>
      </w:r>
    </w:p>
    <w:p>
      <w:pPr>
        <w:spacing w:after="0" w:line="4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6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jc w:val="center"/>
              <w:ind w:right="400"/>
              <w:spacing w:after="0"/>
              <w:rPr>
                <w:sz w:val="20"/>
                <w:szCs w:val="20"/>
                <w:color w:val="auto"/>
              </w:rPr>
            </w:pPr>
            <w:r>
              <w:rPr>
                <w:rFonts w:ascii="Arial" w:cs="Arial" w:eastAsia="Arial" w:hAnsi="Arial"/>
                <w:sz w:val="14"/>
                <w:szCs w:val="14"/>
                <w:b w:val="1"/>
                <w:bCs w:val="1"/>
                <w:color w:val="auto"/>
              </w:rPr>
              <w:t>September 30, 2022</w:t>
            </w:r>
          </w:p>
        </w:tc>
        <w:tc>
          <w:tcPr>
            <w:tcW w:w="280" w:type="dxa"/>
            <w:vAlign w:val="bottom"/>
            <w:shd w:val="clear" w:color="auto" w:fill="CCEEFF"/>
          </w:tcPr>
          <w:p>
            <w:pPr>
              <w:spacing w:after="0"/>
              <w:rPr>
                <w:sz w:val="14"/>
                <w:szCs w:val="14"/>
                <w:color w:val="auto"/>
              </w:rPr>
            </w:pPr>
          </w:p>
        </w:tc>
        <w:tc>
          <w:tcPr>
            <w:tcW w:w="1880" w:type="dxa"/>
            <w:vAlign w:val="bottom"/>
            <w:shd w:val="clear" w:color="auto" w:fill="CCEEFF"/>
          </w:tcPr>
          <w:p>
            <w:pPr>
              <w:jc w:val="right"/>
              <w:ind w:right="351"/>
              <w:spacing w:after="0"/>
              <w:rPr>
                <w:sz w:val="20"/>
                <w:szCs w:val="20"/>
                <w:color w:val="auto"/>
              </w:rPr>
            </w:pPr>
            <w:r>
              <w:rPr>
                <w:rFonts w:ascii="Arial" w:cs="Arial" w:eastAsia="Arial" w:hAnsi="Arial"/>
                <w:sz w:val="14"/>
                <w:szCs w:val="14"/>
                <w:b w:val="1"/>
                <w:bCs w:val="1"/>
                <w:color w:val="auto"/>
              </w:rPr>
              <w:t>December 31, 2021</w:t>
            </w:r>
          </w:p>
        </w:tc>
      </w:tr>
      <w:tr>
        <w:trPr>
          <w:trHeight w:val="189"/>
        </w:trPr>
        <w:tc>
          <w:tcPr>
            <w:tcW w:w="6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4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b w:val="1"/>
                <w:bCs w:val="1"/>
                <w:color w:val="auto"/>
              </w:rPr>
              <w:t>(Unaudited)</w:t>
            </w:r>
          </w:p>
        </w:tc>
        <w:tc>
          <w:tcPr>
            <w:tcW w:w="28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791"/>
              <w:spacing w:after="0"/>
              <w:rPr>
                <w:sz w:val="20"/>
                <w:szCs w:val="20"/>
                <w:color w:val="auto"/>
              </w:rPr>
            </w:pPr>
            <w:r>
              <w:rPr>
                <w:rFonts w:ascii="Arial" w:cs="Arial" w:eastAsia="Arial" w:hAnsi="Arial"/>
                <w:sz w:val="14"/>
                <w:szCs w:val="14"/>
                <w:b w:val="1"/>
                <w:bCs w:val="1"/>
                <w:color w:val="auto"/>
              </w:rPr>
              <w:t>(Note)</w:t>
            </w:r>
          </w:p>
        </w:tc>
      </w:tr>
      <w:tr>
        <w:trPr>
          <w:trHeight w:val="209"/>
        </w:trPr>
        <w:tc>
          <w:tcPr>
            <w:tcW w:w="6780" w:type="dxa"/>
            <w:vAlign w:val="bottom"/>
          </w:tcPr>
          <w:p>
            <w:pPr>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r>
      <w:tr>
        <w:trPr>
          <w:trHeight w:val="22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222,933,723</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262,311,670</w:t>
            </w:r>
          </w:p>
        </w:tc>
      </w:tr>
      <w:tr>
        <w:trPr>
          <w:trHeight w:val="229"/>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16,122,519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5,423,612</w:t>
            </w:r>
          </w:p>
        </w:tc>
      </w:tr>
      <w:tr>
        <w:trPr>
          <w:trHeight w:val="229"/>
        </w:trPr>
        <w:tc>
          <w:tcPr>
            <w:tcW w:w="678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292,413,491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249,794,906</w:t>
            </w:r>
          </w:p>
        </w:tc>
      </w:tr>
      <w:tr>
        <w:trPr>
          <w:trHeight w:val="230"/>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418,286,161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316,267,442</w:t>
            </w:r>
          </w:p>
        </w:tc>
      </w:tr>
      <w:tr>
        <w:trPr>
          <w:trHeight w:val="229"/>
        </w:trPr>
        <w:tc>
          <w:tcPr>
            <w:tcW w:w="6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39,567,381</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39,178,119</w:t>
            </w:r>
          </w:p>
        </w:tc>
      </w:tr>
      <w:tr>
        <w:trPr>
          <w:trHeight w:val="223"/>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989,323,275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872,975,749</w:t>
            </w:r>
          </w:p>
        </w:tc>
      </w:tr>
      <w:tr>
        <w:trPr>
          <w:trHeight w:val="229"/>
        </w:trPr>
        <w:tc>
          <w:tcPr>
            <w:tcW w:w="6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PLANT AND EQUIPMENT—NET</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526,680,787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464,121,676</w:t>
            </w:r>
          </w:p>
        </w:tc>
      </w:tr>
      <w:tr>
        <w:trPr>
          <w:trHeight w:val="229"/>
        </w:trPr>
        <w:tc>
          <w:tcPr>
            <w:tcW w:w="6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313,851,944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313,960,209</w:t>
            </w:r>
          </w:p>
        </w:tc>
      </w:tr>
      <w:tr>
        <w:trPr>
          <w:trHeight w:val="229"/>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investments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154,429,190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207,693,147</w:t>
            </w:r>
          </w:p>
        </w:tc>
      </w:tr>
      <w:tr>
        <w:trPr>
          <w:trHeight w:val="229"/>
        </w:trPr>
        <w:tc>
          <w:tcPr>
            <w:tcW w:w="6780" w:type="dxa"/>
            <w:vAlign w:val="bottom"/>
          </w:tcPr>
          <w:p>
            <w:pPr>
              <w:ind w:left="220"/>
              <w:spacing w:after="0"/>
              <w:rPr>
                <w:sz w:val="20"/>
                <w:szCs w:val="20"/>
                <w:color w:val="auto"/>
              </w:rPr>
            </w:pPr>
            <w:r>
              <w:rPr>
                <w:rFonts w:ascii="Arial" w:cs="Arial" w:eastAsia="Arial" w:hAnsi="Arial"/>
                <w:sz w:val="18"/>
                <w:szCs w:val="18"/>
                <w:color w:val="auto"/>
              </w:rPr>
              <w:t>Equity method investments</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39,680,791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224,185,910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239,189,627</w:t>
            </w:r>
          </w:p>
        </w:tc>
      </w:tr>
      <w:tr>
        <w:trPr>
          <w:trHeight w:val="229"/>
        </w:trPr>
        <w:tc>
          <w:tcPr>
            <w:tcW w:w="6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Patents and other assets, net</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63,171,166</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33,450,758</w:t>
            </w:r>
          </w:p>
        </w:tc>
      </w:tr>
      <w:tr>
        <w:trPr>
          <w:trHeight w:val="223"/>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795,319,001</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794,293,741</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2,311,323,063</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2,131,391,166</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96"/>
        </w:trPr>
        <w:tc>
          <w:tcPr>
            <w:tcW w:w="6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LIABILITIES AND SHAREHOLDERS’ INVESTMENT</w:t>
            </w: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6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171,436,605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98,342,928</w:t>
            </w:r>
          </w:p>
        </w:tc>
      </w:tr>
      <w:tr>
        <w:trPr>
          <w:trHeight w:val="230"/>
        </w:trPr>
        <w:tc>
          <w:tcPr>
            <w:tcW w:w="6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93,728,038</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83,313,172</w:t>
            </w:r>
          </w:p>
        </w:tc>
      </w:tr>
      <w:tr>
        <w:trPr>
          <w:trHeight w:val="223"/>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265,164,643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181,656,100</w:t>
            </w:r>
          </w:p>
        </w:tc>
      </w:tr>
      <w:tr>
        <w:trPr>
          <w:trHeight w:val="270"/>
        </w:trPr>
        <w:tc>
          <w:tcPr>
            <w:tcW w:w="6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12,112,756</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11,746,599</w:t>
            </w:r>
          </w:p>
        </w:tc>
      </w:tr>
      <w:tr>
        <w:trPr>
          <w:trHeight w:val="210"/>
        </w:trPr>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2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277,277,399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193,402,699</w:t>
            </w:r>
          </w:p>
        </w:tc>
      </w:tr>
      <w:tr>
        <w:trPr>
          <w:trHeight w:val="230"/>
        </w:trPr>
        <w:tc>
          <w:tcPr>
            <w:tcW w:w="6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SHAREHOLDERS’ INVESTMENT</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14,075,843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14,186,450</w:t>
            </w:r>
          </w:p>
        </w:tc>
      </w:tr>
      <w:tr>
        <w:trPr>
          <w:trHeight w:val="229"/>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908,622,409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879,413,385</w:t>
            </w: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1,108,061,455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1,042,461,388</w:t>
            </w:r>
          </w:p>
        </w:tc>
      </w:tr>
      <w:tr>
        <w:trPr>
          <w:trHeight w:val="230"/>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 income</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3,285,957</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1,927,244</w:t>
            </w:r>
          </w:p>
        </w:tc>
      </w:tr>
      <w:tr>
        <w:trPr>
          <w:trHeight w:val="223"/>
        </w:trPr>
        <w:tc>
          <w:tcPr>
            <w:tcW w:w="67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shareholders’ investment</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2,034,045,664</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1,937,988,467</w:t>
            </w:r>
          </w:p>
        </w:tc>
      </w:tr>
      <w:tr>
        <w:trPr>
          <w:trHeight w:val="248"/>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shareholders’ investment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2,311,323,063</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2,131,391,166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80"/>
        <w:spacing w:after="0" w:line="286" w:lineRule="auto"/>
        <w:rPr>
          <w:sz w:val="20"/>
          <w:szCs w:val="20"/>
          <w:color w:val="auto"/>
        </w:rPr>
      </w:pPr>
      <w:r>
        <w:rPr>
          <w:rFonts w:ascii="Arial" w:cs="Arial" w:eastAsia="Arial" w:hAnsi="Arial"/>
          <w:sz w:val="13"/>
          <w:szCs w:val="13"/>
          <w:color w:val="auto"/>
        </w:rPr>
        <w:t>Note: The condensed consolidated balance sheet at December 31, 2021 has been derived from the audited consolidated financial statements at that date, but does not include all of the information and footnotes required by accounting principles generally accepted in the United States for complete financial statements.</w:t>
      </w: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spacing w:after="0" w:line="461"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INCOME For the Three and Nine Months Ended September 30, 2022 and 2021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7"/>
                <w:szCs w:val="17"/>
                <w:color w:val="auto"/>
              </w:rPr>
            </w:pPr>
          </w:p>
        </w:tc>
        <w:tc>
          <w:tcPr>
            <w:tcW w:w="308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Nine Months Ended September 30,</w:t>
            </w:r>
          </w:p>
        </w:tc>
      </w:tr>
      <w:tr>
        <w:trPr>
          <w:trHeight w:val="204"/>
        </w:trPr>
        <w:tc>
          <w:tcPr>
            <w:tcW w:w="44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r>
      <w:tr>
        <w:trPr>
          <w:trHeight w:val="224"/>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493,636,695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399,598,744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1,425,310,472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1,311,328,609</w:t>
            </w:r>
          </w:p>
        </w:tc>
      </w:tr>
      <w:tr>
        <w:trPr>
          <w:trHeight w:val="230"/>
        </w:trPr>
        <w:tc>
          <w:tcPr>
            <w:tcW w:w="4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346,435,670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258,698,723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969,330,474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835,531,679</w:t>
            </w:r>
          </w:p>
        </w:tc>
      </w:tr>
      <w:tr>
        <w:trPr>
          <w:trHeight w:val="223"/>
        </w:trPr>
        <w:tc>
          <w:tcPr>
            <w:tcW w:w="4480" w:type="dxa"/>
            <w:vAlign w:val="bottom"/>
          </w:tcPr>
          <w:p>
            <w:pPr>
              <w:ind w:left="46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147,201,025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140,900,021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455,979,998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475,796,930</w:t>
            </w:r>
          </w:p>
        </w:tc>
      </w:tr>
      <w:tr>
        <w:trPr>
          <w:trHeight w:val="229"/>
        </w:trPr>
        <w:tc>
          <w:tcPr>
            <w:tcW w:w="4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Engineering, research and development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33,541,331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29,750,973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98,373,737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86,462,112</w:t>
            </w:r>
          </w:p>
        </w:tc>
      </w:tr>
      <w:tr>
        <w:trPr>
          <w:trHeight w:val="229"/>
        </w:trPr>
        <w:tc>
          <w:tcPr>
            <w:tcW w:w="44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Selling, general &amp; administrative</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26,868,154</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22,984,108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81,717,848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67,511,555</w:t>
            </w:r>
          </w:p>
        </w:tc>
      </w:tr>
      <w:tr>
        <w:trPr>
          <w:trHeight w:val="223"/>
        </w:trPr>
        <w:tc>
          <w:tcPr>
            <w:tcW w:w="4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60,409,485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52,735,081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180,091,585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153,973,667</w:t>
            </w:r>
          </w:p>
        </w:tc>
      </w:tr>
      <w:tr>
        <w:trPr>
          <w:trHeight w:val="209"/>
        </w:trPr>
        <w:tc>
          <w:tcPr>
            <w:tcW w:w="4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4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86,791,540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88,164,940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275,888,413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321,823,263</w:t>
            </w:r>
          </w:p>
        </w:tc>
      </w:tr>
      <w:tr>
        <w:trPr>
          <w:trHeight w:val="229"/>
        </w:trPr>
        <w:tc>
          <w:tcPr>
            <w:tcW w:w="4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(LOSS) INCOME</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4480" w:type="dxa"/>
            <w:vAlign w:val="bottom"/>
          </w:tcPr>
          <w:p>
            <w:pPr>
              <w:ind w:left="240"/>
              <w:spacing w:after="0"/>
              <w:rPr>
                <w:sz w:val="20"/>
                <w:szCs w:val="20"/>
                <w:color w:val="auto"/>
              </w:rPr>
            </w:pPr>
            <w:r>
              <w:rPr>
                <w:rFonts w:ascii="Arial" w:cs="Arial" w:eastAsia="Arial" w:hAnsi="Arial"/>
                <w:sz w:val="18"/>
                <w:szCs w:val="18"/>
                <w:color w:val="auto"/>
              </w:rPr>
              <w:t>Investment income</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1,496,852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856,351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3,205,452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2,782,900</w:t>
            </w:r>
          </w:p>
        </w:tc>
      </w:tr>
      <w:tr>
        <w:trPr>
          <w:trHeight w:val="229"/>
        </w:trPr>
        <w:tc>
          <w:tcPr>
            <w:tcW w:w="4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(loss) income, net</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(2,126,039)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872,943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(4,828,119)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2,370,527</w:t>
            </w:r>
          </w:p>
        </w:tc>
      </w:tr>
      <w:tr>
        <w:trPr>
          <w:trHeight w:val="223"/>
        </w:trPr>
        <w:tc>
          <w:tcPr>
            <w:tcW w:w="44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(loss) income</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(629,187)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1,729,294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(1,622,667)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5,153,427</w:t>
            </w:r>
          </w:p>
        </w:tc>
      </w:tr>
      <w:tr>
        <w:trPr>
          <w:trHeight w:val="209"/>
        </w:trPr>
        <w:tc>
          <w:tcPr>
            <w:tcW w:w="4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86,162,353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89,894,234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274,265,746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326,976,690</w:t>
            </w:r>
          </w:p>
        </w:tc>
      </w:tr>
      <w:tr>
        <w:trPr>
          <w:trHeight w:val="230"/>
        </w:trPr>
        <w:tc>
          <w:tcPr>
            <w:tcW w:w="4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13,506,358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13,233,686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41,676,723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50,358,854</w:t>
            </w:r>
          </w:p>
        </w:tc>
      </w:tr>
      <w:tr>
        <w:trPr>
          <w:trHeight w:val="230"/>
        </w:trPr>
        <w:tc>
          <w:tcPr>
            <w:tcW w:w="44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72,655,995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76,660,548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232,589,023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276,617,836</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7"/>
        </w:trPr>
        <w:tc>
          <w:tcPr>
            <w:tcW w:w="4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29"/>
        </w:trPr>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4480" w:type="dxa"/>
            <w:vAlign w:val="bottom"/>
          </w:tcPr>
          <w:p>
            <w:pPr>
              <w:ind w:left="24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4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9"/>
        </w:trPr>
        <w:tc>
          <w:tcPr>
            <w:tcW w:w="4480" w:type="dxa"/>
            <w:vAlign w:val="bottom"/>
          </w:tcPr>
          <w:p>
            <w:pPr>
              <w:ind w:left="20"/>
              <w:spacing w:after="0"/>
              <w:rPr>
                <w:sz w:val="20"/>
                <w:szCs w:val="20"/>
                <w:color w:val="auto"/>
              </w:rPr>
            </w:pPr>
            <w:r>
              <w:rPr>
                <w:rFonts w:ascii="Arial" w:cs="Arial" w:eastAsia="Arial" w:hAnsi="Arial"/>
                <w:sz w:val="18"/>
                <w:szCs w:val="18"/>
                <w:color w:val="auto"/>
              </w:rPr>
              <w:t>Cash Dividends Declared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0.120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0.120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0.360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0.360</w:t>
            </w:r>
          </w:p>
        </w:tc>
      </w:tr>
    </w:tbl>
    <w:p>
      <w:pPr>
        <w:spacing w:after="0" w:line="265" w:lineRule="exact"/>
        <w:rPr>
          <w:sz w:val="20"/>
          <w:szCs w:val="20"/>
          <w:color w:val="auto"/>
        </w:rPr>
      </w:pPr>
    </w:p>
    <w:p>
      <w:pPr>
        <w:ind w:left="180" w:hanging="154"/>
        <w:spacing w:after="0"/>
        <w:tabs>
          <w:tab w:leader="none" w:pos="180" w:val="left"/>
        </w:tabs>
        <w:numPr>
          <w:ilvl w:val="0"/>
          <w:numId w:val="3"/>
        </w:numPr>
        <w:rPr>
          <w:rFonts w:ascii="Arial" w:cs="Arial" w:eastAsia="Arial" w:hAnsi="Arial"/>
          <w:sz w:val="9"/>
          <w:szCs w:val="9"/>
          <w:color w:val="auto"/>
        </w:rPr>
      </w:pPr>
      <w:r>
        <w:rPr>
          <w:rFonts w:ascii="Arial" w:cs="Arial" w:eastAsia="Arial" w:hAnsi="Arial"/>
          <w:sz w:val="14"/>
          <w:szCs w:val="14"/>
          <w:color w:val="auto"/>
        </w:rPr>
        <w:t>Earnings Per Share has been adjusted to exclude the portion of net income allocated to participating securities as a result of share-based payment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ind w:right="120"/>
        <w:spacing w:after="0" w:line="457"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COMPREHENSIVE INCOME For the Three and Nine Months Ended September 30, 2022 and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7"/>
                <w:szCs w:val="17"/>
                <w:color w:val="auto"/>
              </w:rPr>
            </w:pPr>
          </w:p>
        </w:tc>
        <w:tc>
          <w:tcPr>
            <w:tcW w:w="276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03"/>
        </w:trPr>
        <w:tc>
          <w:tcPr>
            <w:tcW w:w="50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72,655,995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76,660,548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232,589,023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276,617,836</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before tax:</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17,751,603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(349,165)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13,723,857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(238,378)</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losses on debt securities, net</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(4,442,743)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(816,801)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(15,652,081)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(4,230,473)</w:t>
            </w: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before tax</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13,308,860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(1,165,966)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(1,928,224)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(4,468,851)</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5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Income tax impact related to components of other</w:t>
            </w: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(932,976)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(171,528)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(3,286,937)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(888,399)</w:t>
            </w: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14,241,836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(994,438)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1,358,713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(3,580,452)</w:t>
            </w: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86,897,831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75,666,110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233,947,736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273,037,384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255" w:right="339" w:bottom="1440" w:gutter="0" w:footer="0" w:header="0"/>
        </w:sectPr>
      </w:pPr>
    </w:p>
    <w:bookmarkStart w:id="5" w:name="page6"/>
    <w:bookmarkEnd w:id="5"/>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CONDENSED CONSOLIDATED STATEMENTS OF SHAREHOLDERS' INVESTMENT</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September 30, 2022 and 2021</w:t>
      </w: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JULY 1, 2022</w:t>
      </w:r>
    </w:p>
    <w:p>
      <w:pPr>
        <w:spacing w:after="0" w:line="32"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Issuance of common stock from stock plan transactions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($0.12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BALANCE AS OF SEPTEMBER 30, 2022</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20" w:type="dxa"/>
            <w:vAlign w:val="bottom"/>
            <w:vMerge w:val="restart"/>
          </w:tcPr>
          <w:p>
            <w:pPr>
              <w:jc w:val="center"/>
              <w:ind w:right="46"/>
              <w:spacing w:after="0"/>
              <w:rPr>
                <w:sz w:val="20"/>
                <w:szCs w:val="20"/>
                <w:color w:val="auto"/>
              </w:rPr>
            </w:pPr>
            <w:r>
              <w:rPr>
                <w:rFonts w:ascii="Arial" w:cs="Arial" w:eastAsia="Arial" w:hAnsi="Arial"/>
                <w:sz w:val="16"/>
                <w:szCs w:val="16"/>
                <w:b w:val="1"/>
                <w:bCs w:val="1"/>
                <w:color w:val="auto"/>
              </w:rPr>
              <w:t>Common</w:t>
            </w:r>
          </w:p>
        </w:tc>
        <w:tc>
          <w:tcPr>
            <w:tcW w:w="240" w:type="dxa"/>
            <w:vAlign w:val="bottom"/>
          </w:tcPr>
          <w:p>
            <w:pPr>
              <w:spacing w:after="0"/>
              <w:rPr>
                <w:sz w:val="16"/>
                <w:szCs w:val="16"/>
                <w:color w:val="auto"/>
              </w:rPr>
            </w:pPr>
          </w:p>
        </w:tc>
        <w:tc>
          <w:tcPr>
            <w:tcW w:w="1060" w:type="dxa"/>
            <w:vAlign w:val="bottom"/>
            <w:vMerge w:val="restart"/>
          </w:tcPr>
          <w:p>
            <w:pPr>
              <w:jc w:val="center"/>
              <w:ind w:right="206"/>
              <w:spacing w:after="0"/>
              <w:rPr>
                <w:sz w:val="20"/>
                <w:szCs w:val="20"/>
                <w:color w:val="auto"/>
              </w:rPr>
            </w:pPr>
            <w:r>
              <w:rPr>
                <w:rFonts w:ascii="Arial" w:cs="Arial" w:eastAsia="Arial" w:hAnsi="Arial"/>
                <w:sz w:val="16"/>
                <w:szCs w:val="16"/>
                <w:b w:val="1"/>
                <w:bCs w:val="1"/>
                <w:color w:val="auto"/>
              </w:rPr>
              <w:t>Common</w:t>
            </w:r>
          </w:p>
        </w:tc>
        <w:tc>
          <w:tcPr>
            <w:tcW w:w="200" w:type="dxa"/>
            <w:vAlign w:val="bottom"/>
          </w:tcPr>
          <w:p>
            <w:pPr>
              <w:spacing w:after="0"/>
              <w:rPr>
                <w:sz w:val="16"/>
                <w:szCs w:val="16"/>
                <w:color w:val="auto"/>
              </w:rPr>
            </w:pPr>
          </w:p>
        </w:tc>
        <w:tc>
          <w:tcPr>
            <w:tcW w:w="1100" w:type="dxa"/>
            <w:vAlign w:val="bottom"/>
            <w:vMerge w:val="restart"/>
          </w:tcPr>
          <w:p>
            <w:pPr>
              <w:jc w:val="right"/>
              <w:ind w:right="206"/>
              <w:spacing w:after="0"/>
              <w:rPr>
                <w:sz w:val="20"/>
                <w:szCs w:val="20"/>
                <w:color w:val="auto"/>
              </w:rPr>
            </w:pPr>
            <w:r>
              <w:rPr>
                <w:rFonts w:ascii="Arial" w:cs="Arial" w:eastAsia="Arial" w:hAnsi="Arial"/>
                <w:sz w:val="16"/>
                <w:szCs w:val="16"/>
                <w:b w:val="1"/>
                <w:bCs w:val="1"/>
                <w:color w:val="auto"/>
              </w:rPr>
              <w:t>Additional</w:t>
            </w: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46"/>
              <w:spacing w:after="0"/>
              <w:rPr>
                <w:sz w:val="20"/>
                <w:szCs w:val="20"/>
                <w:color w:val="auto"/>
              </w:rPr>
            </w:pPr>
            <w:r>
              <w:rPr>
                <w:rFonts w:ascii="Arial" w:cs="Arial" w:eastAsia="Arial" w:hAnsi="Arial"/>
                <w:sz w:val="16"/>
                <w:szCs w:val="16"/>
                <w:b w:val="1"/>
                <w:bCs w:val="1"/>
                <w:color w:val="auto"/>
              </w:rPr>
              <w:t>Accumulated</w:t>
            </w:r>
          </w:p>
        </w:tc>
        <w:tc>
          <w:tcPr>
            <w:tcW w:w="1220" w:type="dxa"/>
            <w:vAlign w:val="bottom"/>
            <w:vMerge w:val="restart"/>
          </w:tcPr>
          <w:p>
            <w:pPr>
              <w:jc w:val="right"/>
              <w:ind w:right="326"/>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1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80" w:type="dxa"/>
            <w:vAlign w:val="bottom"/>
            <w:vMerge w:val="restart"/>
          </w:tcPr>
          <w:p>
            <w:pPr>
              <w:jc w:val="right"/>
              <w:ind w:right="246"/>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4"/>
                <w:szCs w:val="14"/>
                <w:color w:val="auto"/>
              </w:rPr>
            </w:pPr>
          </w:p>
        </w:tc>
        <w:tc>
          <w:tcPr>
            <w:tcW w:w="1320" w:type="dxa"/>
            <w:vAlign w:val="bottom"/>
          </w:tcPr>
          <w:p>
            <w:pPr>
              <w:jc w:val="center"/>
              <w:ind w:right="106"/>
              <w:spacing w:after="0" w:line="162" w:lineRule="exact"/>
              <w:rPr>
                <w:sz w:val="20"/>
                <w:szCs w:val="20"/>
                <w:color w:val="auto"/>
              </w:rPr>
            </w:pPr>
            <w:r>
              <w:rPr>
                <w:rFonts w:ascii="Arial" w:cs="Arial" w:eastAsia="Arial" w:hAnsi="Arial"/>
                <w:sz w:val="16"/>
                <w:szCs w:val="16"/>
                <w:b w:val="1"/>
                <w:bCs w:val="1"/>
                <w:color w:val="auto"/>
                <w:w w:val="98"/>
              </w:rPr>
              <w:t>Other</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Stock</w:t>
            </w:r>
          </w:p>
        </w:tc>
        <w:tc>
          <w:tcPr>
            <w:tcW w:w="240" w:type="dxa"/>
            <w:vAlign w:val="bottom"/>
          </w:tcPr>
          <w:p>
            <w:pPr>
              <w:spacing w:after="0"/>
              <w:rPr>
                <w:sz w:val="14"/>
                <w:szCs w:val="14"/>
                <w:color w:val="auto"/>
              </w:rPr>
            </w:pPr>
          </w:p>
        </w:tc>
        <w:tc>
          <w:tcPr>
            <w:tcW w:w="1060" w:type="dxa"/>
            <w:vAlign w:val="bottom"/>
          </w:tcPr>
          <w:p>
            <w:pPr>
              <w:jc w:val="center"/>
              <w:ind w:right="146"/>
              <w:spacing w:after="0" w:line="162" w:lineRule="exact"/>
              <w:rPr>
                <w:sz w:val="20"/>
                <w:szCs w:val="20"/>
                <w:color w:val="auto"/>
              </w:rPr>
            </w:pPr>
            <w:r>
              <w:rPr>
                <w:rFonts w:ascii="Arial" w:cs="Arial" w:eastAsia="Arial" w:hAnsi="Arial"/>
                <w:sz w:val="16"/>
                <w:szCs w:val="16"/>
                <w:b w:val="1"/>
                <w:bCs w:val="1"/>
                <w:color w:val="auto"/>
              </w:rPr>
              <w:t>Stock</w:t>
            </w:r>
          </w:p>
        </w:tc>
        <w:tc>
          <w:tcPr>
            <w:tcW w:w="200" w:type="dxa"/>
            <w:vAlign w:val="bottom"/>
          </w:tcPr>
          <w:p>
            <w:pPr>
              <w:spacing w:after="0"/>
              <w:rPr>
                <w:sz w:val="14"/>
                <w:szCs w:val="14"/>
                <w:color w:val="auto"/>
              </w:rPr>
            </w:pPr>
          </w:p>
        </w:tc>
        <w:tc>
          <w:tcPr>
            <w:tcW w:w="1100" w:type="dxa"/>
            <w:vAlign w:val="bottom"/>
          </w:tcPr>
          <w:p>
            <w:pPr>
              <w:jc w:val="right"/>
              <w:ind w:right="306"/>
              <w:spacing w:after="0" w:line="162" w:lineRule="exact"/>
              <w:rPr>
                <w:sz w:val="20"/>
                <w:szCs w:val="20"/>
                <w:color w:val="auto"/>
              </w:rPr>
            </w:pPr>
            <w:r>
              <w:rPr>
                <w:rFonts w:ascii="Arial" w:cs="Arial" w:eastAsia="Arial" w:hAnsi="Arial"/>
                <w:sz w:val="16"/>
                <w:szCs w:val="16"/>
                <w:b w:val="1"/>
                <w:bCs w:val="1"/>
                <w:color w:val="auto"/>
              </w:rPr>
              <w:t>Paid-In</w:t>
            </w:r>
          </w:p>
        </w:tc>
        <w:tc>
          <w:tcPr>
            <w:tcW w:w="1280" w:type="dxa"/>
            <w:vAlign w:val="bottom"/>
            <w:vMerge w:val="continue"/>
          </w:tcPr>
          <w:p>
            <w:pPr>
              <w:spacing w:after="0"/>
              <w:rPr>
                <w:sz w:val="14"/>
                <w:szCs w:val="14"/>
                <w:color w:val="auto"/>
              </w:rPr>
            </w:pPr>
          </w:p>
        </w:tc>
        <w:tc>
          <w:tcPr>
            <w:tcW w:w="15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Comprehensive</w:t>
            </w:r>
          </w:p>
        </w:tc>
        <w:tc>
          <w:tcPr>
            <w:tcW w:w="122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Shareholders’</w:t>
            </w:r>
          </w:p>
        </w:tc>
        <w:tc>
          <w:tcPr>
            <w:tcW w:w="0" w:type="dxa"/>
            <w:vAlign w:val="bottom"/>
          </w:tcPr>
          <w:p>
            <w:pPr>
              <w:spacing w:after="0"/>
              <w:rPr>
                <w:sz w:val="1"/>
                <w:szCs w:val="1"/>
                <w:color w:val="auto"/>
              </w:rPr>
            </w:pPr>
          </w:p>
        </w:tc>
      </w:tr>
      <w:tr>
        <w:trPr>
          <w:trHeight w:val="216"/>
        </w:trPr>
        <w:tc>
          <w:tcPr>
            <w:tcW w:w="1220" w:type="dxa"/>
            <w:vAlign w:val="bottom"/>
            <w:tcBorders>
              <w:bottom w:val="single" w:sz="8" w:color="auto"/>
            </w:tcBorders>
          </w:tcPr>
          <w:p>
            <w:pPr>
              <w:jc w:val="center"/>
              <w:ind w:right="6"/>
              <w:spacing w:after="0"/>
              <w:rPr>
                <w:sz w:val="20"/>
                <w:szCs w:val="20"/>
                <w:color w:val="auto"/>
              </w:rPr>
            </w:pPr>
            <w:r>
              <w:rPr>
                <w:rFonts w:ascii="Arial" w:cs="Arial" w:eastAsia="Arial" w:hAnsi="Arial"/>
                <w:sz w:val="16"/>
                <w:szCs w:val="16"/>
                <w:b w:val="1"/>
                <w:bCs w:val="1"/>
                <w:color w:val="auto"/>
              </w:rPr>
              <w:t>Shares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66"/>
              <w:spacing w:after="0"/>
              <w:rPr>
                <w:sz w:val="20"/>
                <w:szCs w:val="20"/>
                <w:color w:val="auto"/>
              </w:rPr>
            </w:pPr>
            <w:r>
              <w:rPr>
                <w:rFonts w:ascii="Arial" w:cs="Arial" w:eastAsia="Arial" w:hAnsi="Arial"/>
                <w:sz w:val="16"/>
                <w:szCs w:val="16"/>
                <w:b w:val="1"/>
                <w:bCs w:val="1"/>
                <w:color w:val="auto"/>
              </w:rPr>
              <w:t>Amount</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6"/>
              <w:spacing w:after="0"/>
              <w:rPr>
                <w:sz w:val="20"/>
                <w:szCs w:val="20"/>
                <w:color w:val="auto"/>
              </w:rPr>
            </w:pPr>
            <w:r>
              <w:rPr>
                <w:rFonts w:ascii="Arial" w:cs="Arial" w:eastAsia="Arial" w:hAnsi="Arial"/>
                <w:sz w:val="16"/>
                <w:szCs w:val="16"/>
                <w:b w:val="1"/>
                <w:bCs w:val="1"/>
                <w:color w:val="auto"/>
              </w:rPr>
              <w:t>Capital</w:t>
            </w:r>
          </w:p>
        </w:tc>
        <w:tc>
          <w:tcPr>
            <w:tcW w:w="1280" w:type="dxa"/>
            <w:vAlign w:val="bottom"/>
            <w:tcBorders>
              <w:bottom w:val="single" w:sz="8" w:color="auto"/>
            </w:tcBorders>
          </w:tcPr>
          <w:p>
            <w:pPr>
              <w:jc w:val="right"/>
              <w:ind w:right="206"/>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06"/>
              <w:spacing w:after="0"/>
              <w:rPr>
                <w:sz w:val="20"/>
                <w:szCs w:val="20"/>
                <w:color w:val="auto"/>
              </w:rPr>
            </w:pPr>
            <w:r>
              <w:rPr>
                <w:rFonts w:ascii="Arial" w:cs="Arial" w:eastAsia="Arial" w:hAnsi="Arial"/>
                <w:sz w:val="16"/>
                <w:szCs w:val="16"/>
                <w:b w:val="1"/>
                <w:bCs w:val="1"/>
                <w:color w:val="auto"/>
              </w:rPr>
              <w:t>Income (Loss)</w:t>
            </w:r>
          </w:p>
        </w:tc>
        <w:tc>
          <w:tcPr>
            <w:tcW w:w="122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b w:val="1"/>
                <w:bCs w:val="1"/>
                <w:color w:val="auto"/>
              </w:rPr>
              <w:t>Investment</w:t>
            </w:r>
          </w:p>
        </w:tc>
        <w:tc>
          <w:tcPr>
            <w:tcW w:w="0" w:type="dxa"/>
            <w:vAlign w:val="bottom"/>
          </w:tcPr>
          <w:p>
            <w:pPr>
              <w:spacing w:after="0"/>
              <w:rPr>
                <w:sz w:val="1"/>
                <w:szCs w:val="1"/>
                <w:color w:val="auto"/>
              </w:rPr>
            </w:pPr>
          </w:p>
        </w:tc>
      </w:tr>
      <w:tr>
        <w:trPr>
          <w:trHeight w:val="188"/>
        </w:trPr>
        <w:tc>
          <w:tcPr>
            <w:tcW w:w="1220" w:type="dxa"/>
            <w:vAlign w:val="bottom"/>
          </w:tcPr>
          <w:p>
            <w:pPr>
              <w:jc w:val="right"/>
              <w:ind w:right="66"/>
              <w:spacing w:after="0"/>
              <w:rPr>
                <w:sz w:val="20"/>
                <w:szCs w:val="20"/>
                <w:color w:val="auto"/>
              </w:rPr>
            </w:pPr>
            <w:r>
              <w:rPr>
                <w:rFonts w:ascii="Arial" w:cs="Arial" w:eastAsia="Arial" w:hAnsi="Arial"/>
                <w:sz w:val="14"/>
                <w:szCs w:val="14"/>
                <w:color w:val="auto"/>
              </w:rPr>
              <w:t>235,132,265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14,107,936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6"/>
              <w:spacing w:after="0"/>
              <w:rPr>
                <w:sz w:val="20"/>
                <w:szCs w:val="20"/>
                <w:color w:val="auto"/>
              </w:rPr>
            </w:pPr>
            <w:r>
              <w:rPr>
                <w:rFonts w:ascii="Arial" w:cs="Arial" w:eastAsia="Arial" w:hAnsi="Arial"/>
                <w:sz w:val="14"/>
                <w:szCs w:val="14"/>
                <w:color w:val="auto"/>
              </w:rPr>
              <w:t>900,576,404</w:t>
            </w:r>
          </w:p>
        </w:tc>
        <w:tc>
          <w:tcPr>
            <w:tcW w:w="1280" w:type="dxa"/>
            <w:vAlign w:val="bottom"/>
          </w:tcPr>
          <w:p>
            <w:pPr>
              <w:jc w:val="right"/>
              <w:ind w:right="66"/>
              <w:spacing w:after="0"/>
              <w:rPr>
                <w:sz w:val="20"/>
                <w:szCs w:val="20"/>
                <w:color w:val="auto"/>
              </w:rPr>
            </w:pPr>
            <w:r>
              <w:rPr>
                <w:rFonts w:ascii="Arial" w:cs="Arial" w:eastAsia="Arial" w:hAnsi="Arial"/>
                <w:sz w:val="14"/>
                <w:szCs w:val="14"/>
                <w:color w:val="auto"/>
              </w:rPr>
              <w:t>$ 1,082,846,019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6"/>
              <w:spacing w:after="0"/>
              <w:rPr>
                <w:sz w:val="20"/>
                <w:szCs w:val="20"/>
                <w:color w:val="auto"/>
              </w:rPr>
            </w:pPr>
            <w:r>
              <w:rPr>
                <w:rFonts w:ascii="Arial" w:cs="Arial" w:eastAsia="Arial" w:hAnsi="Arial"/>
                <w:sz w:val="14"/>
                <w:szCs w:val="14"/>
                <w:color w:val="auto"/>
              </w:rPr>
              <w:t>(10,955,879)</w:t>
            </w:r>
          </w:p>
        </w:tc>
        <w:tc>
          <w:tcPr>
            <w:tcW w:w="1220" w:type="dxa"/>
            <w:vAlign w:val="bottom"/>
          </w:tcPr>
          <w:p>
            <w:pPr>
              <w:jc w:val="right"/>
              <w:spacing w:after="0"/>
              <w:rPr>
                <w:sz w:val="20"/>
                <w:szCs w:val="20"/>
                <w:color w:val="auto"/>
              </w:rPr>
            </w:pPr>
            <w:r>
              <w:rPr>
                <w:rFonts w:ascii="Arial" w:cs="Arial" w:eastAsia="Arial" w:hAnsi="Arial"/>
                <w:sz w:val="14"/>
                <w:szCs w:val="14"/>
                <w:color w:val="auto"/>
              </w:rPr>
              <w:t>$ 1,986,574,480</w:t>
            </w:r>
          </w:p>
        </w:tc>
        <w:tc>
          <w:tcPr>
            <w:tcW w:w="0" w:type="dxa"/>
            <w:vAlign w:val="bottom"/>
          </w:tcPr>
          <w:p>
            <w:pPr>
              <w:spacing w:after="0"/>
              <w:rPr>
                <w:sz w:val="1"/>
                <w:szCs w:val="1"/>
                <w:color w:val="auto"/>
              </w:rPr>
            </w:pPr>
          </w:p>
        </w:tc>
      </w:tr>
      <w:tr>
        <w:trPr>
          <w:trHeight w:val="378"/>
        </w:trPr>
        <w:tc>
          <w:tcPr>
            <w:tcW w:w="1220" w:type="dxa"/>
            <w:vAlign w:val="bottom"/>
          </w:tcPr>
          <w:p>
            <w:pPr>
              <w:jc w:val="right"/>
              <w:ind w:right="66"/>
              <w:spacing w:after="0"/>
              <w:rPr>
                <w:sz w:val="20"/>
                <w:szCs w:val="20"/>
                <w:color w:val="auto"/>
              </w:rPr>
            </w:pPr>
            <w:r>
              <w:rPr>
                <w:rFonts w:ascii="Arial" w:cs="Arial" w:eastAsia="Arial" w:hAnsi="Arial"/>
                <w:sz w:val="14"/>
                <w:szCs w:val="14"/>
                <w:color w:val="auto"/>
              </w:rPr>
              <w:t>315,433</w:t>
            </w:r>
          </w:p>
        </w:tc>
        <w:tc>
          <w:tcPr>
            <w:tcW w:w="240" w:type="dxa"/>
            <w:vAlign w:val="bottom"/>
          </w:tcPr>
          <w:p>
            <w:pPr>
              <w:spacing w:after="0"/>
              <w:rPr>
                <w:sz w:val="24"/>
                <w:szCs w:val="24"/>
                <w:color w:val="auto"/>
              </w:rPr>
            </w:pP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18,926</w:t>
            </w:r>
          </w:p>
        </w:tc>
        <w:tc>
          <w:tcPr>
            <w:tcW w:w="200" w:type="dxa"/>
            <w:vAlign w:val="bottom"/>
          </w:tcPr>
          <w:p>
            <w:pPr>
              <w:spacing w:after="0"/>
              <w:rPr>
                <w:sz w:val="24"/>
                <w:szCs w:val="24"/>
                <w:color w:val="auto"/>
              </w:rPr>
            </w:pPr>
          </w:p>
        </w:tc>
        <w:tc>
          <w:tcPr>
            <w:tcW w:w="1100" w:type="dxa"/>
            <w:vAlign w:val="bottom"/>
          </w:tcPr>
          <w:p>
            <w:pPr>
              <w:jc w:val="right"/>
              <w:ind w:right="86"/>
              <w:spacing w:after="0"/>
              <w:rPr>
                <w:sz w:val="20"/>
                <w:szCs w:val="20"/>
                <w:color w:val="auto"/>
              </w:rPr>
            </w:pPr>
            <w:r>
              <w:rPr>
                <w:rFonts w:ascii="Arial" w:cs="Arial" w:eastAsia="Arial" w:hAnsi="Arial"/>
                <w:sz w:val="14"/>
                <w:szCs w:val="14"/>
                <w:color w:val="auto"/>
              </w:rPr>
              <w:t>3,351,010</w:t>
            </w:r>
          </w:p>
        </w:tc>
        <w:tc>
          <w:tcPr>
            <w:tcW w:w="128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3,369,936</w:t>
            </w:r>
          </w:p>
        </w:tc>
        <w:tc>
          <w:tcPr>
            <w:tcW w:w="0" w:type="dxa"/>
            <w:vAlign w:val="bottom"/>
          </w:tcPr>
          <w:p>
            <w:pPr>
              <w:spacing w:after="0"/>
              <w:rPr>
                <w:sz w:val="1"/>
                <w:szCs w:val="1"/>
                <w:color w:val="auto"/>
              </w:rPr>
            </w:pPr>
          </w:p>
        </w:tc>
      </w:tr>
      <w:tr>
        <w:trPr>
          <w:trHeight w:val="216"/>
        </w:trPr>
        <w:tc>
          <w:tcPr>
            <w:tcW w:w="1220" w:type="dxa"/>
            <w:vAlign w:val="bottom"/>
          </w:tcPr>
          <w:p>
            <w:pPr>
              <w:jc w:val="right"/>
              <w:ind w:right="26"/>
              <w:spacing w:after="0"/>
              <w:rPr>
                <w:sz w:val="20"/>
                <w:szCs w:val="20"/>
                <w:color w:val="auto"/>
              </w:rPr>
            </w:pPr>
            <w:r>
              <w:rPr>
                <w:rFonts w:ascii="Arial" w:cs="Arial" w:eastAsia="Arial" w:hAnsi="Arial"/>
                <w:sz w:val="14"/>
                <w:szCs w:val="14"/>
                <w:color w:val="auto"/>
              </w:rPr>
              <w:t>(850,306)</w:t>
            </w:r>
          </w:p>
        </w:tc>
        <w:tc>
          <w:tcPr>
            <w:tcW w:w="240" w:type="dxa"/>
            <w:vAlign w:val="bottom"/>
          </w:tcPr>
          <w:p>
            <w:pPr>
              <w:spacing w:after="0"/>
              <w:rPr>
                <w:sz w:val="18"/>
                <w:szCs w:val="18"/>
                <w:color w:val="auto"/>
              </w:rPr>
            </w:pPr>
          </w:p>
        </w:tc>
        <w:tc>
          <w:tcPr>
            <w:tcW w:w="1060" w:type="dxa"/>
            <w:vAlign w:val="bottom"/>
          </w:tcPr>
          <w:p>
            <w:pPr>
              <w:jc w:val="right"/>
              <w:ind w:right="26"/>
              <w:spacing w:after="0"/>
              <w:rPr>
                <w:sz w:val="20"/>
                <w:szCs w:val="20"/>
                <w:color w:val="auto"/>
              </w:rPr>
            </w:pPr>
            <w:r>
              <w:rPr>
                <w:rFonts w:ascii="Arial" w:cs="Arial" w:eastAsia="Arial" w:hAnsi="Arial"/>
                <w:sz w:val="14"/>
                <w:szCs w:val="14"/>
                <w:color w:val="auto"/>
              </w:rPr>
              <w:t>(51,019)</w:t>
            </w:r>
          </w:p>
        </w:tc>
        <w:tc>
          <w:tcPr>
            <w:tcW w:w="200" w:type="dxa"/>
            <w:vAlign w:val="bottom"/>
          </w:tcPr>
          <w:p>
            <w:pPr>
              <w:spacing w:after="0"/>
              <w:rPr>
                <w:sz w:val="18"/>
                <w:szCs w:val="18"/>
                <w:color w:val="auto"/>
              </w:rPr>
            </w:pPr>
          </w:p>
        </w:tc>
        <w:tc>
          <w:tcPr>
            <w:tcW w:w="1100" w:type="dxa"/>
            <w:vAlign w:val="bottom"/>
          </w:tcPr>
          <w:p>
            <w:pPr>
              <w:jc w:val="right"/>
              <w:ind w:right="46"/>
              <w:spacing w:after="0"/>
              <w:rPr>
                <w:sz w:val="20"/>
                <w:szCs w:val="20"/>
                <w:color w:val="auto"/>
              </w:rPr>
            </w:pPr>
            <w:r>
              <w:rPr>
                <w:rFonts w:ascii="Arial" w:cs="Arial" w:eastAsia="Arial" w:hAnsi="Arial"/>
                <w:sz w:val="14"/>
                <w:szCs w:val="14"/>
                <w:color w:val="auto"/>
              </w:rPr>
              <w:t>(2,916,551)</w:t>
            </w:r>
          </w:p>
        </w:tc>
        <w:tc>
          <w:tcPr>
            <w:tcW w:w="1280" w:type="dxa"/>
            <w:vAlign w:val="bottom"/>
          </w:tcPr>
          <w:p>
            <w:pPr>
              <w:jc w:val="right"/>
              <w:ind w:right="26"/>
              <w:spacing w:after="0"/>
              <w:rPr>
                <w:sz w:val="20"/>
                <w:szCs w:val="20"/>
                <w:color w:val="auto"/>
              </w:rPr>
            </w:pPr>
            <w:r>
              <w:rPr>
                <w:rFonts w:ascii="Arial" w:cs="Arial" w:eastAsia="Arial" w:hAnsi="Arial"/>
                <w:sz w:val="14"/>
                <w:szCs w:val="14"/>
                <w:color w:val="auto"/>
              </w:rPr>
              <w:t>(19,289,212)</w:t>
            </w:r>
          </w:p>
        </w:tc>
        <w:tc>
          <w:tcPr>
            <w:tcW w:w="200" w:type="dxa"/>
            <w:vAlign w:val="bottom"/>
          </w:tcPr>
          <w:p>
            <w:pPr>
              <w:spacing w:after="0"/>
              <w:rPr>
                <w:sz w:val="18"/>
                <w:szCs w:val="18"/>
                <w:color w:val="auto"/>
              </w:rPr>
            </w:pP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(22,256,782)</w:t>
            </w:r>
          </w:p>
        </w:tc>
        <w:tc>
          <w:tcPr>
            <w:tcW w:w="0" w:type="dxa"/>
            <w:vAlign w:val="bottom"/>
          </w:tcPr>
          <w:p>
            <w:pPr>
              <w:spacing w:after="0"/>
              <w:rPr>
                <w:sz w:val="1"/>
                <w:szCs w:val="1"/>
                <w:color w:val="auto"/>
              </w:rPr>
            </w:pPr>
          </w:p>
        </w:tc>
      </w:tr>
      <w:tr>
        <w:trPr>
          <w:trHeight w:val="540"/>
        </w:trPr>
        <w:tc>
          <w:tcPr>
            <w:tcW w:w="12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ind w:right="86"/>
              <w:spacing w:after="0"/>
              <w:rPr>
                <w:sz w:val="20"/>
                <w:szCs w:val="20"/>
                <w:color w:val="auto"/>
              </w:rPr>
            </w:pPr>
            <w:r>
              <w:rPr>
                <w:rFonts w:ascii="Arial" w:cs="Arial" w:eastAsia="Arial" w:hAnsi="Arial"/>
                <w:sz w:val="14"/>
                <w:szCs w:val="14"/>
                <w:color w:val="auto"/>
              </w:rPr>
              <w:t>7,611,546</w:t>
            </w:r>
          </w:p>
        </w:tc>
        <w:tc>
          <w:tcPr>
            <w:tcW w:w="128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7,611,546</w:t>
            </w:r>
          </w:p>
        </w:tc>
        <w:tc>
          <w:tcPr>
            <w:tcW w:w="0" w:type="dxa"/>
            <w:vAlign w:val="bottom"/>
          </w:tcPr>
          <w:p>
            <w:pPr>
              <w:spacing w:after="0"/>
              <w:rPr>
                <w:sz w:val="1"/>
                <w:szCs w:val="1"/>
                <w:color w:val="auto"/>
              </w:rPr>
            </w:pPr>
          </w:p>
        </w:tc>
      </w:tr>
      <w:tr>
        <w:trPr>
          <w:trHeight w:val="243"/>
        </w:trPr>
        <w:tc>
          <w:tcPr>
            <w:tcW w:w="12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0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6"/>
              <w:spacing w:after="0"/>
              <w:rPr>
                <w:sz w:val="20"/>
                <w:szCs w:val="20"/>
                <w:color w:val="auto"/>
              </w:rPr>
            </w:pPr>
            <w:r>
              <w:rPr>
                <w:rFonts w:ascii="Arial" w:cs="Arial" w:eastAsia="Arial" w:hAnsi="Arial"/>
                <w:sz w:val="14"/>
                <w:szCs w:val="14"/>
                <w:color w:val="auto"/>
              </w:rPr>
              <w:t>(28,151,347)</w:t>
            </w:r>
          </w:p>
        </w:tc>
        <w:tc>
          <w:tcPr>
            <w:tcW w:w="200" w:type="dxa"/>
            <w:vAlign w:val="bottom"/>
          </w:tcPr>
          <w:p>
            <w:pPr>
              <w:spacing w:after="0"/>
              <w:rPr>
                <w:sz w:val="21"/>
                <w:szCs w:val="21"/>
                <w:color w:val="auto"/>
              </w:rPr>
            </w:pP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(28,151,347)</w:t>
            </w:r>
          </w:p>
        </w:tc>
        <w:tc>
          <w:tcPr>
            <w:tcW w:w="0" w:type="dxa"/>
            <w:vAlign w:val="bottom"/>
          </w:tcPr>
          <w:p>
            <w:pPr>
              <w:spacing w:after="0"/>
              <w:rPr>
                <w:sz w:val="1"/>
                <w:szCs w:val="1"/>
                <w:color w:val="auto"/>
              </w:rPr>
            </w:pPr>
          </w:p>
        </w:tc>
      </w:tr>
      <w:tr>
        <w:trPr>
          <w:trHeight w:val="216"/>
        </w:trPr>
        <w:tc>
          <w:tcPr>
            <w:tcW w:w="12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6"/>
              <w:spacing w:after="0"/>
              <w:rPr>
                <w:sz w:val="20"/>
                <w:szCs w:val="20"/>
                <w:color w:val="auto"/>
              </w:rPr>
            </w:pPr>
            <w:r>
              <w:rPr>
                <w:rFonts w:ascii="Arial" w:cs="Arial" w:eastAsia="Arial" w:hAnsi="Arial"/>
                <w:sz w:val="14"/>
                <w:szCs w:val="14"/>
                <w:color w:val="auto"/>
              </w:rPr>
              <w:t>72,655,995</w:t>
            </w:r>
          </w:p>
        </w:tc>
        <w:tc>
          <w:tcPr>
            <w:tcW w:w="200" w:type="dxa"/>
            <w:vAlign w:val="bottom"/>
          </w:tcPr>
          <w:p>
            <w:pPr>
              <w:spacing w:after="0"/>
              <w:rPr>
                <w:sz w:val="18"/>
                <w:szCs w:val="18"/>
                <w:color w:val="auto"/>
              </w:rPr>
            </w:pP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72,655,995</w:t>
            </w:r>
          </w:p>
        </w:tc>
        <w:tc>
          <w:tcPr>
            <w:tcW w:w="0" w:type="dxa"/>
            <w:vAlign w:val="bottom"/>
          </w:tcPr>
          <w:p>
            <w:pPr>
              <w:spacing w:after="0"/>
              <w:rPr>
                <w:sz w:val="1"/>
                <w:szCs w:val="1"/>
                <w:color w:val="auto"/>
              </w:rPr>
            </w:pPr>
          </w:p>
        </w:tc>
      </w:tr>
      <w:tr>
        <w:trPr>
          <w:trHeight w:val="220"/>
        </w:trPr>
        <w:tc>
          <w:tcPr>
            <w:tcW w:w="122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14,241,836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14,241,836</w:t>
            </w:r>
          </w:p>
        </w:tc>
        <w:tc>
          <w:tcPr>
            <w:tcW w:w="0" w:type="dxa"/>
            <w:vAlign w:val="bottom"/>
          </w:tcPr>
          <w:p>
            <w:pPr>
              <w:spacing w:after="0"/>
              <w:rPr>
                <w:sz w:val="1"/>
                <w:szCs w:val="1"/>
                <w:color w:val="auto"/>
              </w:rPr>
            </w:pPr>
          </w:p>
        </w:tc>
      </w:tr>
      <w:tr>
        <w:trPr>
          <w:trHeight w:val="196"/>
        </w:trPr>
        <w:tc>
          <w:tcPr>
            <w:tcW w:w="122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234,597,392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14,075,843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908,622,409</w:t>
            </w:r>
          </w:p>
        </w:tc>
        <w:tc>
          <w:tcPr>
            <w:tcW w:w="128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$ 1,108,061,455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3,285,957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$ 2,034,045,664</w:t>
            </w:r>
          </w:p>
        </w:tc>
        <w:tc>
          <w:tcPr>
            <w:tcW w:w="0" w:type="dxa"/>
            <w:vAlign w:val="bottom"/>
          </w:tcPr>
          <w:p>
            <w:pPr>
              <w:spacing w:after="0"/>
              <w:rPr>
                <w:sz w:val="1"/>
                <w:szCs w:val="1"/>
                <w:color w:val="auto"/>
              </w:rPr>
            </w:pPr>
          </w:p>
        </w:tc>
      </w:tr>
      <w:tr>
        <w:trPr>
          <w:trHeight w:val="24"/>
        </w:trPr>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-1456690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-1079500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-599440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-307975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-16510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40"/>
            <w:col w:w="7840"/>
          </w:cols>
          <w:pgMar w:left="340" w:top="1440" w:right="3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JULY 1, 2021</w:t>
      </w:r>
    </w:p>
    <w:p>
      <w:pPr>
        <w:spacing w:after="0" w:line="32"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Issuance of common stock from stock plan transactions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($0.12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loss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 AS OF SEPTEMBER 30, 2021</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1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238,966,589</w:t>
            </w:r>
          </w:p>
        </w:tc>
        <w:tc>
          <w:tcPr>
            <w:tcW w:w="3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14,337,995</w:t>
            </w:r>
          </w:p>
        </w:tc>
        <w:tc>
          <w:tcPr>
            <w:tcW w:w="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859,678,392</w:t>
            </w:r>
          </w:p>
        </w:tc>
        <w:tc>
          <w:tcPr>
            <w:tcW w:w="12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$ 1,038,037,564</w:t>
            </w:r>
          </w:p>
        </w:tc>
        <w:tc>
          <w:tcPr>
            <w:tcW w:w="4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4,265,038</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$ 1,916,318,989</w:t>
            </w:r>
          </w:p>
        </w:tc>
      </w:tr>
      <w:tr>
        <w:trPr>
          <w:trHeight w:val="378"/>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398,873</w:t>
            </w:r>
          </w:p>
        </w:tc>
        <w:tc>
          <w:tcPr>
            <w:tcW w:w="3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23,932</w:t>
            </w:r>
          </w:p>
        </w:tc>
        <w:tc>
          <w:tcPr>
            <w:tcW w:w="26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7,093,058</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7,116,990</w:t>
            </w:r>
          </w:p>
        </w:tc>
      </w:tr>
      <w:tr>
        <w:trPr>
          <w:trHeight w:val="216"/>
        </w:trPr>
        <w:tc>
          <w:tcPr>
            <w:tcW w:w="1220" w:type="dxa"/>
            <w:vAlign w:val="bottom"/>
          </w:tcPr>
          <w:p>
            <w:pPr>
              <w:jc w:val="right"/>
              <w:ind w:right="28"/>
              <w:spacing w:after="0"/>
              <w:rPr>
                <w:sz w:val="20"/>
                <w:szCs w:val="20"/>
                <w:color w:val="auto"/>
              </w:rPr>
            </w:pPr>
            <w:r>
              <w:rPr>
                <w:rFonts w:ascii="Arial" w:cs="Arial" w:eastAsia="Arial" w:hAnsi="Arial"/>
                <w:sz w:val="14"/>
                <w:szCs w:val="14"/>
                <w:color w:val="auto"/>
              </w:rPr>
              <w:t>(2,830,850)</w:t>
            </w:r>
          </w:p>
        </w:tc>
        <w:tc>
          <w:tcPr>
            <w:tcW w:w="30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(169,851)</w:t>
            </w:r>
          </w:p>
        </w:tc>
        <w:tc>
          <w:tcPr>
            <w:tcW w:w="26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(9,200,264)</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(81,211,798)</w:t>
            </w:r>
          </w:p>
        </w:tc>
        <w:tc>
          <w:tcPr>
            <w:tcW w:w="46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(90,581,913)</w:t>
            </w:r>
          </w:p>
        </w:tc>
      </w:tr>
      <w:tr>
        <w:trPr>
          <w:trHeight w:val="540"/>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7,492,763</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7,492,763</w:t>
            </w:r>
          </w:p>
        </w:tc>
      </w:tr>
      <w:tr>
        <w:trPr>
          <w:trHeight w:val="243"/>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(28,382,653)</w:t>
            </w:r>
          </w:p>
        </w:tc>
        <w:tc>
          <w:tcPr>
            <w:tcW w:w="460" w:type="dxa"/>
            <w:vAlign w:val="bottom"/>
          </w:tcPr>
          <w:p>
            <w:pPr>
              <w:spacing w:after="0"/>
              <w:rPr>
                <w:sz w:val="21"/>
                <w:szCs w:val="21"/>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(28,382,653)</w:t>
            </w:r>
          </w:p>
        </w:tc>
      </w:tr>
      <w:tr>
        <w:trPr>
          <w:trHeight w:val="216"/>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76,660,548</w:t>
            </w:r>
          </w:p>
        </w:tc>
        <w:tc>
          <w:tcPr>
            <w:tcW w:w="46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76,660,548</w:t>
            </w:r>
          </w:p>
        </w:tc>
      </w:tr>
      <w:tr>
        <w:trPr>
          <w:trHeight w:val="220"/>
        </w:trPr>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(994,438)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(994,438)</w:t>
            </w:r>
          </w:p>
        </w:tc>
      </w:tr>
      <w:tr>
        <w:trPr>
          <w:trHeight w:val="196"/>
        </w:trPr>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236,534,612</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14,192,076</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865,063,949</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$ 1,005,103,661</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3,270,600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$ 1,887,630,286</w:t>
            </w:r>
          </w:p>
        </w:tc>
      </w:tr>
      <w:tr>
        <w:trPr>
          <w:trHeight w:val="25"/>
        </w:trPr>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-1319530</wp:posOffset>
            </wp:positionV>
            <wp:extent cx="7132320"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-942340</wp:posOffset>
            </wp:positionV>
            <wp:extent cx="713232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-445135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-170815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40"/>
            <w:col w:w="7840"/>
          </w:cols>
          <w:pgMar w:left="34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type w:val="continuous"/>
        </w:sectPr>
      </w:pPr>
    </w:p>
    <w:bookmarkStart w:id="6" w:name="page7"/>
    <w:bookmarkEnd w:id="6"/>
    <w:p>
      <w:pPr>
        <w:spacing w:after="0" w:line="200" w:lineRule="exact"/>
        <w:rPr>
          <w:sz w:val="20"/>
          <w:szCs w:val="20"/>
          <w:color w:val="auto"/>
        </w:rPr>
      </w:pP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 CONDENSED CONSOLIDATED STATEMENTS OF SHAREHOLDERS' INVESTMENT</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Nine Months Ended September 30, 2022 and 2021</w:t>
      </w:r>
    </w:p>
    <w:p>
      <w:pPr>
        <w:sectPr>
          <w:pgSz w:w="11900" w:h="16838" w:orient="portrait"/>
          <w:cols w:equalWidth="0" w:num="1">
            <w:col w:w="11200"/>
          </w:cols>
          <w:pgMar w:left="36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JANUARY 1, 2022</w:t>
      </w:r>
    </w:p>
    <w:p>
      <w:pPr>
        <w:spacing w:after="0" w:line="32"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Issuance of common stock from stock plan transactions</w:t>
      </w:r>
    </w:p>
    <w:p>
      <w:pPr>
        <w:spacing w:after="0" w:line="1" w:lineRule="exact"/>
        <w:rPr>
          <w:sz w:val="20"/>
          <w:szCs w:val="20"/>
          <w:color w:val="auto"/>
        </w:rPr>
      </w:pPr>
    </w:p>
    <w:p>
      <w:pPr>
        <w:ind w:right="720"/>
        <w:spacing w:after="0" w:line="246" w:lineRule="auto"/>
        <w:rPr>
          <w:sz w:val="20"/>
          <w:szCs w:val="20"/>
          <w:color w:val="auto"/>
        </w:rPr>
      </w:pPr>
      <w:r>
        <w:rPr>
          <w:rFonts w:ascii="Arial" w:cs="Arial" w:eastAsia="Arial" w:hAnsi="Arial"/>
          <w:sz w:val="16"/>
          <w:szCs w:val="16"/>
          <w:color w:val="auto"/>
        </w:rPr>
        <w:t>Issuance of common stock for equity investment purchases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($0.36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BALANCE AS OF SEPTEMBER 30, 2022</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JANUARY 1, 2021</w:t>
      </w:r>
    </w:p>
    <w:p>
      <w:pPr>
        <w:spacing w:after="0" w:line="32"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Issuance of common stock from stock plan transactions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($0.36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loss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 AS OF SEPTEMBER 30, 2021</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Common</w:t>
            </w:r>
          </w:p>
        </w:tc>
        <w:tc>
          <w:tcPr>
            <w:tcW w:w="240" w:type="dxa"/>
            <w:vAlign w:val="bottom"/>
          </w:tcPr>
          <w:p>
            <w:pPr>
              <w:spacing w:after="0"/>
              <w:rPr>
                <w:sz w:val="14"/>
                <w:szCs w:val="14"/>
                <w:color w:val="auto"/>
              </w:rPr>
            </w:pPr>
          </w:p>
        </w:tc>
        <w:tc>
          <w:tcPr>
            <w:tcW w:w="100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4"/>
                <w:szCs w:val="14"/>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48"/>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11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2"/>
                <w:szCs w:val="12"/>
                <w:color w:val="auto"/>
              </w:rPr>
            </w:pPr>
          </w:p>
        </w:tc>
        <w:tc>
          <w:tcPr>
            <w:tcW w:w="1160" w:type="dxa"/>
            <w:vAlign w:val="bottom"/>
          </w:tcPr>
          <w:p>
            <w:pPr>
              <w:jc w:val="center"/>
              <w:ind w:right="108"/>
              <w:spacing w:after="0" w:line="145"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2"/>
                <w:szCs w:val="12"/>
                <w:color w:val="auto"/>
              </w:rPr>
            </w:pPr>
          </w:p>
        </w:tc>
        <w:tc>
          <w:tcPr>
            <w:tcW w:w="100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2"/>
                <w:szCs w:val="12"/>
                <w:color w:val="auto"/>
              </w:rPr>
            </w:pPr>
          </w:p>
        </w:tc>
        <w:tc>
          <w:tcPr>
            <w:tcW w:w="1120" w:type="dxa"/>
            <w:vAlign w:val="bottom"/>
          </w:tcPr>
          <w:p>
            <w:pPr>
              <w:jc w:val="right"/>
              <w:ind w:right="368"/>
              <w:spacing w:after="0" w:line="149" w:lineRule="exact"/>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200"/>
        </w:trPr>
        <w:tc>
          <w:tcPr>
            <w:tcW w:w="1160" w:type="dxa"/>
            <w:vAlign w:val="bottom"/>
          </w:tcPr>
          <w:p>
            <w:pPr>
              <w:jc w:val="center"/>
              <w:ind w:right="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7"/>
                <w:szCs w:val="17"/>
                <w:color w:val="auto"/>
              </w:rPr>
            </w:pPr>
          </w:p>
        </w:tc>
        <w:tc>
          <w:tcPr>
            <w:tcW w:w="1000" w:type="dxa"/>
            <w:vAlign w:val="bottom"/>
          </w:tcPr>
          <w:p>
            <w:pPr>
              <w:jc w:val="center"/>
              <w:ind w:right="148"/>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7"/>
                <w:szCs w:val="17"/>
                <w:color w:val="auto"/>
              </w:rPr>
            </w:pPr>
          </w:p>
        </w:tc>
        <w:tc>
          <w:tcPr>
            <w:tcW w:w="1120" w:type="dxa"/>
            <w:vAlign w:val="bottom"/>
          </w:tcPr>
          <w:p>
            <w:pPr>
              <w:jc w:val="right"/>
              <w:ind w:right="368"/>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7"/>
                <w:szCs w:val="17"/>
                <w:color w:val="auto"/>
              </w:rPr>
            </w:pPr>
          </w:p>
        </w:tc>
        <w:tc>
          <w:tcPr>
            <w:tcW w:w="1140" w:type="dxa"/>
            <w:vAlign w:val="bottom"/>
          </w:tcPr>
          <w:p>
            <w:pPr>
              <w:jc w:val="right"/>
              <w:ind w:right="308"/>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7"/>
                <w:szCs w:val="17"/>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rPr>
              <w:t>(Loss) Income</w:t>
            </w:r>
          </w:p>
        </w:tc>
        <w:tc>
          <w:tcPr>
            <w:tcW w:w="200" w:type="dxa"/>
            <w:vAlign w:val="bottom"/>
          </w:tcPr>
          <w:p>
            <w:pPr>
              <w:spacing w:after="0"/>
              <w:rPr>
                <w:sz w:val="17"/>
                <w:szCs w:val="17"/>
                <w:color w:val="auto"/>
              </w:rPr>
            </w:pPr>
          </w:p>
        </w:tc>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97"/>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236,440,840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14,186,450</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879,413,385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1,042,461,388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1,927,244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1,937,988,467</w:t>
            </w:r>
          </w:p>
        </w:tc>
        <w:tc>
          <w:tcPr>
            <w:tcW w:w="0" w:type="dxa"/>
            <w:vAlign w:val="bottom"/>
          </w:tcPr>
          <w:p>
            <w:pPr>
              <w:spacing w:after="0"/>
              <w:rPr>
                <w:sz w:val="1"/>
                <w:szCs w:val="1"/>
                <w:color w:val="auto"/>
              </w:rPr>
            </w:pPr>
          </w:p>
        </w:tc>
      </w:tr>
      <w:tr>
        <w:trPr>
          <w:trHeight w:val="378"/>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1,284,615</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77,077</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12,288,026</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12,365,103</w:t>
            </w:r>
          </w:p>
        </w:tc>
        <w:tc>
          <w:tcPr>
            <w:tcW w:w="0" w:type="dxa"/>
            <w:vAlign w:val="bottom"/>
          </w:tcPr>
          <w:p>
            <w:pPr>
              <w:spacing w:after="0"/>
              <w:rPr>
                <w:sz w:val="1"/>
                <w:szCs w:val="1"/>
                <w:color w:val="auto"/>
              </w:rPr>
            </w:pPr>
          </w:p>
        </w:tc>
      </w:tr>
      <w:tr>
        <w:trPr>
          <w:trHeight w:val="378"/>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162,433</w:t>
            </w:r>
          </w:p>
        </w:tc>
        <w:tc>
          <w:tcPr>
            <w:tcW w:w="24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9,746</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4,990,266</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5,000,012</w:t>
            </w:r>
          </w:p>
        </w:tc>
        <w:tc>
          <w:tcPr>
            <w:tcW w:w="0" w:type="dxa"/>
            <w:vAlign w:val="bottom"/>
          </w:tcPr>
          <w:p>
            <w:pPr>
              <w:spacing w:after="0"/>
              <w:rPr>
                <w:sz w:val="1"/>
                <w:szCs w:val="1"/>
                <w:color w:val="auto"/>
              </w:rPr>
            </w:pPr>
          </w:p>
        </w:tc>
      </w:tr>
      <w:tr>
        <w:trPr>
          <w:trHeight w:val="216"/>
        </w:trPr>
        <w:tc>
          <w:tcPr>
            <w:tcW w:w="1160" w:type="dxa"/>
            <w:vAlign w:val="bottom"/>
          </w:tcPr>
          <w:p>
            <w:pPr>
              <w:jc w:val="right"/>
              <w:ind w:right="28"/>
              <w:spacing w:after="0"/>
              <w:rPr>
                <w:sz w:val="20"/>
                <w:szCs w:val="20"/>
                <w:color w:val="auto"/>
              </w:rPr>
            </w:pPr>
            <w:r>
              <w:rPr>
                <w:rFonts w:ascii="Arial" w:cs="Arial" w:eastAsia="Arial" w:hAnsi="Arial"/>
                <w:sz w:val="14"/>
                <w:szCs w:val="14"/>
                <w:color w:val="auto"/>
              </w:rPr>
              <w:t>(3,290,496)</w:t>
            </w:r>
          </w:p>
        </w:tc>
        <w:tc>
          <w:tcPr>
            <w:tcW w:w="24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(197,430)</w:t>
            </w:r>
          </w:p>
        </w:tc>
        <w:tc>
          <w:tcPr>
            <w:tcW w:w="2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(11,042,381)</w:t>
            </w:r>
          </w:p>
        </w:tc>
        <w:tc>
          <w:tcPr>
            <w:tcW w:w="2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(82,268,993)</w:t>
            </w:r>
          </w:p>
        </w:tc>
        <w:tc>
          <w:tcPr>
            <w:tcW w:w="1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(93,508,804)</w:t>
            </w:r>
          </w:p>
        </w:tc>
        <w:tc>
          <w:tcPr>
            <w:tcW w:w="0" w:type="dxa"/>
            <w:vAlign w:val="bottom"/>
          </w:tcPr>
          <w:p>
            <w:pPr>
              <w:spacing w:after="0"/>
              <w:rPr>
                <w:sz w:val="1"/>
                <w:szCs w:val="1"/>
                <w:color w:val="auto"/>
              </w:rPr>
            </w:pPr>
          </w:p>
        </w:tc>
      </w:tr>
      <w:tr>
        <w:trPr>
          <w:trHeight w:val="540"/>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22,973,113</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22,973,113</w:t>
            </w:r>
          </w:p>
        </w:tc>
        <w:tc>
          <w:tcPr>
            <w:tcW w:w="0" w:type="dxa"/>
            <w:vAlign w:val="bottom"/>
          </w:tcPr>
          <w:p>
            <w:pPr>
              <w:spacing w:after="0"/>
              <w:rPr>
                <w:sz w:val="1"/>
                <w:szCs w:val="1"/>
                <w:color w:val="auto"/>
              </w:rPr>
            </w:pPr>
          </w:p>
        </w:tc>
      </w:tr>
      <w:tr>
        <w:trPr>
          <w:trHeight w:val="243"/>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(84,719,963)</w:t>
            </w:r>
          </w:p>
        </w:tc>
        <w:tc>
          <w:tcPr>
            <w:tcW w:w="18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(84,719,963)</w:t>
            </w:r>
          </w:p>
        </w:tc>
        <w:tc>
          <w:tcPr>
            <w:tcW w:w="0" w:type="dxa"/>
            <w:vAlign w:val="bottom"/>
          </w:tcPr>
          <w:p>
            <w:pPr>
              <w:spacing w:after="0"/>
              <w:rPr>
                <w:sz w:val="1"/>
                <w:szCs w:val="1"/>
                <w:color w:val="auto"/>
              </w:rPr>
            </w:pPr>
          </w:p>
        </w:tc>
      </w:tr>
      <w:tr>
        <w:trPr>
          <w:trHeight w:val="216"/>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232,589,023</w:t>
            </w:r>
          </w:p>
        </w:tc>
        <w:tc>
          <w:tcPr>
            <w:tcW w:w="1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232,589,023</w:t>
            </w:r>
          </w:p>
        </w:tc>
        <w:tc>
          <w:tcPr>
            <w:tcW w:w="0" w:type="dxa"/>
            <w:vAlign w:val="bottom"/>
          </w:tcPr>
          <w:p>
            <w:pPr>
              <w:spacing w:after="0"/>
              <w:rPr>
                <w:sz w:val="1"/>
                <w:szCs w:val="1"/>
                <w:color w:val="auto"/>
              </w:rPr>
            </w:pPr>
          </w:p>
        </w:tc>
      </w:tr>
      <w:tr>
        <w:trPr>
          <w:trHeight w:val="220"/>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1,358,713</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1,358,713</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234,597,392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14,075,843</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908,622,409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1,108,061,455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3,285,957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2,034,045,664</w:t>
            </w:r>
          </w:p>
        </w:tc>
        <w:tc>
          <w:tcPr>
            <w:tcW w:w="0" w:type="dxa"/>
            <w:vAlign w:val="bottom"/>
          </w:tcPr>
          <w:p>
            <w:pPr>
              <w:spacing w:after="0"/>
              <w:rPr>
                <w:sz w:val="1"/>
                <w:szCs w:val="1"/>
                <w:color w:val="auto"/>
              </w:rPr>
            </w:pPr>
          </w:p>
        </w:tc>
      </w:tr>
      <w:tr>
        <w:trPr>
          <w:trHeight w:val="24"/>
        </w:trPr>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5"/>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243,692,869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14,621,572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852,771,508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1,089,698,996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6,851,052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1,963,943,128</w:t>
            </w:r>
          </w:p>
        </w:tc>
        <w:tc>
          <w:tcPr>
            <w:tcW w:w="0" w:type="dxa"/>
            <w:vAlign w:val="bottom"/>
          </w:tcPr>
          <w:p>
            <w:pPr>
              <w:spacing w:after="0"/>
              <w:rPr>
                <w:sz w:val="1"/>
                <w:szCs w:val="1"/>
                <w:color w:val="auto"/>
              </w:rPr>
            </w:pPr>
          </w:p>
        </w:tc>
      </w:tr>
      <w:tr>
        <w:trPr>
          <w:trHeight w:val="378"/>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1,838,789</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110,327</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20,663,547</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20,773,874</w:t>
            </w:r>
          </w:p>
        </w:tc>
        <w:tc>
          <w:tcPr>
            <w:tcW w:w="0" w:type="dxa"/>
            <w:vAlign w:val="bottom"/>
          </w:tcPr>
          <w:p>
            <w:pPr>
              <w:spacing w:after="0"/>
              <w:rPr>
                <w:sz w:val="1"/>
                <w:szCs w:val="1"/>
                <w:color w:val="auto"/>
              </w:rPr>
            </w:pPr>
          </w:p>
        </w:tc>
      </w:tr>
      <w:tr>
        <w:trPr>
          <w:trHeight w:val="216"/>
        </w:trPr>
        <w:tc>
          <w:tcPr>
            <w:tcW w:w="1160" w:type="dxa"/>
            <w:vAlign w:val="bottom"/>
          </w:tcPr>
          <w:p>
            <w:pPr>
              <w:jc w:val="right"/>
              <w:ind w:right="28"/>
              <w:spacing w:after="0"/>
              <w:rPr>
                <w:sz w:val="20"/>
                <w:szCs w:val="20"/>
                <w:color w:val="auto"/>
              </w:rPr>
            </w:pPr>
            <w:r>
              <w:rPr>
                <w:rFonts w:ascii="Arial" w:cs="Arial" w:eastAsia="Arial" w:hAnsi="Arial"/>
                <w:sz w:val="14"/>
                <w:szCs w:val="14"/>
                <w:color w:val="auto"/>
              </w:rPr>
              <w:t>(8,997,046)</w:t>
            </w:r>
          </w:p>
        </w:tc>
        <w:tc>
          <w:tcPr>
            <w:tcW w:w="24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(539,823)</w:t>
            </w:r>
          </w:p>
        </w:tc>
        <w:tc>
          <w:tcPr>
            <w:tcW w:w="2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(28,486,027)</w:t>
            </w:r>
          </w:p>
        </w:tc>
        <w:tc>
          <w:tcPr>
            <w:tcW w:w="2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(275,169,905)</w:t>
            </w:r>
          </w:p>
        </w:tc>
        <w:tc>
          <w:tcPr>
            <w:tcW w:w="1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(304,195,755)</w:t>
            </w:r>
          </w:p>
        </w:tc>
        <w:tc>
          <w:tcPr>
            <w:tcW w:w="0" w:type="dxa"/>
            <w:vAlign w:val="bottom"/>
          </w:tcPr>
          <w:p>
            <w:pPr>
              <w:spacing w:after="0"/>
              <w:rPr>
                <w:sz w:val="1"/>
                <w:szCs w:val="1"/>
                <w:color w:val="auto"/>
              </w:rPr>
            </w:pPr>
          </w:p>
        </w:tc>
      </w:tr>
      <w:tr>
        <w:trPr>
          <w:trHeight w:val="540"/>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20,114,921</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20,114,921</w:t>
            </w:r>
          </w:p>
        </w:tc>
        <w:tc>
          <w:tcPr>
            <w:tcW w:w="0" w:type="dxa"/>
            <w:vAlign w:val="bottom"/>
          </w:tcPr>
          <w:p>
            <w:pPr>
              <w:spacing w:after="0"/>
              <w:rPr>
                <w:sz w:val="1"/>
                <w:szCs w:val="1"/>
                <w:color w:val="auto"/>
              </w:rPr>
            </w:pPr>
          </w:p>
        </w:tc>
      </w:tr>
      <w:tr>
        <w:trPr>
          <w:trHeight w:val="243"/>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(86,043,266)</w:t>
            </w:r>
          </w:p>
        </w:tc>
        <w:tc>
          <w:tcPr>
            <w:tcW w:w="18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(86,043,266)</w:t>
            </w:r>
          </w:p>
        </w:tc>
        <w:tc>
          <w:tcPr>
            <w:tcW w:w="0" w:type="dxa"/>
            <w:vAlign w:val="bottom"/>
          </w:tcPr>
          <w:p>
            <w:pPr>
              <w:spacing w:after="0"/>
              <w:rPr>
                <w:sz w:val="1"/>
                <w:szCs w:val="1"/>
                <w:color w:val="auto"/>
              </w:rPr>
            </w:pPr>
          </w:p>
        </w:tc>
      </w:tr>
      <w:tr>
        <w:trPr>
          <w:trHeight w:val="216"/>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276,617,836</w:t>
            </w:r>
          </w:p>
        </w:tc>
        <w:tc>
          <w:tcPr>
            <w:tcW w:w="1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276,617,836</w:t>
            </w:r>
          </w:p>
        </w:tc>
        <w:tc>
          <w:tcPr>
            <w:tcW w:w="0" w:type="dxa"/>
            <w:vAlign w:val="bottom"/>
          </w:tcPr>
          <w:p>
            <w:pPr>
              <w:spacing w:after="0"/>
              <w:rPr>
                <w:sz w:val="1"/>
                <w:szCs w:val="1"/>
                <w:color w:val="auto"/>
              </w:rPr>
            </w:pPr>
          </w:p>
        </w:tc>
      </w:tr>
      <w:tr>
        <w:trPr>
          <w:trHeight w:val="220"/>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(3,580,452)</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(3,580,452)</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236,534,612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14,192,076</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865,063,949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1,005,103,661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3,270,600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1,887,630,286</w:t>
            </w:r>
          </w:p>
        </w:tc>
        <w:tc>
          <w:tcPr>
            <w:tcW w:w="0" w:type="dxa"/>
            <w:vAlign w:val="bottom"/>
          </w:tcPr>
          <w:p>
            <w:pPr>
              <w:spacing w:after="0"/>
              <w:rPr>
                <w:sz w:val="1"/>
                <w:szCs w:val="1"/>
                <w:color w:val="auto"/>
              </w:rPr>
            </w:pPr>
          </w:p>
        </w:tc>
      </w:tr>
      <w:tr>
        <w:trPr>
          <w:trHeight w:val="25"/>
        </w:trPr>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-3308350</wp:posOffset>
            </wp:positionV>
            <wp:extent cx="711517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-2931160</wp:posOffset>
            </wp:positionV>
            <wp:extent cx="7115175"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24003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-2553970</wp:posOffset>
            </wp:positionV>
            <wp:extent cx="7115175" cy="342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34290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-2056765</wp:posOffset>
            </wp:positionV>
            <wp:extent cx="711517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-1782445</wp:posOffset>
            </wp:positionV>
            <wp:extent cx="711517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-1456690</wp:posOffset>
            </wp:positionV>
            <wp:extent cx="711517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-1079500</wp:posOffset>
            </wp:positionV>
            <wp:extent cx="711517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-599440</wp:posOffset>
            </wp:positionV>
            <wp:extent cx="711517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-307975</wp:posOffset>
            </wp:positionV>
            <wp:extent cx="711517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40"/>
            <w:col w:w="7820"/>
          </w:cols>
          <w:pgMar w:left="36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11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80645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type w:val="continuous"/>
        </w:sectPr>
      </w:pPr>
    </w:p>
    <w:bookmarkStart w:id="7" w:name="page8"/>
    <w:bookmarkEnd w:id="7"/>
    <w:p>
      <w:pPr>
        <w:jc w:val="center"/>
        <w:ind w:right="60"/>
        <w:spacing w:after="0" w:line="395"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CASH FLOWS For the Nine Months Ended September 30, 2022 and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3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730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232,589,023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276,617,836</w:t>
            </w:r>
          </w:p>
        </w:tc>
        <w:tc>
          <w:tcPr>
            <w:tcW w:w="0" w:type="dxa"/>
            <w:vAlign w:val="bottom"/>
          </w:tcPr>
          <w:p>
            <w:pPr>
              <w:spacing w:after="0"/>
              <w:rPr>
                <w:sz w:val="1"/>
                <w:szCs w:val="1"/>
                <w:color w:val="auto"/>
              </w:rPr>
            </w:pPr>
          </w:p>
        </w:tc>
      </w:tr>
      <w:tr>
        <w:trPr>
          <w:trHeight w:val="229"/>
        </w:trPr>
        <w:tc>
          <w:tcPr>
            <w:tcW w:w="7300" w:type="dxa"/>
            <w:vAlign w:val="bottom"/>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73,289,065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75,105,881</w:t>
            </w:r>
          </w:p>
        </w:tc>
        <w:tc>
          <w:tcPr>
            <w:tcW w:w="0" w:type="dxa"/>
            <w:vAlign w:val="bottom"/>
          </w:tcPr>
          <w:p>
            <w:pPr>
              <w:spacing w:after="0"/>
              <w:rPr>
                <w:sz w:val="1"/>
                <w:szCs w:val="1"/>
                <w:color w:val="auto"/>
              </w:rPr>
            </w:pPr>
          </w:p>
        </w:tc>
      </w:tr>
      <w:tr>
        <w:trPr>
          <w:trHeight w:val="230"/>
        </w:trPr>
        <w:tc>
          <w:tcPr>
            <w:tcW w:w="7300" w:type="dxa"/>
            <w:vAlign w:val="bottom"/>
          </w:tcPr>
          <w:p>
            <w:pPr>
              <w:ind w:left="560"/>
              <w:spacing w:after="0"/>
              <w:rPr>
                <w:sz w:val="20"/>
                <w:szCs w:val="20"/>
                <w:color w:val="auto"/>
              </w:rPr>
            </w:pPr>
            <w:r>
              <w:rPr>
                <w:rFonts w:ascii="Arial" w:cs="Arial" w:eastAsia="Arial" w:hAnsi="Arial"/>
                <w:sz w:val="18"/>
                <w:szCs w:val="18"/>
                <w:color w:val="auto"/>
              </w:rPr>
              <w:t>(Gain) on disposal of assets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(56,257)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(459,528)</w:t>
            </w: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Loss on disposal of assets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213,430</w:t>
            </w:r>
          </w:p>
        </w:tc>
        <w:tc>
          <w:tcPr>
            <w:tcW w:w="0" w:type="dxa"/>
            <w:vAlign w:val="bottom"/>
          </w:tcPr>
          <w:p>
            <w:pPr>
              <w:spacing w:after="0"/>
              <w:rPr>
                <w:sz w:val="1"/>
                <w:szCs w:val="1"/>
                <w:color w:val="auto"/>
              </w:rPr>
            </w:pPr>
          </w:p>
        </w:tc>
      </w:tr>
      <w:tr>
        <w:trPr>
          <w:trHeight w:val="229"/>
        </w:trPr>
        <w:tc>
          <w:tcPr>
            <w:tcW w:w="7300" w:type="dxa"/>
            <w:vAlign w:val="bottom"/>
          </w:tcPr>
          <w:p>
            <w:pPr>
              <w:ind w:left="560"/>
              <w:spacing w:after="0"/>
              <w:rPr>
                <w:sz w:val="20"/>
                <w:szCs w:val="20"/>
                <w:color w:val="auto"/>
              </w:rPr>
            </w:pPr>
            <w:r>
              <w:rPr>
                <w:rFonts w:ascii="Arial" w:cs="Arial" w:eastAsia="Arial" w:hAnsi="Arial"/>
                <w:sz w:val="18"/>
                <w:szCs w:val="18"/>
                <w:color w:val="auto"/>
              </w:rPr>
              <w:t>(Gain) on sale of investments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(391,378)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(969,971)</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Loss on sale of investments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1,248,450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192,346</w:t>
            </w:r>
          </w:p>
        </w:tc>
        <w:tc>
          <w:tcPr>
            <w:tcW w:w="0" w:type="dxa"/>
            <w:vAlign w:val="bottom"/>
          </w:tcPr>
          <w:p>
            <w:pPr>
              <w:spacing w:after="0"/>
              <w:rPr>
                <w:sz w:val="1"/>
                <w:szCs w:val="1"/>
                <w:color w:val="auto"/>
              </w:rPr>
            </w:pPr>
          </w:p>
        </w:tc>
      </w:tr>
      <w:tr>
        <w:trPr>
          <w:trHeight w:val="229"/>
        </w:trPr>
        <w:tc>
          <w:tcPr>
            <w:tcW w:w="7300" w:type="dxa"/>
            <w:vAlign w:val="bottom"/>
          </w:tcPr>
          <w:p>
            <w:pPr>
              <w:ind w:left="560"/>
              <w:spacing w:after="0"/>
              <w:rPr>
                <w:sz w:val="20"/>
                <w:szCs w:val="20"/>
                <w:color w:val="auto"/>
              </w:rPr>
            </w:pPr>
            <w:r>
              <w:rPr>
                <w:rFonts w:ascii="Arial" w:cs="Arial" w:eastAsia="Arial" w:hAnsi="Arial"/>
                <w:sz w:val="18"/>
                <w:szCs w:val="18"/>
                <w:color w:val="auto"/>
              </w:rPr>
              <w:t>Change in deferred income taxes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4,785,787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(20,269,706)</w:t>
            </w:r>
          </w:p>
        </w:tc>
        <w:tc>
          <w:tcPr>
            <w:tcW w:w="0" w:type="dxa"/>
            <w:vAlign w:val="bottom"/>
          </w:tcPr>
          <w:p>
            <w:pPr>
              <w:spacing w:after="0"/>
              <w:rPr>
                <w:sz w:val="1"/>
                <w:szCs w:val="1"/>
                <w:color w:val="auto"/>
              </w:rPr>
            </w:pPr>
          </w:p>
        </w:tc>
      </w:tr>
      <w:tr>
        <w:trPr>
          <w:trHeight w:val="176"/>
        </w:trPr>
        <w:tc>
          <w:tcPr>
            <w:tcW w:w="730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Stock-based compensation expense related to employee stock options, employee</w:t>
            </w:r>
          </w:p>
        </w:tc>
        <w:tc>
          <w:tcPr>
            <w:tcW w:w="4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22,973,113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20,114,921</w:t>
            </w:r>
          </w:p>
        </w:tc>
        <w:tc>
          <w:tcPr>
            <w:tcW w:w="0" w:type="dxa"/>
            <w:vAlign w:val="bottom"/>
          </w:tcPr>
          <w:p>
            <w:pPr>
              <w:spacing w:after="0"/>
              <w:rPr>
                <w:sz w:val="1"/>
                <w:szCs w:val="1"/>
                <w:color w:val="auto"/>
              </w:rPr>
            </w:pPr>
          </w:p>
        </w:tc>
      </w:tr>
      <w:tr>
        <w:trPr>
          <w:trHeight w:val="243"/>
        </w:trPr>
        <w:tc>
          <w:tcPr>
            <w:tcW w:w="73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stock purchases and restricted stock</w:t>
            </w:r>
          </w:p>
        </w:tc>
        <w:tc>
          <w:tcPr>
            <w:tcW w:w="400" w:type="dxa"/>
            <w:vAlign w:val="bottom"/>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560"/>
              <w:spacing w:after="0"/>
              <w:rPr>
                <w:sz w:val="20"/>
                <w:szCs w:val="20"/>
                <w:color w:val="auto"/>
              </w:rPr>
            </w:pPr>
            <w:r>
              <w:rPr>
                <w:rFonts w:ascii="Arial" w:cs="Arial" w:eastAsia="Arial" w:hAnsi="Arial"/>
                <w:sz w:val="18"/>
                <w:szCs w:val="18"/>
                <w:color w:val="auto"/>
              </w:rPr>
              <w:t>Change in operating assets and liabilities:</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Accounts receivable, net</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(42,618,585)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43,704,625</w:t>
            </w:r>
          </w:p>
        </w:tc>
        <w:tc>
          <w:tcPr>
            <w:tcW w:w="0" w:type="dxa"/>
            <w:vAlign w:val="bottom"/>
          </w:tcPr>
          <w:p>
            <w:pPr>
              <w:spacing w:after="0"/>
              <w:rPr>
                <w:sz w:val="1"/>
                <w:szCs w:val="1"/>
                <w:color w:val="auto"/>
              </w:rPr>
            </w:pPr>
          </w:p>
        </w:tc>
      </w:tr>
      <w:tr>
        <w:trPr>
          <w:trHeight w:val="229"/>
        </w:trPr>
        <w:tc>
          <w:tcPr>
            <w:tcW w:w="7300" w:type="dxa"/>
            <w:vAlign w:val="bottom"/>
          </w:tcPr>
          <w:p>
            <w:pPr>
              <w:ind w:left="76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(102,018,719)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(66,308,038)</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Prepaid expenses and other</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(16,978,469)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(45,504,501)</w:t>
            </w:r>
          </w:p>
        </w:tc>
        <w:tc>
          <w:tcPr>
            <w:tcW w:w="0" w:type="dxa"/>
            <w:vAlign w:val="bottom"/>
          </w:tcPr>
          <w:p>
            <w:pPr>
              <w:spacing w:after="0"/>
              <w:rPr>
                <w:sz w:val="1"/>
                <w:szCs w:val="1"/>
                <w:color w:val="auto"/>
              </w:rPr>
            </w:pPr>
          </w:p>
        </w:tc>
      </w:tr>
      <w:tr>
        <w:trPr>
          <w:trHeight w:val="229"/>
        </w:trPr>
        <w:tc>
          <w:tcPr>
            <w:tcW w:w="7300" w:type="dxa"/>
            <w:vAlign w:val="bottom"/>
          </w:tcPr>
          <w:p>
            <w:pPr>
              <w:ind w:left="76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52,511,201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15,748,219</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Accrued liabilities, excluding dividends declared and short-term debt</w:t>
            </w: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11,002,238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1,195,477</w:t>
            </w:r>
          </w:p>
        </w:tc>
        <w:tc>
          <w:tcPr>
            <w:tcW w:w="0" w:type="dxa"/>
            <w:vAlign w:val="bottom"/>
          </w:tcPr>
          <w:p>
            <w:pPr>
              <w:spacing w:after="0"/>
              <w:rPr>
                <w:sz w:val="1"/>
                <w:szCs w:val="1"/>
                <w:color w:val="auto"/>
              </w:rPr>
            </w:pPr>
          </w:p>
        </w:tc>
      </w:tr>
      <w:tr>
        <w:trPr>
          <w:trHeight w:val="223"/>
        </w:trPr>
        <w:tc>
          <w:tcPr>
            <w:tcW w:w="7300" w:type="dxa"/>
            <w:vAlign w:val="bottom"/>
            <w:tcBorders>
              <w:bottom w:val="single" w:sz="8" w:color="CCEEFF"/>
            </w:tcBorders>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236,357,565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299,380,991</w:t>
            </w:r>
          </w:p>
        </w:tc>
        <w:tc>
          <w:tcPr>
            <w:tcW w:w="0" w:type="dxa"/>
            <w:vAlign w:val="bottom"/>
          </w:tcPr>
          <w:p>
            <w:pPr>
              <w:spacing w:after="0"/>
              <w:rPr>
                <w:sz w:val="1"/>
                <w:szCs w:val="1"/>
                <w:color w:val="auto"/>
              </w:rPr>
            </w:pPr>
          </w:p>
        </w:tc>
      </w:tr>
      <w:tr>
        <w:trPr>
          <w:trHeight w:val="156"/>
        </w:trPr>
        <w:tc>
          <w:tcPr>
            <w:tcW w:w="7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CASH FLOWS USED FOR INVESTING ACTIVITIES:</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Activity in available-for-sale securities: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340"/>
              <w:spacing w:after="0"/>
              <w:rPr>
                <w:sz w:val="20"/>
                <w:szCs w:val="20"/>
                <w:color w:val="auto"/>
              </w:rPr>
            </w:pPr>
            <w:r>
              <w:rPr>
                <w:rFonts w:ascii="Arial" w:cs="Arial" w:eastAsia="Arial" w:hAnsi="Arial"/>
                <w:sz w:val="18"/>
                <w:szCs w:val="18"/>
                <w:color w:val="auto"/>
              </w:rPr>
              <w:t>Sales proceeds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37,429,595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34,250,068</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and calls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26,110,000</w:t>
            </w:r>
          </w:p>
        </w:tc>
        <w:tc>
          <w:tcPr>
            <w:tcW w:w="0" w:type="dxa"/>
            <w:vAlign w:val="bottom"/>
          </w:tcPr>
          <w:p>
            <w:pPr>
              <w:spacing w:after="0"/>
              <w:rPr>
                <w:sz w:val="1"/>
                <w:szCs w:val="1"/>
                <w:color w:val="auto"/>
              </w:rPr>
            </w:pPr>
          </w:p>
        </w:tc>
      </w:tr>
      <w:tr>
        <w:trPr>
          <w:trHeight w:val="229"/>
        </w:trPr>
        <w:tc>
          <w:tcPr>
            <w:tcW w:w="7300" w:type="dxa"/>
            <w:vAlign w:val="bottom"/>
          </w:tcPr>
          <w:p>
            <w:pPr>
              <w:ind w:left="340"/>
              <w:spacing w:after="0"/>
              <w:rPr>
                <w:sz w:val="20"/>
                <w:szCs w:val="20"/>
                <w:color w:val="auto"/>
              </w:rPr>
            </w:pPr>
            <w:r>
              <w:rPr>
                <w:rFonts w:ascii="Arial" w:cs="Arial" w:eastAsia="Arial" w:hAnsi="Arial"/>
                <w:sz w:val="18"/>
                <w:szCs w:val="18"/>
                <w:color w:val="auto"/>
              </w:rPr>
              <w:t>Purchases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(25,304,476)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(86,228,584)</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equity method investments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00" w:type="dxa"/>
            <w:vAlign w:val="bottom"/>
          </w:tcPr>
          <w:p>
            <w:pPr>
              <w:ind w:left="220"/>
              <w:spacing w:after="0"/>
              <w:rPr>
                <w:sz w:val="20"/>
                <w:szCs w:val="20"/>
                <w:color w:val="auto"/>
              </w:rPr>
            </w:pPr>
            <w:r>
              <w:rPr>
                <w:rFonts w:ascii="Arial" w:cs="Arial" w:eastAsia="Arial" w:hAnsi="Arial"/>
                <w:sz w:val="18"/>
                <w:szCs w:val="18"/>
                <w:color w:val="auto"/>
              </w:rPr>
              <w:t>Plant and equipment additions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(108,475,787)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(44,357,786)</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plant and equipment</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2,550,805</w:t>
            </w:r>
          </w:p>
        </w:tc>
        <w:tc>
          <w:tcPr>
            <w:tcW w:w="0" w:type="dxa"/>
            <w:vAlign w:val="bottom"/>
          </w:tcPr>
          <w:p>
            <w:pPr>
              <w:spacing w:after="0"/>
              <w:rPr>
                <w:sz w:val="1"/>
                <w:szCs w:val="1"/>
                <w:color w:val="auto"/>
              </w:rPr>
            </w:pPr>
          </w:p>
        </w:tc>
      </w:tr>
      <w:tr>
        <w:trPr>
          <w:trHeight w:val="229"/>
        </w:trPr>
        <w:tc>
          <w:tcPr>
            <w:tcW w:w="7300" w:type="dxa"/>
            <w:vAlign w:val="bottom"/>
          </w:tcPr>
          <w:p>
            <w:pPr>
              <w:ind w:left="220"/>
              <w:spacing w:after="0"/>
              <w:rPr>
                <w:sz w:val="20"/>
                <w:szCs w:val="20"/>
                <w:color w:val="auto"/>
              </w:rPr>
            </w:pPr>
            <w:r>
              <w:rPr>
                <w:rFonts w:ascii="Arial" w:cs="Arial" w:eastAsia="Arial" w:hAnsi="Arial"/>
                <w:sz w:val="18"/>
                <w:szCs w:val="18"/>
                <w:color w:val="auto"/>
              </w:rPr>
              <w:t>Acquisition of businesses, net of cash acquired</w:t>
            </w:r>
          </w:p>
        </w:tc>
        <w:tc>
          <w:tcPr>
            <w:tcW w:w="4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(12,023,440)</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in other assets</w:t>
            </w: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(2,310,428)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(2,763,847)</w:t>
            </w:r>
          </w:p>
        </w:tc>
        <w:tc>
          <w:tcPr>
            <w:tcW w:w="0" w:type="dxa"/>
            <w:vAlign w:val="bottom"/>
          </w:tcPr>
          <w:p>
            <w:pPr>
              <w:spacing w:after="0"/>
              <w:rPr>
                <w:sz w:val="1"/>
                <w:szCs w:val="1"/>
                <w:color w:val="auto"/>
              </w:rPr>
            </w:pPr>
          </w:p>
        </w:tc>
      </w:tr>
      <w:tr>
        <w:trPr>
          <w:trHeight w:val="223"/>
        </w:trPr>
        <w:tc>
          <w:tcPr>
            <w:tcW w:w="7300" w:type="dxa"/>
            <w:vAlign w:val="bottom"/>
            <w:tcBorders>
              <w:bottom w:val="single" w:sz="8" w:color="CCEEFF"/>
            </w:tcBorders>
          </w:tcPr>
          <w:p>
            <w:pPr>
              <w:ind w:left="760"/>
              <w:spacing w:after="0"/>
              <w:rPr>
                <w:sz w:val="20"/>
                <w:szCs w:val="20"/>
                <w:color w:val="auto"/>
              </w:rPr>
            </w:pPr>
            <w:r>
              <w:rPr>
                <w:rFonts w:ascii="Arial" w:cs="Arial" w:eastAsia="Arial" w:hAnsi="Arial"/>
                <w:sz w:val="18"/>
                <w:szCs w:val="18"/>
                <w:color w:val="auto"/>
              </w:rPr>
              <w:t>Net cash used for investing activities</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(119,319,147)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(82,462,784)</w:t>
            </w:r>
          </w:p>
        </w:tc>
        <w:tc>
          <w:tcPr>
            <w:tcW w:w="0" w:type="dxa"/>
            <w:vAlign w:val="bottom"/>
          </w:tcPr>
          <w:p>
            <w:pPr>
              <w:spacing w:after="0"/>
              <w:rPr>
                <w:sz w:val="1"/>
                <w:szCs w:val="1"/>
                <w:color w:val="auto"/>
              </w:rPr>
            </w:pPr>
          </w:p>
        </w:tc>
      </w:tr>
      <w:tr>
        <w:trPr>
          <w:trHeight w:val="142"/>
        </w:trPr>
        <w:tc>
          <w:tcPr>
            <w:tcW w:w="7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common stock from stock plan transactions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12,365,103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20,773,874</w:t>
            </w:r>
          </w:p>
        </w:tc>
        <w:tc>
          <w:tcPr>
            <w:tcW w:w="0" w:type="dxa"/>
            <w:vAlign w:val="bottom"/>
          </w:tcPr>
          <w:p>
            <w:pPr>
              <w:spacing w:after="0"/>
              <w:rPr>
                <w:sz w:val="1"/>
                <w:szCs w:val="1"/>
                <w:color w:val="auto"/>
              </w:rPr>
            </w:pPr>
          </w:p>
        </w:tc>
      </w:tr>
      <w:tr>
        <w:trPr>
          <w:trHeight w:val="229"/>
        </w:trPr>
        <w:tc>
          <w:tcPr>
            <w:tcW w:w="7300" w:type="dxa"/>
            <w:vAlign w:val="bottom"/>
          </w:tcPr>
          <w:p>
            <w:pPr>
              <w:ind w:left="220"/>
              <w:spacing w:after="0"/>
              <w:rPr>
                <w:sz w:val="20"/>
                <w:szCs w:val="20"/>
                <w:color w:val="auto"/>
              </w:rPr>
            </w:pPr>
            <w:r>
              <w:rPr>
                <w:rFonts w:ascii="Arial" w:cs="Arial" w:eastAsia="Arial" w:hAnsi="Arial"/>
                <w:sz w:val="18"/>
                <w:szCs w:val="18"/>
                <w:color w:val="auto"/>
              </w:rPr>
              <w:t>Cash dividends paid</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(84,941,178)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(86,902,257)</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Repurchases of common stock</w:t>
            </w: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(83,840,290)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(304,195,755)</w:t>
            </w:r>
          </w:p>
        </w:tc>
        <w:tc>
          <w:tcPr>
            <w:tcW w:w="0" w:type="dxa"/>
            <w:vAlign w:val="bottom"/>
          </w:tcPr>
          <w:p>
            <w:pPr>
              <w:spacing w:after="0"/>
              <w:rPr>
                <w:sz w:val="1"/>
                <w:szCs w:val="1"/>
                <w:color w:val="auto"/>
              </w:rPr>
            </w:pPr>
          </w:p>
        </w:tc>
      </w:tr>
      <w:tr>
        <w:trPr>
          <w:trHeight w:val="223"/>
        </w:trPr>
        <w:tc>
          <w:tcPr>
            <w:tcW w:w="7300" w:type="dxa"/>
            <w:vAlign w:val="bottom"/>
            <w:tcBorders>
              <w:bottom w:val="single" w:sz="8" w:color="CCEEFF"/>
            </w:tcBorders>
          </w:tcPr>
          <w:p>
            <w:pPr>
              <w:ind w:left="760"/>
              <w:spacing w:after="0"/>
              <w:rPr>
                <w:sz w:val="20"/>
                <w:szCs w:val="20"/>
                <w:color w:val="auto"/>
              </w:rPr>
            </w:pPr>
            <w:r>
              <w:rPr>
                <w:rFonts w:ascii="Arial" w:cs="Arial" w:eastAsia="Arial" w:hAnsi="Arial"/>
                <w:sz w:val="18"/>
                <w:szCs w:val="18"/>
                <w:color w:val="auto"/>
              </w:rPr>
              <w:t>Net cash used for financing activities</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(156,416,365)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(370,324,138)</w:t>
            </w:r>
          </w:p>
        </w:tc>
        <w:tc>
          <w:tcPr>
            <w:tcW w:w="0" w:type="dxa"/>
            <w:vAlign w:val="bottom"/>
          </w:tcPr>
          <w:p>
            <w:pPr>
              <w:spacing w:after="0"/>
              <w:rPr>
                <w:sz w:val="1"/>
                <w:szCs w:val="1"/>
                <w:color w:val="auto"/>
              </w:rPr>
            </w:pPr>
          </w:p>
        </w:tc>
      </w:tr>
      <w:tr>
        <w:trPr>
          <w:trHeight w:val="129"/>
        </w:trPr>
        <w:tc>
          <w:tcPr>
            <w:tcW w:w="7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(39,377,947)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(153,405,931)</w:t>
            </w:r>
          </w:p>
        </w:tc>
        <w:tc>
          <w:tcPr>
            <w:tcW w:w="0" w:type="dxa"/>
            <w:vAlign w:val="bottom"/>
          </w:tcPr>
          <w:p>
            <w:pPr>
              <w:spacing w:after="0"/>
              <w:rPr>
                <w:sz w:val="1"/>
                <w:szCs w:val="1"/>
                <w:color w:val="auto"/>
              </w:rPr>
            </w:pPr>
          </w:p>
        </w:tc>
      </w:tr>
      <w:tr>
        <w:trPr>
          <w:trHeight w:val="149"/>
        </w:trPr>
        <w:tc>
          <w:tcPr>
            <w:tcW w:w="73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262,311,670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423,371,036</w:t>
            </w:r>
          </w:p>
        </w:tc>
        <w:tc>
          <w:tcPr>
            <w:tcW w:w="0" w:type="dxa"/>
            <w:vAlign w:val="bottom"/>
          </w:tcPr>
          <w:p>
            <w:pPr>
              <w:spacing w:after="0"/>
              <w:rPr>
                <w:sz w:val="1"/>
                <w:szCs w:val="1"/>
                <w:color w:val="auto"/>
              </w:rPr>
            </w:pPr>
          </w:p>
        </w:tc>
      </w:tr>
      <w:tr>
        <w:trPr>
          <w:trHeight w:val="128"/>
        </w:trPr>
        <w:tc>
          <w:tcPr>
            <w:tcW w:w="7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222,933,723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269,965,105</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6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25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unaudited condensed consolidated financial statements included herein have been prepared by the Company, pursuant to the rules and regulations of the Securities and Exchange Commission. Certain information and footnote disclosures normally included in financial statements prepared in accordance with accounting principles generally accepted in the United States have been condensed or omitted pursuant to such rules and regulations, although the Company believes that the disclosures are adequate to make the information presented not misleading. It is suggested that these unaudited condensed consolidated financial statements be read in conjunction with the financial statements and notes thereto included in the Company's 2021 annual report on Form 10-K. In the opinion of management, the accompanying unaudited condensed consolidated financial statements contain all adjustments, consisting of only a normal and recurring nature, necessary to present fairly the financial position of the Company as of September 30, 2022, and the results of operations and cash flows for the interim periods presented.</w:t>
      </w:r>
    </w:p>
    <w:p>
      <w:pPr>
        <w:spacing w:after="0" w:line="208"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252" w:lineRule="exact"/>
        <w:rPr>
          <w:sz w:val="20"/>
          <w:szCs w:val="20"/>
          <w:color w:val="auto"/>
        </w:rPr>
      </w:pPr>
    </w:p>
    <w:p>
      <w:pPr>
        <w:jc w:val="both"/>
        <w:ind w:left="660"/>
        <w:spacing w:after="0" w:line="245" w:lineRule="auto"/>
        <w:rPr>
          <w:sz w:val="20"/>
          <w:szCs w:val="20"/>
          <w:color w:val="auto"/>
        </w:rPr>
      </w:pPr>
      <w:r>
        <w:rPr>
          <w:rFonts w:ascii="Arial" w:cs="Arial" w:eastAsia="Arial" w:hAnsi="Arial"/>
          <w:sz w:val="18"/>
          <w:szCs w:val="18"/>
          <w:color w:val="auto"/>
        </w:rPr>
        <w:t>Goodwill represents the cost of an acquisition in excess of the fair values assigned to identifiable net assets acquired. The Company recorded Goodwill of: $307.4 million as part of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acquisition in 2013; $3.7 million as part of the acquisition of Vaporsens, Inc. ("Vaporsens") in the second quarter of 2020; $ 0.2 million as part of the acquisition of Air-Craftglass Production BV ("Air-Craftglass") in the third quarter of 2020; $1.0 million as a part of the acquisition of Argil, Inc. ("Argil") in the fourth quarter of 2020; and $2.0 million as part of the acquisition of Guardian Optical Technologies ("Guardian") in the first quarter of 2021. The carrying value of Goodwill as of both September 30, 2022 and December 31, 2021 was $313.9 million and $314.0 million, respectively, as set forth in the table below:</w:t>
      </w:r>
    </w:p>
    <w:p>
      <w:pPr>
        <w:spacing w:after="0" w:line="263" w:lineRule="exact"/>
        <w:rPr>
          <w:sz w:val="20"/>
          <w:szCs w:val="20"/>
          <w:color w:val="auto"/>
        </w:rPr>
      </w:pPr>
    </w:p>
    <w:tbl>
      <w:tblPr>
        <w:tblLayout w:type="fixed"/>
        <w:tblInd w:w="840" w:type="dxa"/>
        <w:tblCellMar>
          <w:top w:w="0" w:type="dxa"/>
          <w:left w:w="0" w:type="dxa"/>
          <w:bottom w:w="0" w:type="dxa"/>
          <w:right w:w="0" w:type="dxa"/>
        </w:tblCellMar>
      </w:tblPr>
      <w:tr>
        <w:trPr>
          <w:trHeight w:val="203"/>
        </w:trPr>
        <w:tc>
          <w:tcPr>
            <w:tcW w:w="7580" w:type="dxa"/>
            <w:vAlign w:val="bottom"/>
            <w:shd w:val="clear" w:color="auto" w:fill="CCEEFF"/>
          </w:tcPr>
          <w:p>
            <w:pPr>
              <w:spacing w:after="0"/>
              <w:rPr>
                <w:sz w:val="17"/>
                <w:szCs w:val="17"/>
                <w:color w:val="auto"/>
              </w:rPr>
            </w:pPr>
          </w:p>
        </w:tc>
        <w:tc>
          <w:tcPr>
            <w:tcW w:w="20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Carrying Amount</w:t>
            </w: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Balance as of December 31, 2021</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313,960,209</w:t>
            </w:r>
          </w:p>
        </w:tc>
      </w:tr>
      <w:tr>
        <w:trPr>
          <w:trHeight w:val="23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5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Divestitures</w:t>
            </w:r>
          </w:p>
        </w:tc>
        <w:tc>
          <w:tcPr>
            <w:tcW w:w="5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Impairments</w:t>
            </w:r>
          </w:p>
        </w:tc>
        <w:tc>
          <w:tcPr>
            <w:tcW w:w="5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(108,265)</w:t>
            </w:r>
          </w:p>
        </w:tc>
      </w:tr>
      <w:tr>
        <w:trPr>
          <w:trHeight w:val="248"/>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September 30, 2022</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313,851,944</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In addition to annual impairment testing, which is performed as of the first day of the fourth quarter, the Company continuously monitors for events and circumstances that could negatively impact the key assumptions in determining fair value of goodwill or other intangible assets thus resulting in the need for interim impairment testing, including long-term revenue growth projections, profitability, discount rates, recent market valuations from transactions by comparable companies, volatility in the Company's market capitalization, and general industry, market and macroeconomic conditions. The impact of COVID-19, the recent microchip shortage, supply chain constraints, inflation, and labor shortages were again considered in the most recently completed quarter, but did not indicate the need for interim impairment testing.</w:t>
      </w:r>
    </w:p>
    <w:p>
      <w:pPr>
        <w:spacing w:after="0" w:line="210"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Company also acquired In-Process Research &amp; Development ("In-Process R &amp; D") as part of the acquisitions of: Vaporsens; Air-Craftglass; Argil; and Guardian, each of which has been previously disclosed.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patents and intangible assets and related change in carrying values are set forth in the tables below:</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9" w:name="page10"/>
    <w:bookmarkEnd w:id="9"/>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Other Intangible Assets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132"/>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Assumed</w:t>
            </w:r>
          </w:p>
        </w:tc>
        <w:tc>
          <w:tcPr>
            <w:tcW w:w="0" w:type="dxa"/>
            <w:vAlign w:val="bottom"/>
          </w:tcPr>
          <w:p>
            <w:pPr>
              <w:spacing w:after="0"/>
              <w:rPr>
                <w:sz w:val="1"/>
                <w:szCs w:val="1"/>
                <w:color w:val="auto"/>
              </w:rPr>
            </w:pPr>
          </w:p>
        </w:tc>
      </w:tr>
      <w:tr>
        <w:trPr>
          <w:trHeight w:val="185"/>
        </w:trPr>
        <w:tc>
          <w:tcPr>
            <w:tcW w:w="40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39,510,640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(27,796,894)</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11,713,746</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Vaporsens Technology Licenses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351,290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(81,911)</w:t>
            </w: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269,379</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70"/>
        </w:trPr>
        <w:tc>
          <w:tcPr>
            <w:tcW w:w="4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 $</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52,000,000</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180,000,000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(135,000,000)</w:t>
            </w: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45,000,000</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Existing Customer Platforms</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43,000,000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(38,700,000)</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4,300,000</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Exclusive Licensing Agreement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96,000,000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ind w:left="11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96,000,000</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Vaporsens In-Process R&amp;D</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11,000,000</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Argil In-Process R&amp;D</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6,278,132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ind w:left="11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6,278,132</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Air-Craftglass In-Process R&amp;D</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1,507,778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1,507,778</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Guardian Trade Names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1,300,000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ind w:left="11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1,300,000</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Guardian In-Process R&amp;D</w:t>
            </w:r>
          </w:p>
        </w:tc>
        <w:tc>
          <w:tcPr>
            <w:tcW w:w="1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6,800,000</w:t>
            </w:r>
          </w:p>
        </w:tc>
        <w:tc>
          <w:tcPr>
            <w:tcW w:w="1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6,800,000</w:t>
            </w:r>
          </w:p>
        </w:tc>
        <w:tc>
          <w:tcPr>
            <w:tcW w:w="40" w:type="dxa"/>
            <w:vAlign w:val="bottom"/>
            <w:tcBorders>
              <w:bottom w:val="single" w:sz="8" w:color="auto"/>
            </w:tcBorders>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Total Other Intangible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397,885,910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(173,700,000)</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224,185,910</w:t>
            </w:r>
          </w:p>
        </w:tc>
        <w:tc>
          <w:tcPr>
            <w:tcW w:w="40" w:type="dxa"/>
            <w:vAlign w:val="bottom"/>
            <w:tcBorders>
              <w:bottom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437,747,840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(201,578,805)</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236,169,035</w:t>
            </w:r>
          </w:p>
        </w:tc>
        <w:tc>
          <w:tcPr>
            <w:tcW w:w="40" w:type="dxa"/>
            <w:vAlign w:val="bottom"/>
            <w:tcBorders>
              <w:bottom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20" w:type="dxa"/>
            <w:vAlign w:val="bottom"/>
            <w:vMerge w:val="restart"/>
          </w:tcPr>
          <w:p>
            <w:pPr>
              <w:spacing w:after="0"/>
              <w:rPr>
                <w:sz w:val="20"/>
                <w:szCs w:val="20"/>
                <w:color w:val="auto"/>
              </w:rPr>
            </w:pPr>
            <w:r>
              <w:rPr>
                <w:rFonts w:ascii="Arial" w:cs="Arial" w:eastAsia="Arial" w:hAnsi="Arial"/>
                <w:sz w:val="18"/>
                <w:szCs w:val="18"/>
                <w:color w:val="auto"/>
              </w:rPr>
              <w:t>As of December 31, 2021:</w:t>
            </w: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1"/>
        </w:trPr>
        <w:tc>
          <w:tcPr>
            <w:tcW w:w="4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02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Other Intangible Assets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92"/>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Net</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Assumed Useful</w:t>
            </w:r>
          </w:p>
        </w:tc>
        <w:tc>
          <w:tcPr>
            <w:tcW w:w="0" w:type="dxa"/>
            <w:vAlign w:val="bottom"/>
          </w:tcPr>
          <w:p>
            <w:pPr>
              <w:spacing w:after="0"/>
              <w:rPr>
                <w:sz w:val="1"/>
                <w:szCs w:val="1"/>
                <w:color w:val="auto"/>
              </w:rPr>
            </w:pPr>
          </w:p>
        </w:tc>
      </w:tr>
      <w:tr>
        <w:trPr>
          <w:trHeight w:val="189"/>
        </w:trPr>
        <w:tc>
          <w:tcPr>
            <w:tcW w:w="40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39,362,187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(26,506,155)</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12,856,032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Vaporsens Technology Licenses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351,290</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(50,107)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301,183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70"/>
        </w:trPr>
        <w:tc>
          <w:tcPr>
            <w:tcW w:w="4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52,000,000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180,000,000</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(123,750,000)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56,250,000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Existing Customer Platforms</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43,000,000</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(35,475,000)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Exclusive Licensing Agreement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96,000,000</w:t>
            </w:r>
          </w:p>
        </w:tc>
        <w:tc>
          <w:tcPr>
            <w:tcW w:w="18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96,000,000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Vaporsens In-Process R&amp;D</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11,000,000</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tcPr>
          <w:p>
            <w:pPr>
              <w:ind w:left="200"/>
              <w:spacing w:after="0"/>
              <w:rPr>
                <w:sz w:val="20"/>
                <w:szCs w:val="20"/>
                <w:color w:val="auto"/>
              </w:rPr>
            </w:pPr>
            <w:r>
              <w:rPr>
                <w:rFonts w:ascii="Arial" w:cs="Arial" w:eastAsia="Arial" w:hAnsi="Arial"/>
                <w:sz w:val="18"/>
                <w:szCs w:val="18"/>
                <w:color w:val="auto"/>
              </w:rPr>
              <w:t>Argil In-Process R&amp;D</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6,278,132</w:t>
            </w:r>
          </w:p>
        </w:tc>
        <w:tc>
          <w:tcPr>
            <w:tcW w:w="18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6,278,132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Air-Craftglass In-Process R&amp;D</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1,507,778</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1,507,778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Arial" w:cs="Arial" w:eastAsia="Arial" w:hAnsi="Arial"/>
                <w:sz w:val="18"/>
                <w:szCs w:val="18"/>
                <w:color w:val="auto"/>
              </w:rPr>
              <w:t>Guardian Trade Names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1,384,857</w:t>
            </w:r>
          </w:p>
        </w:tc>
        <w:tc>
          <w:tcPr>
            <w:tcW w:w="18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1,384,857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Guardian In-Process R&amp;D</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7,243,860</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7,243,860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Total Other Intangible Assets</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398,414,627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(159,225,000)</w:t>
            </w:r>
          </w:p>
        </w:tc>
        <w:tc>
          <w:tcPr>
            <w:tcW w:w="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239,189,627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438,128,104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(185,781,262)</w:t>
            </w:r>
          </w:p>
        </w:tc>
        <w:tc>
          <w:tcPr>
            <w:tcW w:w="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252,346,842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Amortization expense on patents and intangible assets was approximately $5.5 million and $16.6 million during the three and nine months ended September 30, 2022, respectively, and approximately $5.5 million and $16.7 million for the same periods ended September 30, 2021, respectively.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Excluding the impact of any future acquisitions, the Company estimates amortization expense for the year ending December 31, 2022 to be approximately $22 million, for the year ending December 31, 2023 to be approximately $ 20 million, for the year ending December 31, 2024 to be approximately $16 million, and for each of the years ending December 31, 2025 and December 31, 2026 to be approximately $12 million.</w:t>
      </w:r>
    </w:p>
    <w:p>
      <w:pPr>
        <w:spacing w:after="0" w:line="200" w:lineRule="exact"/>
        <w:rPr>
          <w:sz w:val="20"/>
          <w:szCs w:val="20"/>
          <w:color w:val="auto"/>
        </w:rPr>
      </w:pPr>
    </w:p>
    <w:p>
      <w:pPr>
        <w:spacing w:after="0" w:line="246"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158"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 xml:space="preserve">The Company follows the provisions of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with respect to a company’s use of fair-value measurements, including the effect of such measurements on earnings. The cost of securities sold is based on the specific identification method.</w:t>
      </w:r>
    </w:p>
    <w:p>
      <w:pPr>
        <w:spacing w:after="0" w:line="10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determines the fair value of its government securities, asset-backed securities, municipal bonds, and corporate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103"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Company's certificates of deposit are classified as available for sale and are considered as Level 1 assets. These investments are carried at cost, which approximates fair value.</w:t>
      </w:r>
    </w:p>
    <w:p>
      <w:pPr>
        <w:spacing w:after="0" w:line="180"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 xml:space="preserve">The Company also periodically makes technology investments in certain non-consolidated third parties. These equity investments are accounted for in accordance with ASC 323, </w:t>
      </w:r>
      <w:r>
        <w:rPr>
          <w:rFonts w:ascii="Arial" w:cs="Arial" w:eastAsia="Arial" w:hAnsi="Arial"/>
          <w:sz w:val="18"/>
          <w:szCs w:val="18"/>
          <w:i w:val="1"/>
          <w:iCs w:val="1"/>
          <w:color w:val="auto"/>
        </w:rPr>
        <w:t>Investments - Equity Method and Joint Ventures</w:t>
      </w:r>
      <w:r>
        <w:rPr>
          <w:rFonts w:ascii="Arial" w:cs="Arial" w:eastAsia="Arial" w:hAnsi="Arial"/>
          <w:sz w:val="18"/>
          <w:szCs w:val="18"/>
          <w:color w:val="auto"/>
        </w:rPr>
        <w:t xml:space="preserve">. The Company's share of the earnings or losses of non-controlled affiliates, over which the Company exercises significant influence (generally a 20% to 50% ownership interest), is included in the consolidated operating results using the equity method of accounting. These equity method investments, over which the Company exercises significant influence, totaled approximately $39.7 million as of September 30, 2022 (including approximately $11.1 million of investments accounted for under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xml:space="preserve"> as of December 31, 2021, for which the Company obtained significant influence during 2022)</w:t>
      </w:r>
      <w:r>
        <w:rPr>
          <w:rFonts w:ascii="Arial" w:cs="Arial" w:eastAsia="Arial" w:hAnsi="Arial"/>
          <w:sz w:val="18"/>
          <w:szCs w:val="18"/>
          <w:i w:val="1"/>
          <w:iCs w:val="1"/>
          <w:color w:val="auto"/>
        </w:rPr>
        <w:t>.</w:t>
      </w:r>
      <w:r>
        <w:rPr>
          <w:rFonts w:ascii="Arial" w:cs="Arial" w:eastAsia="Arial" w:hAnsi="Arial"/>
          <w:sz w:val="18"/>
          <w:szCs w:val="18"/>
          <w:color w:val="auto"/>
        </w:rPr>
        <w:t xml:space="preserve"> On June 3, 2022, the Company purchased an equity investment in GreenMarbles for $20.0 million, in addition to an issuance of $5.0 million worth of common stock. GreenMarbles is a leading provider of sustainable solutions for integration into properties. The Company did not have equity method investments as of December 31, 2021. These investments are classified within Equity Method Investments in the condensed consolidated balance sheets.</w:t>
      </w:r>
    </w:p>
    <w:p>
      <w:pPr>
        <w:spacing w:after="0" w:line="20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The Company has made technology investments in certain non-consolidated affiliates for ownership interests of less than 20% (where the Company does not have the ability to exercise significant influence). These equity investments are accounted for in accordance with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For these equity investments that do not have readily determinable fair values, and where the Company has not identified any observable events that would cause adjustment of the valuation to date, are then held at cost. These technology investments totaled approximately $14.1 million and $16.8 million as of September 30, 2022 and December 31, 2021, respectively. As of September 30, 2022, $1.6 million of these investments are classified within Short-Term Investments in the condensed consolidated balance sheets. $12.5 million and $16.8 million of these investments are classified within Long-Term Investments in the condensed consolidated balance sheets as of September 30, 2022 and December 31, 2021, respectively.</w:t>
      </w:r>
    </w:p>
    <w:p>
      <w:pPr>
        <w:spacing w:after="0" w:line="113"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Assets or liabilities that have recurring fair value measurements are shown below as of September 30, 2022 and December 31, 2021:</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1" w:name="page12"/>
    <w:bookmarkEnd w:id="11"/>
    <w:p>
      <w:pPr>
        <w:jc w:val="center"/>
        <w:ind w:right="66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920" w:type="dxa"/>
            <w:vAlign w:val="bottom"/>
            <w:tcBorders>
              <w:bottom w:val="single" w:sz="8" w:color="auto"/>
            </w:tcBorders>
            <w:gridSpan w:val="12"/>
          </w:tcPr>
          <w:p>
            <w:pPr>
              <w:jc w:val="center"/>
              <w:ind w:right="16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7"/>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right="300"/>
              <w:spacing w:after="0" w:line="147" w:lineRule="exact"/>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2"/>
                <w:szCs w:val="12"/>
                <w:color w:val="auto"/>
              </w:rPr>
            </w:pPr>
          </w:p>
        </w:tc>
        <w:tc>
          <w:tcPr>
            <w:tcW w:w="14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9"/>
              </w:rPr>
              <w:t>Total as of</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rPr>
              <w:t>Active Markets for</w:t>
            </w:r>
          </w:p>
        </w:tc>
        <w:tc>
          <w:tcPr>
            <w:tcW w:w="140" w:type="dxa"/>
            <w:vAlign w:val="bottom"/>
          </w:tcPr>
          <w:p>
            <w:pPr>
              <w:spacing w:after="0"/>
              <w:rPr>
                <w:sz w:val="12"/>
                <w:szCs w:val="12"/>
                <w:color w:val="auto"/>
              </w:rPr>
            </w:pP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Observable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85"/>
        </w:trPr>
        <w:tc>
          <w:tcPr>
            <w:tcW w:w="28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Identical Assets</w:t>
            </w:r>
          </w:p>
        </w:tc>
        <w:tc>
          <w:tcPr>
            <w:tcW w:w="160" w:type="dxa"/>
            <w:vAlign w:val="bottom"/>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9"/>
              </w:rPr>
              <w:t>Inputs</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6"/>
                <w:szCs w:val="16"/>
                <w:color w:val="auto"/>
              </w:rPr>
            </w:pPr>
          </w:p>
        </w:tc>
        <w:tc>
          <w:tcPr>
            <w:tcW w:w="16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4"/>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222,933,723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222,933,723</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1,732,547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1,732,547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5,446,048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5,446,048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2,209,331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2,209,331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3,509,688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3,509,688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1,230,180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1,230,180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 Backed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20,942,859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20,942,859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238,793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238,793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34,522,617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34,522,617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37,693,740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37,693,740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48,946,743</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48,946,743</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379,406,269</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226,135,243</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153,271,026</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color w:val="auto"/>
              </w:rPr>
              <w:t>As of December 31, 2021:</w:t>
            </w: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6"/>
        </w:trPr>
        <w:tc>
          <w:tcPr>
            <w:tcW w:w="2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60" w:type="dxa"/>
            <w:vAlign w:val="bottom"/>
            <w:tcBorders>
              <w:bottom w:val="single" w:sz="8" w:color="auto"/>
            </w:tcBorders>
            <w:gridSpan w:val="11"/>
          </w:tcPr>
          <w:p>
            <w:pPr>
              <w:ind w:left="66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right="340"/>
              <w:spacing w:after="0" w:line="147" w:lineRule="exact"/>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2"/>
                <w:szCs w:val="12"/>
                <w:color w:val="auto"/>
              </w:rPr>
            </w:pPr>
          </w:p>
        </w:tc>
        <w:tc>
          <w:tcPr>
            <w:tcW w:w="144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rPr>
              <w:t>Total as of</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rPr>
              <w:t>Active Markets for</w:t>
            </w:r>
          </w:p>
        </w:tc>
        <w:tc>
          <w:tcPr>
            <w:tcW w:w="140" w:type="dxa"/>
            <w:vAlign w:val="bottom"/>
          </w:tcPr>
          <w:p>
            <w:pPr>
              <w:spacing w:after="0"/>
              <w:rPr>
                <w:sz w:val="12"/>
                <w:szCs w:val="12"/>
                <w:color w:val="auto"/>
              </w:rPr>
            </w:pPr>
          </w:p>
        </w:tc>
        <w:tc>
          <w:tcPr>
            <w:tcW w:w="14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Observable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85"/>
        </w:trPr>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Identical Assets</w:t>
            </w:r>
          </w:p>
        </w:tc>
        <w:tc>
          <w:tcPr>
            <w:tcW w:w="16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9"/>
              </w:rPr>
              <w:t>Inputs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9"/>
              </w:rPr>
              <w:t>Inputs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6"/>
                <w:szCs w:val="16"/>
                <w:color w:val="auto"/>
              </w:rPr>
            </w:pPr>
          </w:p>
        </w:tc>
        <w:tc>
          <w:tcPr>
            <w:tcW w:w="16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4"/>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262,311,670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262,311,670</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1,507,770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1,507,770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2,018,440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2,018,440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1,897,402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1,897,402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25,799,513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25,799,513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2,056,710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2,056,710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40,354,929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40,354,929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Governmental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47,944,036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47,944,036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74,720,480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74,720,480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458,610,950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267,773,552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190,837,398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580"/>
          </w:cols>
          <w:pgMar w:left="98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80645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type w:val="continuous"/>
        </w:sectPr>
      </w:pPr>
    </w:p>
    <w:bookmarkStart w:id="12" w:name="page13"/>
    <w:bookmarkEnd w:id="12"/>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amortized cost, unrealized gains and losses, and market value of investment securities are shown as of September 30, 2022 and December 31, 2021:</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Unrealized</w:t>
            </w: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3"/>
          </w:tcPr>
          <w:p>
            <w:pPr>
              <w:ind w:left="30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3"/>
          </w:tcPr>
          <w:p>
            <w:pPr>
              <w:ind w:left="180"/>
              <w:spacing w:after="0"/>
              <w:rPr>
                <w:sz w:val="20"/>
                <w:szCs w:val="20"/>
                <w:color w:val="auto"/>
              </w:rPr>
            </w:pPr>
            <w:r>
              <w:rPr>
                <w:rFonts w:ascii="Arial" w:cs="Arial" w:eastAsia="Arial" w:hAnsi="Arial"/>
                <w:sz w:val="14"/>
                <w:szCs w:val="14"/>
                <w:b w:val="1"/>
                <w:bCs w:val="1"/>
                <w:color w:val="auto"/>
              </w:rPr>
              <w:t>Gains</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ind w:right="352"/>
              <w:spacing w:after="0"/>
              <w:rPr>
                <w:sz w:val="20"/>
                <w:szCs w:val="20"/>
                <w:color w:val="auto"/>
              </w:rPr>
            </w:pPr>
            <w:r>
              <w:rPr>
                <w:rFonts w:ascii="Arial" w:cs="Arial" w:eastAsia="Arial" w:hAnsi="Arial"/>
                <w:sz w:val="14"/>
                <w:szCs w:val="14"/>
                <w:b w:val="1"/>
                <w:bCs w:val="1"/>
                <w:color w:val="auto"/>
              </w:rPr>
              <w:t>Market 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1,750,623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(18,076)</w:t>
            </w:r>
          </w:p>
        </w:tc>
        <w:tc>
          <w:tcPr>
            <w:tcW w:w="3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1,732,547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5,600,869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(154,821)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5,446,048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2,211,230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2,209,331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3,549,066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1,230,180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1,230,180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Asset Backed Securities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21,716,039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(773,180)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20,942,859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39,223,627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(4,701,010)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34,522,617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41,116,603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(3,422,863)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37,693,740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Municipal Bonds</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54,202,144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186,625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(5,442,026)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48,946,743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170,850,381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186,625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(14,564,460)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156,472,546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As of December 31, 2021:</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4"/>
        </w:trPr>
        <w:tc>
          <w:tcPr>
            <w:tcW w:w="33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Unrealized</w:t>
            </w: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3"/>
          </w:tcPr>
          <w:p>
            <w:pPr>
              <w:ind w:left="34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3"/>
          </w:tcPr>
          <w:p>
            <w:pPr>
              <w:ind w:left="220"/>
              <w:spacing w:after="0"/>
              <w:rPr>
                <w:sz w:val="20"/>
                <w:szCs w:val="20"/>
                <w:color w:val="auto"/>
              </w:rPr>
            </w:pPr>
            <w:r>
              <w:rPr>
                <w:rFonts w:ascii="Arial" w:cs="Arial" w:eastAsia="Arial" w:hAnsi="Arial"/>
                <w:sz w:val="14"/>
                <w:szCs w:val="14"/>
                <w:b w:val="1"/>
                <w:bCs w:val="1"/>
                <w:color w:val="auto"/>
              </w:rPr>
              <w:t>Gains</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ind w:right="372"/>
              <w:spacing w:after="0"/>
              <w:rPr>
                <w:sz w:val="20"/>
                <w:szCs w:val="20"/>
                <w:color w:val="auto"/>
              </w:rPr>
            </w:pPr>
            <w:r>
              <w:rPr>
                <w:rFonts w:ascii="Arial" w:cs="Arial" w:eastAsia="Arial" w:hAnsi="Arial"/>
                <w:sz w:val="14"/>
                <w:szCs w:val="14"/>
                <w:b w:val="1"/>
                <w:bCs w:val="1"/>
                <w:color w:val="auto"/>
              </w:rPr>
              <w:t>Market 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1,500,543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7,227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1,507,770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1,994,639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2,018,440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1,897,402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1,897,402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Long-Term Investments: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26,352,630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34,771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(587,888)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25,799,513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2,001,714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2,056,710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40,716,866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168,416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(530,353)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40,354,929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48,385,672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(497,575)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47,944,036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Municipal Bonds</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72,175,568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2,747,964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(203,052)</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74,720,480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195,025,034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3,093,114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(1,818,868)</w:t>
            </w:r>
          </w:p>
        </w:tc>
        <w:tc>
          <w:tcPr>
            <w:tcW w:w="8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196,299,280</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investments as of September 30, 2022,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Unrealized Losses</w:t>
            </w:r>
          </w:p>
        </w:tc>
        <w:tc>
          <w:tcPr>
            <w:tcW w:w="140" w:type="dxa"/>
            <w:vAlign w:val="bottom"/>
          </w:tcPr>
          <w:p>
            <w:pPr>
              <w:spacing w:after="0"/>
              <w:rPr>
                <w:sz w:val="14"/>
                <w:szCs w:val="14"/>
                <w:color w:val="auto"/>
              </w:rPr>
            </w:pPr>
          </w:p>
        </w:tc>
        <w:tc>
          <w:tcPr>
            <w:tcW w:w="1820" w:type="dxa"/>
            <w:vAlign w:val="bottom"/>
          </w:tcPr>
          <w:p>
            <w:pPr>
              <w:jc w:val="right"/>
              <w:ind w:right="97"/>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2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right"/>
              <w:ind w:right="477"/>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8,189,761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112,298,649</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duration of greater than one year</w:t>
            </w:r>
          </w:p>
        </w:tc>
        <w:tc>
          <w:tcPr>
            <w:tcW w:w="6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6,374,699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42,011,693</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14,564,460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154,310,342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Unrealized losses on investments as of December 31, 2021, are as follows:</w:t>
      </w:r>
    </w:p>
    <w:p>
      <w:pPr>
        <w:spacing w:after="0" w:line="4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Unrealized Losses</w:t>
            </w:r>
          </w:p>
        </w:tc>
        <w:tc>
          <w:tcPr>
            <w:tcW w:w="140" w:type="dxa"/>
            <w:vAlign w:val="bottom"/>
          </w:tcPr>
          <w:p>
            <w:pPr>
              <w:spacing w:after="0"/>
              <w:rPr>
                <w:sz w:val="14"/>
                <w:szCs w:val="14"/>
                <w:color w:val="auto"/>
              </w:rPr>
            </w:pPr>
          </w:p>
        </w:tc>
        <w:tc>
          <w:tcPr>
            <w:tcW w:w="1820" w:type="dxa"/>
            <w:vAlign w:val="bottom"/>
          </w:tcPr>
          <w:p>
            <w:pPr>
              <w:jc w:val="right"/>
              <w:ind w:right="97"/>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2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right"/>
              <w:ind w:right="477"/>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1,244,053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94,417,123</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duration of greater than one year</w:t>
            </w:r>
          </w:p>
        </w:tc>
        <w:tc>
          <w:tcPr>
            <w:tcW w:w="6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574,815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6,875,230</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1,818,868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101,292,353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Effective January 1, 2020, the Company adopted ASU 2016-13, </w:t>
      </w:r>
      <w:r>
        <w:rPr>
          <w:rFonts w:ascii="Arial" w:cs="Arial" w:eastAsia="Arial" w:hAnsi="Arial"/>
          <w:sz w:val="18"/>
          <w:szCs w:val="18"/>
          <w:i w:val="1"/>
          <w:iCs w:val="1"/>
          <w:color w:val="auto"/>
        </w:rPr>
        <w:t>Financial Instruments - Credit Losses (Topic 326),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Credit Losses on Financial Instrument</w:t>
      </w:r>
      <w:r>
        <w:rPr>
          <w:rFonts w:ascii="Arial" w:cs="Arial" w:eastAsia="Arial" w:hAnsi="Arial"/>
          <w:sz w:val="18"/>
          <w:szCs w:val="18"/>
          <w:color w:val="auto"/>
        </w:rPr>
        <w:t>s. The guidance modifies the impairment model for available-for-sale debt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a simplified accounting model for purchased financial assets with credit deterioration since their origination. The Company utilized the guidance provided by ASC 326 to determine whether any of the available-for-sale debt securities held by the Company were impaired. No investments were considered to be impaired during the periods presented. The Company has the intention and current ability to hold its debt investments until any amortized cost basis has been recovered.</w:t>
      </w:r>
    </w:p>
    <w:p>
      <w:pPr>
        <w:sectPr>
          <w:pgSz w:w="11900" w:h="16838" w:orient="portrait"/>
          <w:cols w:equalWidth="0" w:num="1">
            <w:col w:w="11240"/>
          </w:cols>
          <w:pgMar w:left="320" w:top="364" w:right="339" w:bottom="1440" w:gutter="0" w:footer="0" w:header="0"/>
        </w:sectPr>
      </w:pPr>
    </w:p>
    <w:p>
      <w:pPr>
        <w:spacing w:after="0" w:line="3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Fixed income securities as of September 30, 2022 have contractual maturities as follows:</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Due within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623189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31890" cy="145415"/>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Due between one and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12065</wp:posOffset>
            </wp:positionV>
            <wp:extent cx="623189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31890" cy="14605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Due over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consisted of the following at the respective balance sheet dates:</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September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29" w:hanging="929"/>
        <w:spacing w:after="0"/>
        <w:tabs>
          <w:tab w:leader="none" w:pos="929" w:val="left"/>
        </w:tabs>
        <w:numPr>
          <w:ilvl w:val="0"/>
          <w:numId w:val="8"/>
        </w:numPr>
        <w:rPr>
          <w:rFonts w:ascii="Arial" w:cs="Arial" w:eastAsia="Arial" w:hAnsi="Arial"/>
          <w:sz w:val="17"/>
          <w:szCs w:val="17"/>
          <w:color w:val="auto"/>
        </w:rPr>
      </w:pPr>
      <w:r>
        <w:rPr>
          <w:rFonts w:ascii="Arial" w:cs="Arial" w:eastAsia="Arial" w:hAnsi="Arial"/>
          <w:sz w:val="17"/>
          <w:szCs w:val="17"/>
          <w:color w:val="auto"/>
        </w:rPr>
        <w:t>12,897,614</w:t>
      </w:r>
    </w:p>
    <w:p>
      <w:pPr>
        <w:spacing w:after="0" w:line="43" w:lineRule="exact"/>
        <w:rPr>
          <w:rFonts w:ascii="Arial" w:cs="Arial" w:eastAsia="Arial" w:hAnsi="Arial"/>
          <w:sz w:val="17"/>
          <w:szCs w:val="17"/>
          <w:color w:val="auto"/>
        </w:rPr>
      </w:pPr>
    </w:p>
    <w:p>
      <w:pPr>
        <w:ind w:left="929"/>
        <w:spacing w:after="0"/>
        <w:rPr>
          <w:rFonts w:ascii="Arial" w:cs="Arial" w:eastAsia="Arial" w:hAnsi="Arial"/>
          <w:sz w:val="17"/>
          <w:szCs w:val="17"/>
          <w:color w:val="auto"/>
        </w:rPr>
      </w:pPr>
      <w:r>
        <w:rPr>
          <w:rFonts w:ascii="Arial" w:cs="Arial" w:eastAsia="Arial" w:hAnsi="Arial"/>
          <w:sz w:val="17"/>
          <w:szCs w:val="17"/>
          <w:color w:val="auto"/>
        </w:rPr>
        <w:t>90,409,878</w:t>
      </w:r>
    </w:p>
    <w:p>
      <w:pPr>
        <w:spacing w:after="0" w:line="34" w:lineRule="exact"/>
        <w:rPr>
          <w:rFonts w:ascii="Arial" w:cs="Arial" w:eastAsia="Arial" w:hAnsi="Arial"/>
          <w:sz w:val="17"/>
          <w:szCs w:val="17"/>
          <w:color w:val="auto"/>
        </w:rPr>
      </w:pPr>
    </w:p>
    <w:p>
      <w:pPr>
        <w:ind w:left="929"/>
        <w:spacing w:after="0"/>
        <w:rPr>
          <w:rFonts w:ascii="Arial" w:cs="Arial" w:eastAsia="Arial" w:hAnsi="Arial"/>
          <w:sz w:val="17"/>
          <w:szCs w:val="17"/>
          <w:color w:val="auto"/>
        </w:rPr>
      </w:pPr>
      <w:r>
        <w:rPr>
          <w:rFonts w:ascii="Arial" w:cs="Arial" w:eastAsia="Arial" w:hAnsi="Arial"/>
          <w:sz w:val="17"/>
          <w:szCs w:val="17"/>
          <w:color w:val="auto"/>
        </w:rPr>
        <w:t>51,934,874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12172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8" w:lineRule="exact"/>
        <w:rPr>
          <w:sz w:val="20"/>
          <w:szCs w:val="20"/>
          <w:color w:val="auto"/>
        </w:rPr>
      </w:pPr>
    </w:p>
    <w:p>
      <w:pPr>
        <w:ind w:left="829" w:hanging="829"/>
        <w:spacing w:after="0"/>
        <w:tabs>
          <w:tab w:leader="none" w:pos="829" w:val="left"/>
        </w:tabs>
        <w:numPr>
          <w:ilvl w:val="0"/>
          <w:numId w:val="9"/>
        </w:numPr>
        <w:rPr>
          <w:rFonts w:ascii="Arial" w:cs="Arial" w:eastAsia="Arial" w:hAnsi="Arial"/>
          <w:sz w:val="17"/>
          <w:szCs w:val="17"/>
          <w:color w:val="auto"/>
        </w:rPr>
      </w:pPr>
      <w:r>
        <w:rPr>
          <w:rFonts w:ascii="Arial" w:cs="Arial" w:eastAsia="Arial" w:hAnsi="Arial"/>
          <w:sz w:val="17"/>
          <w:szCs w:val="17"/>
          <w:color w:val="auto"/>
        </w:rPr>
        <w:t>155,242,366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2172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50800</wp:posOffset>
            </wp:positionV>
            <wp:extent cx="12172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9"/>
        <w:spacing w:after="0"/>
        <w:rPr>
          <w:sz w:val="20"/>
          <w:szCs w:val="20"/>
          <w:color w:val="auto"/>
        </w:rPr>
      </w:pPr>
      <w:r>
        <w:rPr>
          <w:rFonts w:ascii="Arial" w:cs="Arial" w:eastAsia="Arial" w:hAnsi="Arial"/>
          <w:sz w:val="14"/>
          <w:szCs w:val="14"/>
          <w:b w:val="1"/>
          <w:bCs w:val="1"/>
          <w:color w:val="auto"/>
        </w:rPr>
        <w:t>December 31, 2021</w:t>
      </w:r>
    </w:p>
    <w:p>
      <w:pPr>
        <w:spacing w:after="0" w:line="35" w:lineRule="exact"/>
        <w:rPr>
          <w:sz w:val="20"/>
          <w:szCs w:val="20"/>
          <w:color w:val="auto"/>
        </w:rPr>
      </w:pPr>
    </w:p>
    <w:p>
      <w:pPr>
        <w:sectPr>
          <w:pgSz w:w="11900" w:h="16838" w:orient="portrait"/>
          <w:cols w:equalWidth="0" w:num="2">
            <w:col w:w="8420" w:space="151"/>
            <w:col w:w="2669"/>
          </w:cols>
          <w:pgMar w:left="320" w:top="364" w:right="339" w:bottom="1440" w:gutter="0" w:footer="0" w:header="0"/>
          <w:type w:val="continuous"/>
        </w:sectPr>
      </w:pPr>
    </w:p>
    <w:tbl>
      <w:tblPr>
        <w:tblLayout w:type="fixed"/>
        <w:tblInd w:w="660" w:type="dxa"/>
        <w:tblCellMar>
          <w:top w:w="0" w:type="dxa"/>
          <w:left w:w="0" w:type="dxa"/>
          <w:bottom w:w="0" w:type="dxa"/>
          <w:right w:w="0" w:type="dxa"/>
        </w:tblCellMar>
      </w:tblPr>
      <w:tr>
        <w:trPr>
          <w:trHeight w:val="225"/>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40" w:type="dxa"/>
            <w:vAlign w:val="bottom"/>
            <w:tcBorders>
              <w:top w:val="single" w:sz="8" w:color="auto"/>
            </w:tcBorders>
            <w:shd w:val="clear" w:color="auto" w:fill="BFE4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315,110,961</w:t>
            </w:r>
          </w:p>
        </w:tc>
        <w:tc>
          <w:tcPr>
            <w:tcW w:w="100" w:type="dxa"/>
            <w:vAlign w:val="bottom"/>
            <w:tcBorders>
              <w:top w:val="single" w:sz="8" w:color="BFE4FF"/>
            </w:tcBorders>
            <w:shd w:val="clear" w:color="auto" w:fill="BFE4FF"/>
          </w:tcPr>
          <w:p>
            <w:pPr>
              <w:spacing w:after="0"/>
              <w:rPr>
                <w:sz w:val="19"/>
                <w:szCs w:val="19"/>
                <w:color w:val="auto"/>
              </w:rPr>
            </w:pPr>
          </w:p>
        </w:tc>
        <w:tc>
          <w:tcPr>
            <w:tcW w:w="360" w:type="dxa"/>
            <w:vAlign w:val="bottom"/>
            <w:tcBorders>
              <w:top w:val="single" w:sz="8" w:color="auto"/>
            </w:tcBorders>
            <w:shd w:val="clear" w:color="auto" w:fill="BFE4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235,014,277</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39,805,042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34,032,164</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63,370,158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47,221,001</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418,286,161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316,267,442</w:t>
            </w:r>
          </w:p>
        </w:tc>
      </w:tr>
      <w:tr>
        <w:trPr>
          <w:trHeight w:val="21"/>
        </w:trPr>
        <w:tc>
          <w:tcPr>
            <w:tcW w:w="6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 xml:space="preserve">The Company has unvested share-based payment awards with a right to receive non-forfeitable dividends, which are considered participating securities under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 common shares and participating securities based on their respective weighted average shares outstanding for the period. For a period of net loss, net loss is not allocated to participating securities.</w:t>
      </w:r>
    </w:p>
    <w:p>
      <w:pPr>
        <w:spacing w:after="0" w:line="210"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following table sets forth the computation of basic and diluted net income per common share under the two-class method for the three and nine months ended September 30, 2022 and September 30, 2021:</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4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7"/>
                <w:szCs w:val="17"/>
                <w:color w:val="auto"/>
              </w:rPr>
            </w:pPr>
          </w:p>
        </w:tc>
        <w:tc>
          <w:tcPr>
            <w:tcW w:w="270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72,655,995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76,660,548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232,589,023</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276,617,836</w:t>
            </w:r>
          </w:p>
        </w:tc>
        <w:tc>
          <w:tcPr>
            <w:tcW w:w="0" w:type="dxa"/>
            <w:vAlign w:val="bottom"/>
          </w:tcPr>
          <w:p>
            <w:pPr>
              <w:spacing w:after="0"/>
              <w:rPr>
                <w:sz w:val="1"/>
                <w:szCs w:val="1"/>
                <w:color w:val="auto"/>
              </w:rPr>
            </w:pPr>
          </w:p>
        </w:tc>
      </w:tr>
      <w:tr>
        <w:trPr>
          <w:trHeight w:val="175"/>
        </w:trPr>
        <w:tc>
          <w:tcPr>
            <w:tcW w:w="478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Less: Dividends and undistributed earnings allocated</w:t>
            </w: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1,096,274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1,240,581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3,563,605</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4,240,503</w:t>
            </w: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 participating securities</w:t>
            </w: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40"/>
              <w:spacing w:after="0"/>
              <w:rPr>
                <w:sz w:val="20"/>
                <w:szCs w:val="20"/>
                <w:color w:val="auto"/>
              </w:rPr>
            </w:pPr>
            <w:r>
              <w:rPr>
                <w:rFonts w:ascii="Arial" w:cs="Arial" w:eastAsia="Arial" w:hAnsi="Arial"/>
                <w:sz w:val="18"/>
                <w:szCs w:val="18"/>
                <w:color w:val="auto"/>
              </w:rPr>
              <w:t>Net Income available to common shareholders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71,559,721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75,419,967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229,025,418</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272,377,333</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40"/>
              <w:spacing w:after="0"/>
              <w:rPr>
                <w:sz w:val="20"/>
                <w:szCs w:val="20"/>
                <w:color w:val="auto"/>
              </w:rPr>
            </w:pPr>
            <w:r>
              <w:rPr>
                <w:rFonts w:ascii="Arial" w:cs="Arial" w:eastAsia="Arial" w:hAnsi="Arial"/>
                <w:sz w:val="18"/>
                <w:szCs w:val="18"/>
                <w:color w:val="auto"/>
              </w:rPr>
              <w:t>Basic weighted average shares outstanding</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231,316,879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234,005,573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231,072,421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236,628,999</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per share - Basic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40"/>
              <w:spacing w:after="0"/>
              <w:rPr>
                <w:sz w:val="20"/>
                <w:szCs w:val="20"/>
                <w:color w:val="auto"/>
              </w:rPr>
            </w:pPr>
            <w:r>
              <w:rPr>
                <w:rFonts w:ascii="Arial" w:cs="Arial" w:eastAsia="Arial" w:hAnsi="Arial"/>
                <w:sz w:val="18"/>
                <w:szCs w:val="18"/>
                <w:color w:val="auto"/>
              </w:rPr>
              <w:t>Allocation of Net Income used in basic computation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71,559,721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75,419,967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229,025,418</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272,377,333</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Reallocation of undistributed earnings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13,289</w:t>
            </w:r>
          </w:p>
        </w:tc>
        <w:tc>
          <w:tcPr>
            <w:tcW w:w="0" w:type="dxa"/>
            <w:vAlign w:val="bottom"/>
          </w:tcPr>
          <w:p>
            <w:pPr>
              <w:spacing w:after="0"/>
              <w:rPr>
                <w:sz w:val="1"/>
                <w:szCs w:val="1"/>
                <w:color w:val="auto"/>
              </w:rPr>
            </w:pPr>
          </w:p>
        </w:tc>
      </w:tr>
      <w:tr>
        <w:trPr>
          <w:trHeight w:val="223"/>
        </w:trPr>
        <w:tc>
          <w:tcPr>
            <w:tcW w:w="4780" w:type="dxa"/>
            <w:vAlign w:val="bottom"/>
          </w:tcPr>
          <w:p>
            <w:pPr>
              <w:ind w:left="240"/>
              <w:spacing w:after="0"/>
              <w:rPr>
                <w:sz w:val="20"/>
                <w:szCs w:val="20"/>
                <w:color w:val="auto"/>
              </w:rPr>
            </w:pPr>
            <w:r>
              <w:rPr>
                <w:rFonts w:ascii="Arial" w:cs="Arial" w:eastAsia="Arial" w:hAnsi="Arial"/>
                <w:sz w:val="18"/>
                <w:szCs w:val="18"/>
                <w:color w:val="auto"/>
              </w:rPr>
              <w:t>Net Income available to common shareholders -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71,560,569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75,422,910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229,029,830</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272,390,622</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4" w:right="339" w:bottom="1440" w:gutter="0" w:footer="0" w:header="0"/>
        </w:sectPr>
      </w:pPr>
    </w:p>
    <w:p>
      <w:pPr>
        <w:ind w:left="900"/>
        <w:spacing w:after="0"/>
        <w:rPr>
          <w:sz w:val="20"/>
          <w:szCs w:val="20"/>
          <w:color w:val="auto"/>
        </w:rPr>
      </w:pPr>
      <w:r>
        <w:rPr>
          <w:rFonts w:ascii="Arial" w:cs="Arial" w:eastAsia="Arial" w:hAnsi="Arial"/>
          <w:sz w:val="18"/>
          <w:szCs w:val="18"/>
          <w:color w:val="auto"/>
        </w:rPr>
        <w:t>Number of shares used in basic computation</w:t>
      </w:r>
    </w:p>
    <w:p>
      <w:pPr>
        <w:spacing w:after="0" w:line="27" w:lineRule="exact"/>
        <w:rPr>
          <w:sz w:val="20"/>
          <w:szCs w:val="20"/>
          <w:color w:val="auto"/>
        </w:rPr>
      </w:pPr>
    </w:p>
    <w:p>
      <w:pPr>
        <w:ind w:left="1000"/>
        <w:spacing w:after="0" w:line="234" w:lineRule="auto"/>
        <w:rPr>
          <w:sz w:val="20"/>
          <w:szCs w:val="20"/>
          <w:color w:val="auto"/>
        </w:rPr>
      </w:pPr>
      <w:r>
        <w:rPr>
          <w:rFonts w:ascii="Arial" w:cs="Arial" w:eastAsia="Arial" w:hAnsi="Arial"/>
          <w:sz w:val="18"/>
          <w:szCs w:val="18"/>
          <w:color w:val="auto"/>
        </w:rPr>
        <w:t>Additional weighted average dilutive common stock equivalents</w:t>
      </w:r>
    </w:p>
    <w:p>
      <w:pPr>
        <w:spacing w:after="0" w:line="46" w:lineRule="exact"/>
        <w:rPr>
          <w:sz w:val="20"/>
          <w:szCs w:val="20"/>
          <w:color w:val="auto"/>
        </w:rPr>
      </w:pPr>
    </w:p>
    <w:p>
      <w:pPr>
        <w:jc w:val="center"/>
        <w:ind w:left="320"/>
        <w:spacing w:after="0"/>
        <w:rPr>
          <w:sz w:val="20"/>
          <w:szCs w:val="20"/>
          <w:color w:val="auto"/>
        </w:rPr>
      </w:pPr>
      <w:r>
        <w:rPr>
          <w:rFonts w:ascii="Arial" w:cs="Arial" w:eastAsia="Arial" w:hAnsi="Arial"/>
          <w:sz w:val="17"/>
          <w:szCs w:val="17"/>
          <w:color w:val="auto"/>
        </w:rPr>
        <w:t>Diluted weighted average shares outstanding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520" w:type="dxa"/>
            <w:vAlign w:val="bottom"/>
          </w:tcPr>
          <w:p>
            <w:pPr>
              <w:jc w:val="right"/>
              <w:ind w:right="150"/>
              <w:spacing w:after="0"/>
              <w:rPr>
                <w:sz w:val="20"/>
                <w:szCs w:val="20"/>
                <w:color w:val="auto"/>
              </w:rPr>
            </w:pPr>
            <w:r>
              <w:rPr>
                <w:rFonts w:ascii="Arial" w:cs="Arial" w:eastAsia="Arial" w:hAnsi="Arial"/>
                <w:sz w:val="18"/>
                <w:szCs w:val="18"/>
                <w:color w:val="auto"/>
              </w:rPr>
              <w:t>231,316,879</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234,005,573</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231,072,421</w:t>
            </w:r>
          </w:p>
        </w:tc>
        <w:tc>
          <w:tcPr>
            <w:tcW w:w="1340" w:type="dxa"/>
            <w:vAlign w:val="bottom"/>
          </w:tcPr>
          <w:p>
            <w:pPr>
              <w:jc w:val="right"/>
              <w:spacing w:after="0"/>
              <w:rPr>
                <w:sz w:val="20"/>
                <w:szCs w:val="20"/>
                <w:color w:val="auto"/>
              </w:rPr>
            </w:pPr>
            <w:r>
              <w:rPr>
                <w:rFonts w:ascii="Arial" w:cs="Arial" w:eastAsia="Arial" w:hAnsi="Arial"/>
                <w:sz w:val="18"/>
                <w:szCs w:val="18"/>
                <w:color w:val="auto"/>
              </w:rPr>
              <w:t>236,628,999</w:t>
            </w:r>
          </w:p>
        </w:tc>
      </w:tr>
      <w:tr>
        <w:trPr>
          <w:trHeight w:val="409"/>
        </w:trPr>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300,138</w:t>
            </w:r>
          </w:p>
        </w:tc>
        <w:tc>
          <w:tcPr>
            <w:tcW w:w="1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897,636</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457,032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1,108,216</w:t>
            </w:r>
          </w:p>
        </w:tc>
      </w:tr>
      <w:tr>
        <w:trPr>
          <w:trHeight w:val="223"/>
        </w:trPr>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231,617,017</w:t>
            </w:r>
          </w:p>
        </w:tc>
        <w:tc>
          <w:tcPr>
            <w:tcW w:w="1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234,903,209</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231,529,453</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237,737,215</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-453390</wp:posOffset>
            </wp:positionV>
            <wp:extent cx="6720840" cy="265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20840" cy="26543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080" w:space="360"/>
            <w:col w:w="5800"/>
          </w:cols>
          <w:pgMar w:left="320" w:top="364" w:right="339" w:bottom="1440" w:gutter="0" w:footer="0" w:header="0"/>
          <w:type w:val="continuous"/>
        </w:sectPr>
      </w:pPr>
    </w:p>
    <w:tbl>
      <w:tblPr>
        <w:tblLayout w:type="fixed"/>
        <w:tblInd w:w="660" w:type="dxa"/>
        <w:tblCellMar>
          <w:top w:w="0" w:type="dxa"/>
          <w:left w:w="0" w:type="dxa"/>
          <w:bottom w:w="0" w:type="dxa"/>
          <w:right w:w="0" w:type="dxa"/>
        </w:tblCellMar>
      </w:tblPr>
      <w:tr>
        <w:trPr>
          <w:trHeight w:val="223"/>
        </w:trPr>
        <w:tc>
          <w:tcPr>
            <w:tcW w:w="4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Net Income per share - Diluted</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0.99</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0"/>
              <w:spacing w:after="0" w:line="176" w:lineRule="exact"/>
              <w:rPr>
                <w:sz w:val="20"/>
                <w:szCs w:val="20"/>
                <w:color w:val="auto"/>
              </w:rPr>
            </w:pPr>
            <w:r>
              <w:rPr>
                <w:rFonts w:ascii="Arial" w:cs="Arial" w:eastAsia="Arial" w:hAnsi="Arial"/>
                <w:sz w:val="18"/>
                <w:szCs w:val="18"/>
                <w:color w:val="auto"/>
              </w:rPr>
              <w:t>Shares related to stock plans not included in diluted</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00" w:type="dxa"/>
            <w:vAlign w:val="bottom"/>
          </w:tcPr>
          <w:p>
            <w:pPr>
              <w:ind w:left="20"/>
              <w:spacing w:after="0" w:line="183" w:lineRule="exact"/>
              <w:rPr>
                <w:sz w:val="20"/>
                <w:szCs w:val="20"/>
                <w:color w:val="auto"/>
              </w:rPr>
            </w:pPr>
            <w:r>
              <w:rPr>
                <w:rFonts w:ascii="Arial" w:cs="Arial" w:eastAsia="Arial" w:hAnsi="Arial"/>
                <w:sz w:val="18"/>
                <w:szCs w:val="18"/>
                <w:color w:val="auto"/>
              </w:rPr>
              <w:t>average common shares outstanding because their effect</w:t>
            </w:r>
          </w:p>
        </w:tc>
        <w:tc>
          <w:tcPr>
            <w:tcW w:w="380" w:type="dxa"/>
            <w:vAlign w:val="bottom"/>
          </w:tcPr>
          <w:p>
            <w:pPr>
              <w:spacing w:after="0"/>
              <w:rPr>
                <w:sz w:val="15"/>
                <w:szCs w:val="15"/>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2,456,463</w:t>
            </w:r>
          </w:p>
        </w:tc>
        <w:tc>
          <w:tcPr>
            <w:tcW w:w="460" w:type="dxa"/>
            <w:vAlign w:val="bottom"/>
          </w:tcPr>
          <w:p>
            <w:pPr>
              <w:spacing w:after="0"/>
              <w:rPr>
                <w:sz w:val="15"/>
                <w:szCs w:val="15"/>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987,757</w:t>
            </w:r>
          </w:p>
        </w:tc>
        <w:tc>
          <w:tcPr>
            <w:tcW w:w="380" w:type="dxa"/>
            <w:vAlign w:val="bottom"/>
          </w:tcPr>
          <w:p>
            <w:pPr>
              <w:spacing w:after="0"/>
              <w:rPr>
                <w:sz w:val="15"/>
                <w:szCs w:val="15"/>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1,526,986</w:t>
            </w:r>
          </w:p>
        </w:tc>
        <w:tc>
          <w:tcPr>
            <w:tcW w:w="4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180,669</w:t>
            </w:r>
          </w:p>
        </w:tc>
        <w:tc>
          <w:tcPr>
            <w:tcW w:w="0" w:type="dxa"/>
            <w:vAlign w:val="bottom"/>
          </w:tcPr>
          <w:p>
            <w:pPr>
              <w:spacing w:after="0"/>
              <w:rPr>
                <w:sz w:val="1"/>
                <w:szCs w:val="1"/>
                <w:color w:val="auto"/>
              </w:rPr>
            </w:pPr>
          </w:p>
        </w:tc>
      </w:tr>
      <w:tr>
        <w:trPr>
          <w:trHeight w:val="239"/>
        </w:trPr>
        <w:tc>
          <w:tcPr>
            <w:tcW w:w="4700" w:type="dxa"/>
            <w:vAlign w:val="bottom"/>
          </w:tcPr>
          <w:p>
            <w:pPr>
              <w:ind w:left="20"/>
              <w:spacing w:after="0"/>
              <w:rPr>
                <w:sz w:val="20"/>
                <w:szCs w:val="20"/>
                <w:color w:val="auto"/>
              </w:rPr>
            </w:pPr>
            <w:r>
              <w:rPr>
                <w:rFonts w:ascii="Arial" w:cs="Arial" w:eastAsia="Arial" w:hAnsi="Arial"/>
                <w:sz w:val="18"/>
                <w:szCs w:val="18"/>
                <w:color w:val="auto"/>
              </w:rPr>
              <w:t>would be anti-dilutive</w:t>
            </w:r>
          </w:p>
        </w:tc>
        <w:tc>
          <w:tcPr>
            <w:tcW w:w="38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Stock-Based Compensation Plans</w:t>
      </w:r>
    </w:p>
    <w:p>
      <w:pPr>
        <w:spacing w:after="0" w:line="144" w:lineRule="exact"/>
        <w:rPr>
          <w:sz w:val="20"/>
          <w:szCs w:val="20"/>
          <w:color w:val="auto"/>
        </w:rPr>
      </w:pPr>
    </w:p>
    <w:p>
      <w:pPr>
        <w:jc w:val="both"/>
        <w:ind w:left="660" w:right="20"/>
        <w:spacing w:after="0" w:line="268" w:lineRule="auto"/>
        <w:rPr>
          <w:sz w:val="20"/>
          <w:szCs w:val="20"/>
          <w:color w:val="auto"/>
        </w:rPr>
      </w:pPr>
      <w:r>
        <w:rPr>
          <w:rFonts w:ascii="Arial" w:cs="Arial" w:eastAsia="Arial" w:hAnsi="Arial"/>
          <w:sz w:val="18"/>
          <w:szCs w:val="18"/>
          <w:color w:val="auto"/>
        </w:rPr>
        <w:t>As of September 30, 2022, the Company had two equity incentive plans, which include the Gentex Corporation 2019 Omnibus Incentive Plan ("2019 Omnibus Plan"), and an employee stock purchase plan. Those plans and any prior material amendments thereto have previously been approved by shareholders.</w:t>
      </w:r>
    </w:p>
    <w:p>
      <w:pPr>
        <w:spacing w:after="0" w:line="103"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2019 Omnibus Plan provides for the potential awards to: i) employees; and ii) non-employee directors of the Company or its subsidiaries, which potential awards may be stock options (both incentive stock options and non-qualified stock options), appreciation rights, restricted stock awards and restricted stock units, performance share awards and performance units, and other awards that are stock-based, cash-based or a combination of both. The 2019 Omnibus Plan replaced the Company's Employee Stock Option Plan, Second Restricted Stock Plan, and Amended and Restated Non-Employee Director Stock Option Plan (the "Prior Plans"), which were also approved by shareholders. Any existing awards previously granted under the Prior Plans remain outstanding in accordance with their terms and are governed by the Prior Plans as applicable.</w:t>
      </w:r>
    </w:p>
    <w:p>
      <w:pPr>
        <w:spacing w:after="0" w:line="115"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 xml:space="preserve">Readers should refer to </w:t>
      </w:r>
      <w:r>
        <w:rPr>
          <w:rFonts w:ascii="Arial" w:cs="Arial" w:eastAsia="Arial" w:hAnsi="Arial"/>
          <w:sz w:val="18"/>
          <w:szCs w:val="18"/>
          <w:u w:val="single" w:color="auto"/>
          <w:color w:val="auto"/>
        </w:rPr>
        <w:t>Note 5</w:t>
      </w:r>
      <w:r>
        <w:rPr>
          <w:rFonts w:ascii="Arial" w:cs="Arial" w:eastAsia="Arial" w:hAnsi="Arial"/>
          <w:sz w:val="18"/>
          <w:szCs w:val="18"/>
          <w:color w:val="auto"/>
        </w:rPr>
        <w:t xml:space="preserve"> of the consolidated financial statements in the Company's Annual Report on Form 10-K for the calendar year ended December 31, 2021, for additional information related to the Prior Plans.</w:t>
      </w:r>
    </w:p>
    <w:p>
      <w:pPr>
        <w:spacing w:after="0" w:line="7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Company recognized total compensation expense for share-based payments of $7,611,545 for the three months ended September 30, 2022, and total compensation expense for share-based payments of $22,973,113 for the nine months ended September 30, 2022. The Company recognized compensation expense for share-based payments of $7,492,763 and $20,114,921 for the three and nine months ended</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5" w:name="page16"/>
    <w:bookmarkEnd w:id="15"/>
    <w:p>
      <w:pPr>
        <w:jc w:val="center"/>
        <w:ind w:right="636"/>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4"/>
        <w:spacing w:after="0" w:line="287" w:lineRule="auto"/>
        <w:rPr>
          <w:sz w:val="20"/>
          <w:szCs w:val="20"/>
          <w:color w:val="auto"/>
        </w:rPr>
      </w:pPr>
      <w:r>
        <w:rPr>
          <w:rFonts w:ascii="Arial" w:cs="Arial" w:eastAsia="Arial" w:hAnsi="Arial"/>
          <w:sz w:val="18"/>
          <w:szCs w:val="18"/>
          <w:color w:val="auto"/>
        </w:rPr>
        <w:t>September 30, 2021, respectively. A portion of the compensation cost for share based payment awards is capitalized as part of inventory.</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2019 Omnibus Incentive Plan</w:t>
      </w:r>
    </w:p>
    <w:p>
      <w:pPr>
        <w:spacing w:after="0" w:line="252"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The purpose of the 2019 Omnibus Incentive Plan is to attract and retain employees, officers, and directors of the Company and its subsidiaries and to motivate and provide such persons incentives and rewards for performance. Pursuant to the terms of the Plan, each type of award counts against the available shares based on a predetermined conversion rate (shown in the table below). As of September 30, 2022, 7,994,761 share awards have been made under the Plan, resulting in 19,523,865 shares granted of the 45,000,000 total shares available to be issued under the Plan. The shares issued are presented net of shares from canceled/expired options and shares.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6"/>
        </w:trPr>
        <w:tc>
          <w:tcPr>
            <w:tcW w:w="3880" w:type="dxa"/>
            <w:vAlign w:val="bottom"/>
          </w:tcPr>
          <w:p>
            <w:pPr>
              <w:spacing w:after="0"/>
              <w:rPr>
                <w:sz w:val="14"/>
                <w:szCs w:val="14"/>
                <w:color w:val="auto"/>
              </w:rPr>
            </w:pPr>
          </w:p>
        </w:tc>
        <w:tc>
          <w:tcPr>
            <w:tcW w:w="196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Shares Granted</w:t>
            </w:r>
          </w:p>
        </w:tc>
        <w:tc>
          <w:tcPr>
            <w:tcW w:w="100" w:type="dxa"/>
            <w:vAlign w:val="bottom"/>
          </w:tcPr>
          <w:p>
            <w:pPr>
              <w:spacing w:after="0"/>
              <w:rPr>
                <w:sz w:val="14"/>
                <w:szCs w:val="14"/>
                <w:color w:val="auto"/>
              </w:rPr>
            </w:pPr>
          </w:p>
        </w:tc>
        <w:tc>
          <w:tcPr>
            <w:tcW w:w="196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4"/>
                <w:szCs w:val="14"/>
                <w:b w:val="1"/>
                <w:bCs w:val="1"/>
                <w:color w:val="auto"/>
              </w:rPr>
              <w:t>Conversion Rate</w:t>
            </w:r>
          </w:p>
        </w:tc>
        <w:tc>
          <w:tcPr>
            <w:tcW w:w="120" w:type="dxa"/>
            <w:vAlign w:val="bottom"/>
            <w:vMerge w:val="restart"/>
          </w:tcPr>
          <w:p>
            <w:pPr>
              <w:spacing w:after="0"/>
              <w:rPr>
                <w:sz w:val="14"/>
                <w:szCs w:val="14"/>
                <w:color w:val="auto"/>
              </w:rPr>
            </w:pPr>
          </w:p>
        </w:tc>
        <w:tc>
          <w:tcPr>
            <w:tcW w:w="1960" w:type="dxa"/>
            <w:vAlign w:val="bottom"/>
            <w:tcBorders>
              <w:top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Total Shares Under 2019</w:t>
            </w:r>
          </w:p>
        </w:tc>
        <w:tc>
          <w:tcPr>
            <w:tcW w:w="0" w:type="dxa"/>
            <w:vAlign w:val="bottom"/>
          </w:tcPr>
          <w:p>
            <w:pPr>
              <w:spacing w:after="0"/>
              <w:rPr>
                <w:sz w:val="1"/>
                <w:szCs w:val="1"/>
                <w:color w:val="auto"/>
              </w:rPr>
            </w:pPr>
          </w:p>
        </w:tc>
      </w:tr>
      <w:tr>
        <w:trPr>
          <w:trHeight w:val="185"/>
        </w:trPr>
        <w:tc>
          <w:tcPr>
            <w:tcW w:w="388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Omnibus Plan</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Non-Qualified Stock Options</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4,227,080</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4,227,080</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960" w:type="dxa"/>
            <w:vAlign w:val="bottom"/>
          </w:tcPr>
          <w:p>
            <w:pPr>
              <w:jc w:val="right"/>
              <w:spacing w:after="0"/>
              <w:rPr>
                <w:sz w:val="20"/>
                <w:szCs w:val="20"/>
                <w:color w:val="auto"/>
              </w:rPr>
            </w:pPr>
            <w:r>
              <w:rPr>
                <w:rFonts w:ascii="Arial" w:cs="Arial" w:eastAsia="Arial" w:hAnsi="Arial"/>
                <w:sz w:val="18"/>
                <w:szCs w:val="18"/>
                <w:color w:val="auto"/>
              </w:rPr>
              <w:t>3,208,209</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13,025,329</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Shares</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559,472</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2,271,456</w:t>
            </w:r>
          </w:p>
        </w:tc>
        <w:tc>
          <w:tcPr>
            <w:tcW w:w="0" w:type="dxa"/>
            <w:vAlign w:val="bottom"/>
          </w:tcPr>
          <w:p>
            <w:pPr>
              <w:spacing w:after="0"/>
              <w:rPr>
                <w:sz w:val="1"/>
                <w:szCs w:val="1"/>
                <w:color w:val="auto"/>
              </w:rPr>
            </w:pPr>
          </w:p>
        </w:tc>
      </w:tr>
      <w:tr>
        <w:trPr>
          <w:trHeight w:val="223"/>
        </w:trPr>
        <w:tc>
          <w:tcPr>
            <w:tcW w:w="3880" w:type="dxa"/>
            <w:vAlign w:val="bottom"/>
          </w:tcPr>
          <w:p>
            <w:pPr>
              <w:ind w:left="12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7,994,761</w:t>
            </w: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19,523,865</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Employee Stock Options</w:t>
      </w:r>
    </w:p>
    <w:p>
      <w:pPr>
        <w:spacing w:after="0" w:line="144" w:lineRule="exact"/>
        <w:rPr>
          <w:sz w:val="20"/>
          <w:szCs w:val="20"/>
          <w:color w:val="auto"/>
        </w:rPr>
      </w:pPr>
    </w:p>
    <w:p>
      <w:pPr>
        <w:jc w:val="both"/>
        <w:ind w:left="4"/>
        <w:spacing w:after="0" w:line="262" w:lineRule="auto"/>
        <w:rPr>
          <w:sz w:val="20"/>
          <w:szCs w:val="20"/>
          <w:color w:val="auto"/>
        </w:rPr>
      </w:pPr>
      <w:r>
        <w:rPr>
          <w:rFonts w:ascii="Arial" w:cs="Arial" w:eastAsia="Arial" w:hAnsi="Arial"/>
          <w:sz w:val="18"/>
          <w:szCs w:val="18"/>
          <w:color w:val="auto"/>
        </w:rPr>
        <w:t>Under the 2019 Omnibus Plan and the Employee Stock Option Plan, the option exercise price equals the stock’s market price on the date of grant. The options vest after one to five years and expire after five to ten years. As of September 30, 2022, there was $9,723,678 of unearned compensation cost associated with stock options granted under the 2019 Omnibus Incentive Plan and the Employee Stock Option Plan, which is expected to be recognized over the remaining vesting periods.</w:t>
      </w:r>
    </w:p>
    <w:p>
      <w:pPr>
        <w:spacing w:after="0" w:line="109" w:lineRule="exact"/>
        <w:rPr>
          <w:sz w:val="20"/>
          <w:szCs w:val="20"/>
          <w:color w:val="auto"/>
        </w:rPr>
      </w:pPr>
    </w:p>
    <w:p>
      <w:pPr>
        <w:ind w:left="4" w:right="740"/>
        <w:spacing w:after="0" w:line="287" w:lineRule="auto"/>
        <w:rPr>
          <w:sz w:val="20"/>
          <w:szCs w:val="20"/>
          <w:color w:val="auto"/>
        </w:rPr>
      </w:pPr>
      <w:r>
        <w:rPr>
          <w:rFonts w:ascii="Arial" w:cs="Arial" w:eastAsia="Arial" w:hAnsi="Arial"/>
          <w:sz w:val="18"/>
          <w:szCs w:val="18"/>
          <w:color w:val="auto"/>
        </w:rPr>
        <w:t>The fair value of each option grant was estimated on the date of grant using the Black-Scholes option pricing model with the following weighted-average assumptions for the indicated periods:</w:t>
      </w:r>
    </w:p>
    <w:p>
      <w:pPr>
        <w:spacing w:after="0" w:line="136" w:lineRule="exact"/>
        <w:rPr>
          <w:sz w:val="20"/>
          <w:szCs w:val="20"/>
          <w:color w:val="auto"/>
        </w:rPr>
      </w:pPr>
    </w:p>
    <w:tbl>
      <w:tblPr>
        <w:tblLayout w:type="fixed"/>
        <w:tblInd w:w="4" w:type="dxa"/>
        <w:tblCellMar>
          <w:top w:w="0" w:type="dxa"/>
          <w:left w:w="0" w:type="dxa"/>
          <w:bottom w:w="0" w:type="dxa"/>
          <w:right w:w="0" w:type="dxa"/>
        </w:tblCellMar>
      </w:tblPr>
      <w:tr>
        <w:trPr>
          <w:trHeight w:val="197"/>
        </w:trPr>
        <w:tc>
          <w:tcPr>
            <w:tcW w:w="3300" w:type="dxa"/>
            <w:vAlign w:val="bottom"/>
          </w:tcPr>
          <w:p>
            <w:pPr>
              <w:spacing w:after="0"/>
              <w:rPr>
                <w:sz w:val="17"/>
                <w:szCs w:val="17"/>
                <w:color w:val="auto"/>
              </w:rPr>
            </w:pPr>
          </w:p>
        </w:tc>
        <w:tc>
          <w:tcPr>
            <w:tcW w:w="354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7"/>
                <w:szCs w:val="17"/>
                <w:color w:val="auto"/>
              </w:rPr>
            </w:pPr>
          </w:p>
        </w:tc>
        <w:tc>
          <w:tcPr>
            <w:tcW w:w="354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320" w:type="dxa"/>
            <w:vAlign w:val="bottom"/>
            <w:gridSpan w:val="2"/>
          </w:tcPr>
          <w:p>
            <w:pPr>
              <w:ind w:left="4000"/>
              <w:spacing w:after="0"/>
              <w:rPr>
                <w:sz w:val="20"/>
                <w:szCs w:val="20"/>
                <w:color w:val="auto"/>
              </w:rPr>
            </w:pPr>
            <w:r>
              <w:rPr>
                <w:rFonts w:ascii="Arial" w:cs="Arial" w:eastAsia="Arial" w:hAnsi="Arial"/>
                <w:sz w:val="14"/>
                <w:szCs w:val="14"/>
                <w:b w:val="1"/>
                <w:bCs w:val="1"/>
                <w:color w:val="auto"/>
                <w:w w:val="96"/>
              </w:rPr>
              <w:t>2022</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ind w:right="6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720" w:type="dxa"/>
            <w:vAlign w:val="bottom"/>
          </w:tcPr>
          <w:p>
            <w:pPr>
              <w:jc w:val="right"/>
              <w:ind w:right="61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700" w:type="dxa"/>
            <w:vAlign w:val="bottom"/>
          </w:tcPr>
          <w:p>
            <w:pPr>
              <w:jc w:val="right"/>
              <w:ind w:right="613"/>
              <w:spacing w:after="0"/>
              <w:rPr>
                <w:sz w:val="20"/>
                <w:szCs w:val="20"/>
                <w:color w:val="auto"/>
              </w:rPr>
            </w:pPr>
            <w:r>
              <w:rPr>
                <w:rFonts w:ascii="Arial" w:cs="Arial" w:eastAsia="Arial" w:hAnsi="Arial"/>
                <w:sz w:val="14"/>
                <w:szCs w:val="14"/>
                <w:b w:val="1"/>
                <w:bCs w:val="1"/>
                <w:color w:val="auto"/>
              </w:rPr>
              <w:t>2021</w:t>
            </w:r>
          </w:p>
        </w:tc>
      </w:tr>
      <w:tr>
        <w:trPr>
          <w:trHeight w:val="224"/>
        </w:trPr>
        <w:tc>
          <w:tcPr>
            <w:tcW w:w="330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Dividend Yield </w:t>
            </w:r>
            <w:r>
              <w:rPr>
                <w:rFonts w:ascii="Arial" w:cs="Arial" w:eastAsia="Arial" w:hAnsi="Arial"/>
                <w:sz w:val="23"/>
                <w:szCs w:val="23"/>
                <w:color w:val="auto"/>
                <w:vertAlign w:val="superscript"/>
              </w:rPr>
              <w:t>(1)</w:t>
            </w:r>
          </w:p>
        </w:tc>
        <w:tc>
          <w:tcPr>
            <w:tcW w:w="10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1.86 %</w:t>
            </w:r>
          </w:p>
        </w:tc>
      </w:tr>
      <w:tr>
        <w:trPr>
          <w:trHeight w:val="230"/>
        </w:trPr>
        <w:tc>
          <w:tcPr>
            <w:tcW w:w="43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(2)</w:t>
            </w:r>
          </w:p>
        </w:tc>
        <w:tc>
          <w:tcPr>
            <w:tcW w:w="700" w:type="dxa"/>
            <w:vAlign w:val="bottom"/>
          </w:tcPr>
          <w:p>
            <w:pPr>
              <w:jc w:val="right"/>
              <w:spacing w:after="0"/>
              <w:rPr>
                <w:sz w:val="20"/>
                <w:szCs w:val="20"/>
                <w:color w:val="auto"/>
              </w:rPr>
            </w:pPr>
            <w:r>
              <w:rPr>
                <w:rFonts w:ascii="Arial" w:cs="Arial" w:eastAsia="Arial" w:hAnsi="Arial"/>
                <w:sz w:val="18"/>
                <w:szCs w:val="18"/>
                <w:color w:val="auto"/>
                <w:w w:val="99"/>
              </w:rPr>
              <w:t>29.02 %</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27.47 %</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28.62 %</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27.67 %</w:t>
            </w:r>
          </w:p>
        </w:tc>
      </w:tr>
      <w:tr>
        <w:trPr>
          <w:trHeight w:val="229"/>
        </w:trPr>
        <w:tc>
          <w:tcPr>
            <w:tcW w:w="43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3.16 %</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0.92 %</w:t>
            </w:r>
          </w:p>
        </w:tc>
      </w:tr>
      <w:tr>
        <w:trPr>
          <w:trHeight w:val="230"/>
        </w:trPr>
        <w:tc>
          <w:tcPr>
            <w:tcW w:w="43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Expected term of options (years) </w:t>
            </w:r>
            <w:r>
              <w:rPr>
                <w:rFonts w:ascii="Arial" w:cs="Arial" w:eastAsia="Arial" w:hAnsi="Arial"/>
                <w:sz w:val="23"/>
                <w:szCs w:val="23"/>
                <w:color w:val="auto"/>
                <w:vertAlign w:val="superscript"/>
              </w:rPr>
              <w:t>(4)</w:t>
            </w:r>
          </w:p>
        </w:tc>
        <w:tc>
          <w:tcPr>
            <w:tcW w:w="70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30"/>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Weighted-avg. grant date fair value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r>
    </w:tbl>
    <w:p>
      <w:pPr>
        <w:spacing w:after="0" w:line="72" w:lineRule="exact"/>
        <w:rPr>
          <w:sz w:val="20"/>
          <w:szCs w:val="20"/>
          <w:color w:val="auto"/>
        </w:rPr>
      </w:pPr>
    </w:p>
    <w:p>
      <w:pPr>
        <w:ind w:left="324" w:hanging="324"/>
        <w:spacing w:after="0"/>
        <w:tabs>
          <w:tab w:leader="none" w:pos="324" w:val="left"/>
        </w:tabs>
        <w:numPr>
          <w:ilvl w:val="0"/>
          <w:numId w:val="12"/>
        </w:numPr>
        <w:rPr>
          <w:rFonts w:ascii="Arial" w:cs="Arial" w:eastAsia="Arial" w:hAnsi="Arial"/>
          <w:sz w:val="9"/>
          <w:szCs w:val="9"/>
          <w:color w:val="auto"/>
        </w:rPr>
      </w:pPr>
      <w:r>
        <w:rPr>
          <w:rFonts w:ascii="Arial" w:cs="Arial" w:eastAsia="Arial" w:hAnsi="Arial"/>
          <w:sz w:val="14"/>
          <w:szCs w:val="14"/>
          <w:color w:val="auto"/>
        </w:rPr>
        <w:t>Represents the Company’s estimated cash dividend yield over the expected term of option grant.</w:t>
      </w:r>
    </w:p>
    <w:p>
      <w:pPr>
        <w:spacing w:after="0" w:line="28" w:lineRule="exact"/>
        <w:rPr>
          <w:rFonts w:ascii="Arial" w:cs="Arial" w:eastAsia="Arial" w:hAnsi="Arial"/>
          <w:sz w:val="9"/>
          <w:szCs w:val="9"/>
          <w:color w:val="auto"/>
        </w:rPr>
      </w:pPr>
    </w:p>
    <w:p>
      <w:pPr>
        <w:ind w:left="324" w:right="260" w:hanging="324"/>
        <w:spacing w:after="0" w:line="221" w:lineRule="auto"/>
        <w:tabs>
          <w:tab w:leader="none" w:pos="321"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spacing w:after="0" w:line="1" w:lineRule="exact"/>
        <w:rPr>
          <w:rFonts w:ascii="Arial" w:cs="Arial" w:eastAsia="Arial" w:hAnsi="Arial"/>
          <w:sz w:val="19"/>
          <w:szCs w:val="19"/>
          <w:color w:val="auto"/>
          <w:vertAlign w:val="superscript"/>
        </w:rPr>
      </w:pPr>
    </w:p>
    <w:p>
      <w:pPr>
        <w:ind w:left="324" w:hanging="324"/>
        <w:spacing w:after="0" w:line="187" w:lineRule="auto"/>
        <w:tabs>
          <w:tab w:leader="none" w:pos="324"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Represents the U.S. Treasury yield over the expected term of the option grant.</w:t>
      </w:r>
    </w:p>
    <w:p>
      <w:pPr>
        <w:ind w:left="324" w:right="20" w:hanging="324"/>
        <w:spacing w:after="0" w:line="284" w:lineRule="auto"/>
        <w:tabs>
          <w:tab w:leader="none" w:pos="321" w:val="left"/>
        </w:tabs>
        <w:numPr>
          <w:ilvl w:val="0"/>
          <w:numId w:val="12"/>
        </w:numPr>
        <w:rPr>
          <w:rFonts w:ascii="Arial" w:cs="Arial" w:eastAsia="Arial" w:hAnsi="Arial"/>
          <w:sz w:val="9"/>
          <w:szCs w:val="9"/>
          <w:color w:val="auto"/>
        </w:rPr>
      </w:pPr>
      <w:r>
        <w:rPr>
          <w:rFonts w:ascii="Arial" w:cs="Arial" w:eastAsia="Arial" w:hAnsi="Arial"/>
          <w:sz w:val="14"/>
          <w:szCs w:val="14"/>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Restricted Shares</w:t>
      </w:r>
    </w:p>
    <w:p>
      <w:pPr>
        <w:spacing w:after="0" w:line="158" w:lineRule="exact"/>
        <w:rPr>
          <w:sz w:val="20"/>
          <w:szCs w:val="20"/>
          <w:color w:val="auto"/>
        </w:rPr>
      </w:pPr>
    </w:p>
    <w:p>
      <w:pPr>
        <w:jc w:val="both"/>
        <w:ind w:left="4"/>
        <w:spacing w:after="0" w:line="255" w:lineRule="auto"/>
        <w:rPr>
          <w:sz w:val="20"/>
          <w:szCs w:val="20"/>
          <w:color w:val="auto"/>
        </w:rPr>
      </w:pPr>
      <w:r>
        <w:rPr>
          <w:rFonts w:ascii="Arial" w:cs="Arial" w:eastAsia="Arial" w:hAnsi="Arial"/>
          <w:sz w:val="18"/>
          <w:szCs w:val="18"/>
          <w:color w:val="auto"/>
        </w:rPr>
        <w:t>Restricted shares awarded under the 2019 Omnibus Plan and the Second Restricted Stock Plan entitle the shareholder to all rights of common stock ownership, except that the shares may not be sold, transferred, pledged, exchanged or otherwise disposed of during the restriction period. The restriction period is determined by the Compensation Committee, appointed by the Board of Directors, but may not exceed ten years under the terms of such plans. As of September 30, 2022, the Company had unearned stock-based compensation of $45,827,137 associated with the restricted stock grants issued under the 2019 Omnibus Plan and the Prior Plan. The unearned stock-based compensation related to these grants is being amortized to compensation expense over the applicable restriction periods. Compensation expense from restricted stock grants in the three and nine months ended September 30, 2022 was $5,504,462 and</w:t>
      </w:r>
    </w:p>
    <w:p>
      <w:pPr>
        <w:sectPr>
          <w:pgSz w:w="11900" w:h="16838" w:orient="portrait"/>
          <w:cols w:equalWidth="0" w:num="1">
            <w:col w:w="10584"/>
          </w:cols>
          <w:pgMar w:left="976" w:top="364"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10384"/>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80645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364"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$16,130,339, respectively. Compensation expense from restricted stock grants in the three and nine months ended September 30, 2021 was $5,215,981 and $13,978,358, respectively.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Performance Shares</w:t>
      </w:r>
    </w:p>
    <w:p>
      <w:pPr>
        <w:spacing w:after="0" w:line="25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Performance shares awarded under the 2019 Omnibus Plan are considered performance condition awards as attainment is based on the Company's performance relative to pre-established metrics. The fair value of such performance share awards was determined using the Company's average closing stock price on the twenty days preceding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w:t>
      </w:r>
    </w:p>
    <w:p>
      <w:pPr>
        <w:spacing w:after="0" w:line="209"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As of September 30, 2022, the Company had unearned stock-based compensation of $ 8,480,588 associated with these performance share grants. The unearned stock-based compensation related to these grants is being amortized to compensation expense over the applicable performance periods.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5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 xml:space="preserve">Prior to July 1, 2022, the Company had in place an employee stock purchase plan covering 2,000,000 shares of common stock. Under that plan, the Company sold shares at 85% of the stock’s market price at date of purchase. Under ASC 718, </w:t>
      </w:r>
      <w:r>
        <w:rPr>
          <w:rFonts w:ascii="Arial" w:cs="Arial" w:eastAsia="Arial" w:hAnsi="Arial"/>
          <w:sz w:val="18"/>
          <w:szCs w:val="18"/>
          <w:i w:val="1"/>
          <w:iCs w:val="1"/>
          <w:color w:val="auto"/>
        </w:rPr>
        <w:t>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Stock Compensation</w:t>
      </w:r>
      <w:r>
        <w:rPr>
          <w:rFonts w:ascii="Arial" w:cs="Arial" w:eastAsia="Arial" w:hAnsi="Arial"/>
          <w:sz w:val="18"/>
          <w:szCs w:val="18"/>
          <w:color w:val="auto"/>
        </w:rPr>
        <w:t>, the 15% discounted value was recognized as compensation expense. As of September 30, 2022,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issued 1,624,122 shares under this prior plan.</w:t>
      </w:r>
    </w:p>
    <w:p>
      <w:pPr>
        <w:spacing w:after="0" w:line="203"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In May 2022, the 2022 Gentex Corporation Employee Stock Purchase Plan covering 2,000,000 shares of common stock was approved by shareholders replacing the above referenced prior plan effective July 1, 2022. Under the plan, the Company sells shares at 85% of the stock's market price at date of purchase. Under ASC 718, the 15% discounted value is recognized as compensation expense. As of September 30, 2022, the Company has issued 54,977 shares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Comprehensive Income</w:t>
      </w:r>
    </w:p>
    <w:p>
      <w:pPr>
        <w:spacing w:after="0" w:line="25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certain debt investments and foreign currency translation adjustments.</w:t>
      </w:r>
    </w:p>
    <w:p>
      <w:pPr>
        <w:spacing w:after="0" w:line="198"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following table presents the net changes in the Company's accumulated other comprehensive income by component (all amounts shown are net of tax):</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4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7"/>
                <w:szCs w:val="17"/>
                <w:color w:val="auto"/>
              </w:rPr>
            </w:pPr>
          </w:p>
        </w:tc>
        <w:tc>
          <w:tcPr>
            <w:tcW w:w="270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03"/>
        </w:trPr>
        <w:tc>
          <w:tcPr>
            <w:tcW w:w="4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(3,107,157)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879,832</w:t>
            </w:r>
          </w:p>
        </w:tc>
        <w:tc>
          <w:tcPr>
            <w:tcW w:w="1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920,589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769,045</w:t>
            </w:r>
          </w:p>
        </w:tc>
        <w:tc>
          <w:tcPr>
            <w:tcW w:w="0" w:type="dxa"/>
            <w:vAlign w:val="bottom"/>
          </w:tcPr>
          <w:p>
            <w:pPr>
              <w:spacing w:after="0"/>
              <w:rPr>
                <w:sz w:val="1"/>
                <w:szCs w:val="1"/>
                <w:color w:val="auto"/>
              </w:rPr>
            </w:pPr>
          </w:p>
        </w:tc>
      </w:tr>
      <w:tr>
        <w:trPr>
          <w:trHeight w:val="176"/>
        </w:trPr>
        <w:tc>
          <w:tcPr>
            <w:tcW w:w="45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Other Comprehensive (loss) income before</w:t>
            </w:r>
          </w:p>
        </w:tc>
        <w:tc>
          <w:tcPr>
            <w:tcW w:w="1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17,751,603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(349,165)</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13,723,857</w:t>
            </w:r>
          </w:p>
        </w:tc>
        <w:tc>
          <w:tcPr>
            <w:tcW w:w="3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(238,378)</w:t>
            </w: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reclassifications</w:t>
            </w: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current-period change</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17,751,603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(349,165)</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13,723,857</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(238,378)</w:t>
            </w: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14,644,446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530,667</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14,644,446</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530,667</w:t>
            </w:r>
          </w:p>
        </w:tc>
        <w:tc>
          <w:tcPr>
            <w:tcW w:w="0" w:type="dxa"/>
            <w:vAlign w:val="bottom"/>
          </w:tcPr>
          <w:p>
            <w:pPr>
              <w:spacing w:after="0"/>
              <w:rPr>
                <w:sz w:val="1"/>
                <w:szCs w:val="1"/>
                <w:color w:val="auto"/>
              </w:rPr>
            </w:pPr>
          </w:p>
        </w:tc>
      </w:tr>
      <w:tr>
        <w:trPr>
          <w:trHeight w:val="88"/>
        </w:trPr>
        <w:tc>
          <w:tcPr>
            <w:tcW w:w="4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on available-for-sale debt securities: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(7,848,722)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3,385,206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1,006,655</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6,082,007</w:t>
            </w:r>
          </w:p>
        </w:tc>
        <w:tc>
          <w:tcPr>
            <w:tcW w:w="0" w:type="dxa"/>
            <w:vAlign w:val="bottom"/>
          </w:tcPr>
          <w:p>
            <w:pPr>
              <w:spacing w:after="0"/>
              <w:rPr>
                <w:sz w:val="1"/>
                <w:szCs w:val="1"/>
                <w:color w:val="auto"/>
              </w:rPr>
            </w:pPr>
          </w:p>
        </w:tc>
      </w:tr>
      <w:tr>
        <w:trPr>
          <w:trHeight w:val="175"/>
        </w:trPr>
        <w:tc>
          <w:tcPr>
            <w:tcW w:w="45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Other Comprehensive (loss) income before</w:t>
            </w:r>
          </w:p>
        </w:tc>
        <w:tc>
          <w:tcPr>
            <w:tcW w:w="1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(3,714,578)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(645,273)</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(13,042,231)</w:t>
            </w:r>
          </w:p>
        </w:tc>
        <w:tc>
          <w:tcPr>
            <w:tcW w:w="3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(2,727,750)</w:t>
            </w: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reclassifications</w:t>
            </w:r>
          </w:p>
        </w:tc>
        <w:tc>
          <w:tcPr>
            <w:tcW w:w="18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500" w:type="dxa"/>
            <w:vAlign w:val="bottom"/>
          </w:tcPr>
          <w:p>
            <w:pPr>
              <w:ind w:left="24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1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204,811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677,087</w:t>
            </w:r>
          </w:p>
        </w:tc>
        <w:tc>
          <w:tcPr>
            <w:tcW w:w="3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(614,324)</w:t>
            </w:r>
          </w:p>
        </w:tc>
        <w:tc>
          <w:tcPr>
            <w:tcW w:w="0" w:type="dxa"/>
            <w:vAlign w:val="bottom"/>
          </w:tcPr>
          <w:p>
            <w:pPr>
              <w:spacing w:after="0"/>
              <w:rPr>
                <w:sz w:val="1"/>
                <w:szCs w:val="1"/>
                <w:color w:val="auto"/>
              </w:rPr>
            </w:pPr>
          </w:p>
        </w:tc>
      </w:tr>
      <w:tr>
        <w:trPr>
          <w:trHeight w:val="243"/>
        </w:trPr>
        <w:tc>
          <w:tcPr>
            <w:tcW w:w="4500" w:type="dxa"/>
            <w:vAlign w:val="bottom"/>
          </w:tcPr>
          <w:p>
            <w:pPr>
              <w:ind w:left="240"/>
              <w:spacing w:after="0"/>
              <w:rPr>
                <w:sz w:val="20"/>
                <w:szCs w:val="20"/>
                <w:color w:val="auto"/>
              </w:rPr>
            </w:pPr>
            <w:r>
              <w:rPr>
                <w:rFonts w:ascii="Arial" w:cs="Arial" w:eastAsia="Arial" w:hAnsi="Arial"/>
                <w:sz w:val="18"/>
                <w:szCs w:val="18"/>
                <w:color w:val="auto"/>
              </w:rPr>
              <w:t>comprehensive income</w:t>
            </w:r>
          </w:p>
        </w:tc>
        <w:tc>
          <w:tcPr>
            <w:tcW w:w="18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current-period change</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(3,509,767)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(645,273)</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(12,365,144)</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(3,342,074)</w:t>
            </w:r>
          </w:p>
        </w:tc>
        <w:tc>
          <w:tcPr>
            <w:tcW w:w="0" w:type="dxa"/>
            <w:vAlign w:val="bottom"/>
          </w:tcPr>
          <w:p>
            <w:pPr>
              <w:spacing w:after="0"/>
              <w:rPr>
                <w:sz w:val="1"/>
                <w:szCs w:val="1"/>
                <w:color w:val="auto"/>
              </w:rPr>
            </w:pPr>
          </w:p>
        </w:tc>
      </w:tr>
      <w:tr>
        <w:trPr>
          <w:trHeight w:val="262"/>
        </w:trPr>
        <w:tc>
          <w:tcPr>
            <w:tcW w:w="45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(11,358,489)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2,739,933</w:t>
            </w:r>
          </w:p>
        </w:tc>
        <w:tc>
          <w:tcPr>
            <w:tcW w:w="1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(11,358,489)</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2,739,933</w:t>
            </w:r>
          </w:p>
        </w:tc>
        <w:tc>
          <w:tcPr>
            <w:tcW w:w="0" w:type="dxa"/>
            <w:vAlign w:val="bottom"/>
          </w:tcPr>
          <w:p>
            <w:pPr>
              <w:spacing w:after="0"/>
              <w:rPr>
                <w:sz w:val="1"/>
                <w:szCs w:val="1"/>
                <w:color w:val="auto"/>
              </w:rPr>
            </w:pPr>
          </w:p>
        </w:tc>
      </w:tr>
      <w:tr>
        <w:trPr>
          <w:trHeight w:val="176"/>
        </w:trPr>
        <w:tc>
          <w:tcPr>
            <w:tcW w:w="4500" w:type="dxa"/>
            <w:vAlign w:val="bottom"/>
            <w:tcBorders>
              <w:top w:val="single" w:sz="8" w:color="CCEEFF"/>
            </w:tcBorders>
          </w:tcPr>
          <w:p>
            <w:pPr>
              <w:ind w:left="20"/>
              <w:spacing w:after="0" w:line="176" w:lineRule="exact"/>
              <w:rPr>
                <w:sz w:val="20"/>
                <w:szCs w:val="20"/>
                <w:color w:val="auto"/>
              </w:rPr>
            </w:pPr>
            <w:r>
              <w:rPr>
                <w:rFonts w:ascii="Arial" w:cs="Arial" w:eastAsia="Arial" w:hAnsi="Arial"/>
                <w:sz w:val="18"/>
                <w:szCs w:val="18"/>
                <w:color w:val="auto"/>
              </w:rPr>
              <w:t>Accumulated other comprehensive (loss) income, end</w:t>
            </w:r>
          </w:p>
        </w:tc>
        <w:tc>
          <w:tcPr>
            <w:tcW w:w="1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rPr>
              <w:t>3,285,957</w:t>
            </w: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rPr>
              <w:t>3,270,600</w:t>
            </w:r>
          </w:p>
        </w:tc>
        <w:tc>
          <w:tcPr>
            <w:tcW w:w="1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rPr>
              <w:t>3,285,957</w:t>
            </w:r>
          </w:p>
        </w:tc>
        <w:tc>
          <w:tcPr>
            <w:tcW w:w="320" w:type="dxa"/>
            <w:vAlign w:val="bottom"/>
            <w:tcBorders>
              <w:top w:val="single" w:sz="8" w:color="CCEEFF"/>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rPr>
              <w:t>3,270,600</w:t>
            </w:r>
          </w:p>
        </w:tc>
        <w:tc>
          <w:tcPr>
            <w:tcW w:w="0" w:type="dxa"/>
            <w:vAlign w:val="bottom"/>
          </w:tcPr>
          <w:p>
            <w:pPr>
              <w:spacing w:after="0"/>
              <w:rPr>
                <w:sz w:val="1"/>
                <w:szCs w:val="1"/>
                <w:color w:val="auto"/>
              </w:rPr>
            </w:pPr>
          </w:p>
        </w:tc>
      </w:tr>
      <w:tr>
        <w:trPr>
          <w:trHeight w:val="221"/>
        </w:trPr>
        <w:tc>
          <w:tcPr>
            <w:tcW w:w="4500" w:type="dxa"/>
            <w:vAlign w:val="bottom"/>
          </w:tcPr>
          <w:p>
            <w:pPr>
              <w:ind w:left="20"/>
              <w:spacing w:after="0"/>
              <w:rPr>
                <w:sz w:val="20"/>
                <w:szCs w:val="20"/>
                <w:color w:val="auto"/>
              </w:rPr>
            </w:pPr>
            <w:r>
              <w:rPr>
                <w:rFonts w:ascii="Arial" w:cs="Arial" w:eastAsia="Arial" w:hAnsi="Arial"/>
                <w:sz w:val="18"/>
                <w:szCs w:val="18"/>
                <w:color w:val="auto"/>
              </w:rPr>
              <w:t>of period</w:t>
            </w:r>
          </w:p>
        </w:tc>
        <w:tc>
          <w:tcPr>
            <w:tcW w:w="18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660" w:right="80"/>
        <w:spacing w:after="0" w:line="276" w:lineRule="auto"/>
        <w:rPr>
          <w:sz w:val="20"/>
          <w:szCs w:val="20"/>
          <w:color w:val="auto"/>
        </w:rPr>
      </w:pPr>
      <w:r>
        <w:rPr>
          <w:rFonts w:ascii="Arial" w:cs="Arial" w:eastAsia="Arial" w:hAnsi="Arial"/>
          <w:sz w:val="18"/>
          <w:szCs w:val="18"/>
          <w:color w:val="auto"/>
        </w:rPr>
        <w:t>The following table presents details of reclassifications out of accumulated other comprehensive (loss) income for the three and nine months ended September 30, 2022 and 2021:</w:t>
      </w:r>
    </w:p>
    <w:p>
      <w:pPr>
        <w:sectPr>
          <w:pgSz w:w="11900" w:h="16838" w:orient="portrait"/>
          <w:cols w:equalWidth="0" w:num="1">
            <w:col w:w="11240"/>
          </w:cols>
          <w:pgMar w:left="320" w:top="364" w:right="339" w:bottom="1440" w:gutter="0" w:footer="0" w:header="0"/>
        </w:sectPr>
      </w:pPr>
    </w:p>
    <w:p>
      <w:pPr>
        <w:spacing w:after="0" w:line="163" w:lineRule="exact"/>
        <w:rPr>
          <w:sz w:val="20"/>
          <w:szCs w:val="20"/>
          <w:color w:val="auto"/>
        </w:rPr>
      </w:pPr>
    </w:p>
    <w:p>
      <w:pPr>
        <w:jc w:val="center"/>
        <w:ind w:left="720"/>
        <w:spacing w:after="0" w:line="261" w:lineRule="auto"/>
        <w:rPr>
          <w:sz w:val="20"/>
          <w:szCs w:val="20"/>
          <w:color w:val="auto"/>
        </w:rPr>
      </w:pPr>
      <w:r>
        <w:rPr>
          <w:rFonts w:ascii="Arial" w:cs="Arial" w:eastAsia="Arial" w:hAnsi="Arial"/>
          <w:sz w:val="16"/>
          <w:szCs w:val="16"/>
          <w:b w:val="1"/>
          <w:bCs w:val="1"/>
          <w:color w:val="auto"/>
        </w:rPr>
        <w:t>Details about Accumulated Other Comprehensive Income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-13335</wp:posOffset>
            </wp:positionV>
            <wp:extent cx="25031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680" w:right="180"/>
        <w:spacing w:after="0"/>
        <w:rPr>
          <w:sz w:val="20"/>
          <w:szCs w:val="20"/>
          <w:color w:val="auto"/>
        </w:rPr>
      </w:pPr>
      <w:r>
        <w:rPr>
          <w:rFonts w:ascii="Arial" w:cs="Arial" w:eastAsia="Arial" w:hAnsi="Arial"/>
          <w:sz w:val="18"/>
          <w:szCs w:val="18"/>
          <w:color w:val="auto"/>
        </w:rPr>
        <w:t>Unrealized (losses) gains on available-for-sale debt securities</w:t>
      </w:r>
    </w:p>
    <w:p>
      <w:pPr>
        <w:ind w:left="900"/>
        <w:spacing w:after="0" w:line="229" w:lineRule="auto"/>
        <w:rPr>
          <w:sz w:val="20"/>
          <w:szCs w:val="20"/>
          <w:color w:val="auto"/>
        </w:rPr>
      </w:pPr>
      <w:r>
        <w:rPr>
          <w:rFonts w:ascii="Arial" w:cs="Arial" w:eastAsia="Arial" w:hAnsi="Arial"/>
          <w:sz w:val="18"/>
          <w:szCs w:val="18"/>
          <w:color w:val="auto"/>
        </w:rPr>
        <w:t>Realized (loss) gain on sale</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of securities</w:t>
      </w:r>
    </w:p>
    <w:p>
      <w:pPr>
        <w:spacing w:after="0" w:line="1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Provision for income taxes</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net reclassifications for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160" w:type="dxa"/>
            <w:vAlign w:val="bottom"/>
          </w:tcPr>
          <w:p>
            <w:pPr>
              <w:spacing w:after="0"/>
              <w:rPr>
                <w:sz w:val="14"/>
                <w:szCs w:val="14"/>
                <w:color w:val="auto"/>
              </w:rPr>
            </w:pPr>
          </w:p>
        </w:tc>
        <w:tc>
          <w:tcPr>
            <w:tcW w:w="4100" w:type="dxa"/>
            <w:vAlign w:val="bottom"/>
            <w:gridSpan w:val="10"/>
            <w:vMerge w:val="restart"/>
          </w:tcPr>
          <w:p>
            <w:pPr>
              <w:jc w:val="center"/>
              <w:ind w:right="81"/>
              <w:spacing w:after="0"/>
              <w:rPr>
                <w:sz w:val="20"/>
                <w:szCs w:val="20"/>
                <w:color w:val="auto"/>
              </w:rPr>
            </w:pPr>
            <w:r>
              <w:rPr>
                <w:rFonts w:ascii="Arial" w:cs="Arial" w:eastAsia="Arial" w:hAnsi="Arial"/>
                <w:sz w:val="16"/>
                <w:szCs w:val="16"/>
                <w:b w:val="1"/>
                <w:bCs w:val="1"/>
                <w:color w:val="auto"/>
              </w:rPr>
              <w:t>Amounts Reclassified from Other Comprehensive</w:t>
            </w:r>
          </w:p>
        </w:tc>
        <w:tc>
          <w:tcPr>
            <w:tcW w:w="100" w:type="dxa"/>
            <w:vAlign w:val="bottom"/>
          </w:tcPr>
          <w:p>
            <w:pPr>
              <w:spacing w:after="0"/>
              <w:rPr>
                <w:sz w:val="14"/>
                <w:szCs w:val="14"/>
                <w:color w:val="auto"/>
              </w:rPr>
            </w:pPr>
          </w:p>
        </w:tc>
        <w:tc>
          <w:tcPr>
            <w:tcW w:w="2180" w:type="dxa"/>
            <w:vAlign w:val="bottom"/>
          </w:tcPr>
          <w:p>
            <w:pPr>
              <w:jc w:val="center"/>
              <w:spacing w:after="0" w:line="164" w:lineRule="exact"/>
              <w:rPr>
                <w:sz w:val="20"/>
                <w:szCs w:val="20"/>
                <w:color w:val="auto"/>
              </w:rPr>
            </w:pPr>
            <w:r>
              <w:rPr>
                <w:rFonts w:ascii="Arial" w:cs="Arial" w:eastAsia="Arial" w:hAnsi="Arial"/>
                <w:sz w:val="16"/>
                <w:szCs w:val="16"/>
                <w:b w:val="1"/>
                <w:bCs w:val="1"/>
                <w:color w:val="auto"/>
              </w:rPr>
              <w:t>Affected Line item in the</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4100" w:type="dxa"/>
            <w:vAlign w:val="bottom"/>
            <w:gridSpan w:val="10"/>
            <w:vMerge w:val="continue"/>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Consolidated Statements</w:t>
            </w:r>
          </w:p>
        </w:tc>
        <w:tc>
          <w:tcPr>
            <w:tcW w:w="0" w:type="dxa"/>
            <w:vAlign w:val="bottom"/>
          </w:tcPr>
          <w:p>
            <w:pPr>
              <w:spacing w:after="0"/>
              <w:rPr>
                <w:sz w:val="1"/>
                <w:szCs w:val="1"/>
                <w:color w:val="auto"/>
              </w:rPr>
            </w:pPr>
          </w:p>
        </w:tc>
      </w:tr>
      <w:tr>
        <w:trPr>
          <w:trHeight w:val="216"/>
        </w:trPr>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6"/>
                <w:szCs w:val="16"/>
                <w:b w:val="1"/>
                <w:bCs w:val="1"/>
                <w:color w:val="auto"/>
              </w:rPr>
              <w:t>(Loss) Income</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of Income</w:t>
            </w: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16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4"/>
          </w:tcPr>
          <w:p>
            <w:pPr>
              <w:jc w:val="center"/>
              <w:ind w:right="121"/>
              <w:spacing w:after="0" w:line="142" w:lineRule="exact"/>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60" w:type="dxa"/>
            <w:vAlign w:val="bottom"/>
          </w:tcPr>
          <w:p>
            <w:pPr>
              <w:spacing w:after="0"/>
              <w:rPr>
                <w:sz w:val="16"/>
                <w:szCs w:val="16"/>
                <w:color w:val="auto"/>
              </w:rPr>
            </w:pPr>
          </w:p>
        </w:tc>
        <w:tc>
          <w:tcPr>
            <w:tcW w:w="1640" w:type="dxa"/>
            <w:vAlign w:val="bottom"/>
            <w:gridSpan w:val="3"/>
          </w:tcPr>
          <w:p>
            <w:pPr>
              <w:jc w:val="right"/>
              <w:ind w:right="181"/>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4"/>
          </w:tcPr>
          <w:p>
            <w:pPr>
              <w:jc w:val="center"/>
              <w:ind w:right="121"/>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4"/>
        </w:trPr>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(259,254)</w:t>
            </w:r>
          </w:p>
        </w:tc>
        <w:tc>
          <w:tcPr>
            <w:tcW w:w="100" w:type="dxa"/>
            <w:vAlign w:val="bottom"/>
          </w:tcPr>
          <w:p>
            <w:pPr>
              <w:spacing w:after="0"/>
              <w:rPr>
                <w:sz w:val="24"/>
                <w:szCs w:val="24"/>
                <w:color w:val="auto"/>
              </w:rPr>
            </w:pPr>
          </w:p>
        </w:tc>
        <w:tc>
          <w:tcPr>
            <w:tcW w:w="700" w:type="dxa"/>
            <w:vAlign w:val="bottom"/>
          </w:tcPr>
          <w:p>
            <w:pPr>
              <w:jc w:val="right"/>
              <w:ind w:right="521"/>
              <w:spacing w:after="0"/>
              <w:rPr>
                <w:sz w:val="20"/>
                <w:szCs w:val="20"/>
                <w:color w:val="auto"/>
              </w:rPr>
            </w:pPr>
            <w:r>
              <w:rPr>
                <w:rFonts w:ascii="Arial" w:cs="Arial" w:eastAsia="Arial" w:hAnsi="Arial"/>
                <w:sz w:val="16"/>
                <w:szCs w:val="16"/>
                <w:color w:val="auto"/>
                <w:w w:val="89"/>
              </w:rPr>
              <w:t>$</w:t>
            </w: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(857,072)</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ind w:left="140"/>
              <w:spacing w:after="0"/>
              <w:rPr>
                <w:sz w:val="20"/>
                <w:szCs w:val="20"/>
                <w:color w:val="auto"/>
              </w:rPr>
            </w:pPr>
            <w:r>
              <w:rPr>
                <w:rFonts w:ascii="Arial" w:cs="Arial" w:eastAsia="Arial" w:hAnsi="Arial"/>
                <w:sz w:val="16"/>
                <w:szCs w:val="16"/>
                <w:color w:val="auto"/>
              </w:rPr>
              <w:t>777,625</w:t>
            </w:r>
          </w:p>
        </w:tc>
        <w:tc>
          <w:tcPr>
            <w:tcW w:w="100" w:type="dxa"/>
            <w:vAlign w:val="bottom"/>
          </w:tcPr>
          <w:p>
            <w:pPr>
              <w:spacing w:after="0"/>
              <w:rPr>
                <w:sz w:val="24"/>
                <w:szCs w:val="24"/>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Investment income</w:t>
            </w:r>
          </w:p>
        </w:tc>
        <w:tc>
          <w:tcPr>
            <w:tcW w:w="0" w:type="dxa"/>
            <w:vAlign w:val="bottom"/>
          </w:tcPr>
          <w:p>
            <w:pPr>
              <w:spacing w:after="0"/>
              <w:rPr>
                <w:sz w:val="1"/>
                <w:szCs w:val="1"/>
                <w:color w:val="auto"/>
              </w:rPr>
            </w:pPr>
          </w:p>
        </w:tc>
      </w:tr>
      <w:tr>
        <w:trPr>
          <w:trHeight w:val="235"/>
        </w:trPr>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54,443</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ind w:left="140"/>
              <w:spacing w:after="0"/>
              <w:rPr>
                <w:sz w:val="20"/>
                <w:szCs w:val="20"/>
                <w:color w:val="auto"/>
              </w:rPr>
            </w:pPr>
            <w:r>
              <w:rPr>
                <w:rFonts w:ascii="Arial" w:cs="Arial" w:eastAsia="Arial" w:hAnsi="Arial"/>
                <w:sz w:val="16"/>
                <w:szCs w:val="16"/>
                <w:color w:val="auto"/>
              </w:rPr>
              <w:t>179,985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(163,301)</w:t>
            </w:r>
          </w:p>
        </w:tc>
        <w:tc>
          <w:tcPr>
            <w:tcW w:w="10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10"/>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(204,811)</w:t>
            </w: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(677,087)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color w:val="auto"/>
              </w:rPr>
              <w:t>614,324</w:t>
            </w:r>
          </w:p>
        </w:tc>
        <w:tc>
          <w:tcPr>
            <w:tcW w:w="100" w:type="dxa"/>
            <w:vAlign w:val="bottom"/>
          </w:tcPr>
          <w:p>
            <w:pPr>
              <w:spacing w:after="0"/>
              <w:rPr>
                <w:sz w:val="18"/>
                <w:szCs w:val="18"/>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-856615</wp:posOffset>
            </wp:positionV>
            <wp:extent cx="6720840" cy="265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20840" cy="26543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-325120</wp:posOffset>
            </wp:positionV>
            <wp:extent cx="672084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2084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40" w:space="160"/>
            <w:col w:w="6540"/>
          </w:cols>
          <w:pgMar w:left="320" w:top="364" w:right="339" w:bottom="1440" w:gutter="0" w:footer="0" w:header="0"/>
          <w:type w:val="continuous"/>
        </w:sectPr>
      </w:pPr>
    </w:p>
    <w:p>
      <w:pPr>
        <w:spacing w:after="0" w:line="321"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Debt and Financing Arrangements</w:t>
      </w:r>
    </w:p>
    <w:p>
      <w:pPr>
        <w:spacing w:after="0" w:line="252"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On October 15, 2018, the Company entered into a Credit Agreement (“Credit Agreement”) with PNC as the administrative agent and sole lender.</w:t>
      </w:r>
    </w:p>
    <w:p>
      <w:pPr>
        <w:spacing w:after="0" w:line="180"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Pursuant to this Credit Agreement, the Company has access to a $150 million senior revolving credit facility (“Revolver”). Under the terms of the Credit Agreement, the Company is entitled to further request an additional aggregate principal amount of up to $100 million, subject to the satisfaction of certain conditions. In addition, the Company is entitled to the benefit of swing loans from amounts otherwise available under the Revolver in the aggregate principal amount of up to $20 million and to request Letters of Credit from amounts otherwise available under the Revolver in the aggregate principle amount up to $20 million, both subject to certain conditions. The obligations of the Company under the Credit Agreement are not secured,</w:t>
      </w: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but are subject to certain covenants. As of September 30, 2022, there was no outstanding balance on the Revolver. The Revolver expires on October 15, 2023.</w:t>
      </w:r>
    </w:p>
    <w:p>
      <w:pPr>
        <w:spacing w:after="0" w:line="180"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The Credit Agreement contains customary representations and warranties and certain covenants that place certain limitations on the Company.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2022, the Company is in compliance with its covenants under the Credit Agreement.</w:t>
      </w:r>
    </w:p>
    <w:p>
      <w:pPr>
        <w:spacing w:after="0" w:line="200" w:lineRule="exact"/>
        <w:rPr>
          <w:sz w:val="20"/>
          <w:szCs w:val="20"/>
          <w:color w:val="auto"/>
        </w:rPr>
      </w:pPr>
    </w:p>
    <w:p>
      <w:pPr>
        <w:spacing w:after="0" w:line="295"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Equity</w:t>
      </w:r>
    </w:p>
    <w:p>
      <w:pPr>
        <w:spacing w:after="0" w:line="25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decrease in common stock during the nine months ended September 30, 2022, was primarily due to the repurchases of 3.3 million shares, partially offset by the issuance of 1.4 million shares of the Company’s common stock, net of cancellations, under the Company’s stock-based compensation plans and the issuance of 0.2 million shares of common stock as partial consideration for an investment in Green Marbles. The total net decrease was 1.8 million shares.</w:t>
      </w:r>
    </w:p>
    <w:p>
      <w:pPr>
        <w:spacing w:after="0" w:line="203" w:lineRule="exact"/>
        <w:rPr>
          <w:sz w:val="20"/>
          <w:szCs w:val="20"/>
          <w:color w:val="auto"/>
        </w:rPr>
      </w:pPr>
    </w:p>
    <w:p>
      <w:pPr>
        <w:jc w:val="both"/>
        <w:ind w:left="660" w:right="20"/>
        <w:spacing w:after="0" w:line="268" w:lineRule="auto"/>
        <w:rPr>
          <w:sz w:val="20"/>
          <w:szCs w:val="20"/>
          <w:color w:val="auto"/>
        </w:rPr>
      </w:pPr>
      <w:r>
        <w:rPr>
          <w:rFonts w:ascii="Arial" w:cs="Arial" w:eastAsia="Arial" w:hAnsi="Arial"/>
          <w:sz w:val="18"/>
          <w:szCs w:val="18"/>
          <w:color w:val="auto"/>
        </w:rPr>
        <w:t>The Company recorded a cash dividend of $0.120 per share during the third quarter of 2022 as compared to a cash dividend of $0.120 per share during the third quarter of 2021. The third quarter 2022 dividend of $28.2 million was declared on August 31, 2022 and was paid on October 19, 2022.</w:t>
      </w:r>
    </w:p>
    <w:p>
      <w:pPr>
        <w:spacing w:after="0" w:line="200" w:lineRule="exact"/>
        <w:rPr>
          <w:sz w:val="20"/>
          <w:szCs w:val="20"/>
          <w:color w:val="auto"/>
        </w:rPr>
      </w:pPr>
    </w:p>
    <w:p>
      <w:pPr>
        <w:spacing w:after="0" w:line="241"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15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product liability, intellectual property, safety and health, employment, regulatory,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or cash flows of the Company.</w:t>
      </w:r>
    </w:p>
    <w:p>
      <w:pPr>
        <w:spacing w:after="0" w:line="85"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The Company is responding to a subpoena issued by the staff of the Division of Enforcement of the SEC for records from approximately 2015-2019. The Company has been informed that the SEC staff may be reviewing certain accounting determinations, including determinations that the staff believes could have impacted the Company’s reported earnings per share for certain periods during that time frame. The Company has continued to assert that its financial statements filed with the SEC in Forms 10-K and 10-Q in 2015 -2019 present fairly, in all material respects, its financial condition, results of operations and cash flows as of or for the periods ending on their respective dates. The Company maintains that its actions were appropriate; however, the Company remains open to resolving this matter with the SEC, and therefore, the Company has an amount accrued as of September 30, 2022 for an estimated liability. The Company does not believe the accrued liability is material to the financial statements.</w:t>
      </w:r>
    </w:p>
    <w:p>
      <w:pPr>
        <w:spacing w:after="0" w:line="200" w:lineRule="exact"/>
        <w:rPr>
          <w:sz w:val="20"/>
          <w:szCs w:val="20"/>
          <w:color w:val="auto"/>
        </w:rPr>
      </w:pPr>
    </w:p>
    <w:p>
      <w:pPr>
        <w:spacing w:after="0" w:line="399" w:lineRule="exact"/>
        <w:rPr>
          <w:sz w:val="20"/>
          <w:szCs w:val="20"/>
          <w:color w:val="auto"/>
        </w:rPr>
      </w:pPr>
    </w:p>
    <w:p>
      <w:pPr>
        <w:ind w:left="840" w:hanging="508"/>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Segment Reporting</w:t>
      </w:r>
    </w:p>
    <w:p>
      <w:pPr>
        <w:spacing w:after="0" w:line="25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The Company's automotive segment develops and manufactures digital vision and connected car products and electronics, including: automatic-dimming rearview mirrors with and without electronic features; non-auto dimming rearview mirrors with and without electronic features; and other electronics. The Company also develops and manufactures variably dimming windows and laminate products for the aerospace industry and fire protection products for the commercial construction industry. In 2020, the Company acquired Vaporsens, which specializes in nanofiber chemical sensing. These three non-automotive segments are combined into the "Other" segment as shown below. In first quarter of 2021, the Company acquired Guardian, which is combined in the Automotive Segment below. Further information in regards to the Guardian transaction is included in </w:t>
      </w:r>
      <w:r>
        <w:rPr>
          <w:rFonts w:ascii="Arial" w:cs="Arial" w:eastAsia="Arial" w:hAnsi="Arial"/>
          <w:sz w:val="18"/>
          <w:szCs w:val="18"/>
          <w:u w:val="single" w:color="auto"/>
          <w:color w:val="0000FF"/>
        </w:rPr>
        <w:t>Note 15</w:t>
      </w:r>
      <w:r>
        <w:rPr>
          <w:rFonts w:ascii="Arial" w:cs="Arial" w:eastAsia="Arial" w:hAnsi="Arial"/>
          <w:sz w:val="18"/>
          <w:szCs w:val="18"/>
          <w:color w:val="auto"/>
        </w:rPr>
        <w:t xml:space="preserve"> of the financial statements.</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2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7"/>
                <w:szCs w:val="17"/>
                <w:color w:val="auto"/>
              </w:rPr>
            </w:pPr>
          </w:p>
        </w:tc>
        <w:tc>
          <w:tcPr>
            <w:tcW w:w="3440" w:type="dxa"/>
            <w:vAlign w:val="bottom"/>
            <w:gridSpan w:val="3"/>
          </w:tcPr>
          <w:p>
            <w:pPr>
              <w:jc w:val="right"/>
              <w:ind w:right="633"/>
              <w:spacing w:after="0"/>
              <w:rPr>
                <w:sz w:val="20"/>
                <w:szCs w:val="20"/>
                <w:color w:val="auto"/>
              </w:rPr>
            </w:pPr>
            <w:r>
              <w:rPr>
                <w:rFonts w:ascii="Arial" w:cs="Arial" w:eastAsia="Arial" w:hAnsi="Arial"/>
                <w:sz w:val="14"/>
                <w:szCs w:val="14"/>
                <w:b w:val="1"/>
                <w:bCs w:val="1"/>
                <w:color w:val="auto"/>
              </w:rPr>
              <w:t>Nine Months Ended September 30,</w:t>
            </w:r>
          </w:p>
        </w:tc>
      </w:tr>
      <w:tr>
        <w:trPr>
          <w:trHeight w:val="203"/>
        </w:trPr>
        <w:tc>
          <w:tcPr>
            <w:tcW w:w="28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2021</w:t>
            </w:r>
          </w:p>
        </w:tc>
      </w:tr>
      <w:tr>
        <w:trPr>
          <w:trHeight w:val="211"/>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9"/>
        </w:trPr>
        <w:tc>
          <w:tcPr>
            <w:tcW w:w="288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480,937,253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391,338,185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1,391,840,835</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1,287,578,273</w:t>
            </w:r>
          </w:p>
        </w:tc>
      </w:tr>
      <w:tr>
        <w:trPr>
          <w:trHeight w:val="230"/>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12,699,442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8,260,559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33,469,637</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23,750,336</w:t>
            </w:r>
          </w:p>
        </w:tc>
      </w:tr>
      <w:tr>
        <w:trPr>
          <w:trHeight w:val="223"/>
        </w:trPr>
        <w:tc>
          <w:tcPr>
            <w:tcW w:w="2880" w:type="dxa"/>
            <w:vAlign w:val="bottom"/>
          </w:tcPr>
          <w:p>
            <w:pPr>
              <w:ind w:left="2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493,636,695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399,598,744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1,425,310,472</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1,311,328,609</w:t>
            </w: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7"/>
        </w:trPr>
        <w:tc>
          <w:tcPr>
            <w:tcW w:w="28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Income (Loss) from operations:</w:t>
            </w:r>
          </w:p>
        </w:tc>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29"/>
        </w:trPr>
        <w:tc>
          <w:tcPr>
            <w:tcW w:w="288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87,109,317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89,121,170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277,492,945</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325,579,533</w:t>
            </w:r>
          </w:p>
        </w:tc>
      </w:tr>
      <w:tr>
        <w:trPr>
          <w:trHeight w:val="230"/>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(317,777)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(956,230)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(1,604,532)</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(3,756,270)</w:t>
            </w:r>
          </w:p>
        </w:tc>
      </w:tr>
      <w:tr>
        <w:trPr>
          <w:trHeight w:val="223"/>
        </w:trPr>
        <w:tc>
          <w:tcPr>
            <w:tcW w:w="2880" w:type="dxa"/>
            <w:vAlign w:val="bottom"/>
          </w:tcPr>
          <w:p>
            <w:pPr>
              <w:ind w:left="2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86,791,540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88,164,940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275,888,413</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321,823,263</w:t>
            </w:r>
          </w:p>
        </w:tc>
      </w:tr>
      <w:tr>
        <w:trPr>
          <w:trHeight w:val="21"/>
        </w:trPr>
        <w:tc>
          <w:tcPr>
            <w:tcW w:w="2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44"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effective tax rate was 15.2% in the nine months ended September 30, 2022, compared to an effective tax rate of 15.4% for the same period in 2021. Generally, effective tax rates for these periods differ from statutory federal income tax rates, due to provisions for state and local income taxes, permanent tax differences, the foreign-derived intangible income tax deduction, and research and development tax credits.</w:t>
      </w:r>
    </w:p>
    <w:p>
      <w:pPr>
        <w:spacing w:after="0" w:line="203"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w:t>
      </w:r>
    </w:p>
    <w:p>
      <w:pPr>
        <w:spacing w:after="0" w:line="252" w:lineRule="exact"/>
        <w:rPr>
          <w:sz w:val="20"/>
          <w:szCs w:val="20"/>
          <w:color w:val="auto"/>
        </w:rPr>
      </w:pPr>
    </w:p>
    <w:p>
      <w:pPr>
        <w:jc w:val="both"/>
        <w:ind w:left="660"/>
        <w:spacing w:after="0" w:line="279" w:lineRule="auto"/>
        <w:rPr>
          <w:sz w:val="20"/>
          <w:szCs w:val="20"/>
          <w:color w:val="auto"/>
        </w:rPr>
      </w:pPr>
      <w:r>
        <w:rPr>
          <w:rFonts w:ascii="Arial" w:cs="Arial" w:eastAsia="Arial" w:hAnsi="Arial"/>
          <w:sz w:val="18"/>
          <w:szCs w:val="18"/>
          <w:color w:val="auto"/>
        </w:rPr>
        <w:t>The following table shows the Company’s Automotive revenue and Other Products revenue disaggregated by geographical location for Automotive Products for the three and nine month periods ended September 30, 2022 and September 30, 2021:</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2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38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7"/>
                <w:szCs w:val="17"/>
                <w:color w:val="auto"/>
              </w:rPr>
            </w:pPr>
          </w:p>
        </w:tc>
        <w:tc>
          <w:tcPr>
            <w:tcW w:w="3380" w:type="dxa"/>
            <w:vAlign w:val="bottom"/>
            <w:gridSpan w:val="3"/>
          </w:tcPr>
          <w:p>
            <w:pPr>
              <w:jc w:val="right"/>
              <w:ind w:right="612"/>
              <w:spacing w:after="0"/>
              <w:rPr>
                <w:sz w:val="20"/>
                <w:szCs w:val="20"/>
                <w:color w:val="auto"/>
              </w:rPr>
            </w:pPr>
            <w:r>
              <w:rPr>
                <w:rFonts w:ascii="Arial" w:cs="Arial" w:eastAsia="Arial" w:hAnsi="Arial"/>
                <w:sz w:val="14"/>
                <w:szCs w:val="14"/>
                <w:b w:val="1"/>
                <w:bCs w:val="1"/>
                <w:color w:val="auto"/>
              </w:rPr>
              <w:t>Nine Months Ended September 30,</w:t>
            </w:r>
          </w:p>
        </w:tc>
      </w:tr>
      <w:tr>
        <w:trPr>
          <w:trHeight w:val="203"/>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w:t>
            </w:r>
          </w:p>
        </w:tc>
        <w:tc>
          <w:tcPr>
            <w:tcW w:w="3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2021</w:t>
            </w:r>
          </w:p>
        </w:tc>
      </w:tr>
      <w:tr>
        <w:trPr>
          <w:trHeight w:val="224"/>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Products</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2620" w:type="dxa"/>
            <w:vAlign w:val="bottom"/>
          </w:tcPr>
          <w:p>
            <w:pPr>
              <w:ind w:left="120"/>
              <w:spacing w:after="0"/>
              <w:rPr>
                <w:sz w:val="20"/>
                <w:szCs w:val="20"/>
                <w:color w:val="auto"/>
              </w:rPr>
            </w:pPr>
            <w:r>
              <w:rPr>
                <w:rFonts w:ascii="Arial" w:cs="Arial" w:eastAsia="Arial" w:hAnsi="Arial"/>
                <w:sz w:val="18"/>
                <w:szCs w:val="18"/>
                <w:color w:val="auto"/>
              </w:rPr>
              <w:t>U.S.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147,865,393</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128,570,314</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435,877,621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410,852,689</w:t>
            </w:r>
          </w:p>
        </w:tc>
      </w:tr>
      <w:tr>
        <w:trPr>
          <w:trHeight w:val="230"/>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Germany</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65,508,444</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55,162,289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204,653,773</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183,513,145</w:t>
            </w:r>
          </w:p>
        </w:tc>
      </w:tr>
      <w:tr>
        <w:trPr>
          <w:trHeight w:val="230"/>
        </w:trPr>
        <w:tc>
          <w:tcPr>
            <w:tcW w:w="2620" w:type="dxa"/>
            <w:vAlign w:val="bottom"/>
          </w:tcPr>
          <w:p>
            <w:pPr>
              <w:ind w:left="120"/>
              <w:spacing w:after="0"/>
              <w:rPr>
                <w:sz w:val="20"/>
                <w:szCs w:val="20"/>
                <w:color w:val="auto"/>
              </w:rPr>
            </w:pPr>
            <w:r>
              <w:rPr>
                <w:rFonts w:ascii="Arial" w:cs="Arial" w:eastAsia="Arial" w:hAnsi="Arial"/>
                <w:sz w:val="18"/>
                <w:szCs w:val="18"/>
                <w:color w:val="auto"/>
              </w:rPr>
              <w:t>Japan</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63,797,497</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53,750,242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165,215,741</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161,814,352</w:t>
            </w:r>
          </w:p>
        </w:tc>
      </w:tr>
      <w:tr>
        <w:trPr>
          <w:trHeight w:val="230"/>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Mexico</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32,024,141</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25,239,690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93,951,398</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85,574,821</w:t>
            </w:r>
          </w:p>
        </w:tc>
      </w:tr>
      <w:tr>
        <w:trPr>
          <w:trHeight w:val="229"/>
        </w:trPr>
        <w:tc>
          <w:tcPr>
            <w:tcW w:w="26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171,741,778</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128,615,650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492,142,302</w:t>
            </w: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445,823,266</w:t>
            </w:r>
          </w:p>
        </w:tc>
      </w:tr>
      <w:tr>
        <w:trPr>
          <w:trHeight w:val="22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Automotive Products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480,937,253</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391,338,185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1,391,840,835</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1,287,578,273</w:t>
            </w:r>
          </w:p>
        </w:tc>
      </w:tr>
      <w:tr>
        <w:trPr>
          <w:trHeight w:val="229"/>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Products (U.S.)</w:t>
            </w: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12,699,442</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8,260,559</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33,469,637</w:t>
            </w: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23,750,336</w:t>
            </w:r>
          </w:p>
        </w:tc>
      </w:tr>
      <w:tr>
        <w:trPr>
          <w:trHeight w:val="248"/>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493,636,695</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399,598,744</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1,425,310,472</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1,311,328,609</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Revenue by geographic area may fluctuate based on many factors, including: exposure to local economic, political, and labor conditions; a pandemic; global supply chain constraints; unexpected changes in laws, regulations, trade or monetary or fiscal policy, including interest rates, foreign currency exchange rates and changes in the rate of inflation in the U.S. and other foreign countries; and tariffs, quotas, customs and other import or export restrictions and other trade barriers.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jc w:val="center"/>
        <w:ind w:right="-11"/>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652" w:right="360"/>
        <w:spacing w:after="0" w:line="279" w:lineRule="auto"/>
        <w:rPr>
          <w:sz w:val="20"/>
          <w:szCs w:val="20"/>
          <w:color w:val="auto"/>
        </w:rPr>
      </w:pPr>
      <w:r>
        <w:rPr>
          <w:rFonts w:ascii="Arial" w:cs="Arial" w:eastAsia="Arial" w:hAnsi="Arial"/>
          <w:sz w:val="18"/>
          <w:szCs w:val="18"/>
          <w:color w:val="auto"/>
        </w:rPr>
        <w:t>The following table disaggregates the Company’s Automotive revenue and Other revenue by major source for the three and nine month periods ended September 30, 2022 and September 30, 2021:</w:t>
      </w:r>
    </w:p>
    <w:p>
      <w:pPr>
        <w:spacing w:after="0" w:line="1" w:lineRule="exact"/>
        <w:rPr>
          <w:sz w:val="20"/>
          <w:szCs w:val="20"/>
          <w:color w:val="auto"/>
        </w:rPr>
      </w:pPr>
    </w:p>
    <w:tbl>
      <w:tblPr>
        <w:tblLayout w:type="fixed"/>
        <w:tblInd w:w="652" w:type="dxa"/>
        <w:tblCellMar>
          <w:top w:w="0" w:type="dxa"/>
          <w:left w:w="0" w:type="dxa"/>
          <w:bottom w:w="0" w:type="dxa"/>
          <w:right w:w="0" w:type="dxa"/>
        </w:tblCellMar>
      </w:tblPr>
      <w:tr>
        <w:trPr>
          <w:trHeight w:val="196"/>
        </w:trPr>
        <w:tc>
          <w:tcPr>
            <w:tcW w:w="356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17"/>
                <w:szCs w:val="17"/>
                <w:color w:val="auto"/>
              </w:rPr>
            </w:pPr>
          </w:p>
        </w:tc>
        <w:tc>
          <w:tcPr>
            <w:tcW w:w="298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7"/>
                <w:szCs w:val="17"/>
                <w:color w:val="auto"/>
              </w:rPr>
            </w:pPr>
          </w:p>
        </w:tc>
        <w:tc>
          <w:tcPr>
            <w:tcW w:w="3360" w:type="dxa"/>
            <w:vAlign w:val="bottom"/>
            <w:gridSpan w:val="3"/>
          </w:tcPr>
          <w:p>
            <w:pPr>
              <w:jc w:val="right"/>
              <w:ind w:right="59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32"/>
        </w:trPr>
        <w:tc>
          <w:tcPr>
            <w:tcW w:w="356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Segment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40"/>
              <w:spacing w:after="0"/>
              <w:rPr>
                <w:sz w:val="20"/>
                <w:szCs w:val="20"/>
                <w:color w:val="auto"/>
              </w:rPr>
            </w:pPr>
            <w:r>
              <w:rPr>
                <w:rFonts w:ascii="Arial" w:cs="Arial" w:eastAsia="Arial" w:hAnsi="Arial"/>
                <w:sz w:val="18"/>
                <w:szCs w:val="18"/>
                <w:color w:val="auto"/>
              </w:rPr>
              <w:t>Automotive Mirrors &amp; Electronics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448,773,060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360,415,449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1,291,891,664</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1,185,997,034</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HomeLink Modules*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32,164,193</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30,922,736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99,949,171</w:t>
            </w:r>
          </w:p>
        </w:tc>
        <w:tc>
          <w:tcPr>
            <w:tcW w:w="4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101,581,239</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color w:val="auto"/>
              </w:rPr>
              <w:t>Total Automotive Products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480,937,253</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391,338,185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1,391,840,835</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1,287,578,273</w:t>
            </w: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Other Segment</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Fire Protection Products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10,484,680</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5,886,227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28,577,916</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18,010,048</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Aerospace Products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2,214,762</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2,374,332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4,891,721</w:t>
            </w: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5,740,288</w:t>
            </w: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12,699,442</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8,260,559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33,469,637</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23,750,336</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672"/>
        <w:spacing w:after="0"/>
        <w:rPr>
          <w:sz w:val="20"/>
          <w:szCs w:val="20"/>
          <w:color w:val="auto"/>
        </w:rPr>
      </w:pPr>
      <w:r>
        <w:rPr>
          <w:rFonts w:ascii="Arial" w:cs="Arial" w:eastAsia="Arial" w:hAnsi="Arial"/>
          <w:sz w:val="18"/>
          <w:szCs w:val="18"/>
          <w:color w:val="auto"/>
        </w:rPr>
        <w:t>*Excludes HomeLink revenue where HomeLink electronics are integrated into interior auto-dimming mirrors.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-127635</wp:posOffset>
            </wp:positionV>
            <wp:extent cx="6669405"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6940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12" w:hanging="512"/>
        <w:spacing w:after="0"/>
        <w:tabs>
          <w:tab w:leader="none" w:pos="5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Leases</w:t>
      </w:r>
    </w:p>
    <w:p>
      <w:pPr>
        <w:spacing w:after="0" w:line="252" w:lineRule="exact"/>
        <w:rPr>
          <w:sz w:val="20"/>
          <w:szCs w:val="20"/>
          <w:color w:val="auto"/>
        </w:rPr>
      </w:pPr>
    </w:p>
    <w:p>
      <w:pPr>
        <w:jc w:val="both"/>
        <w:ind w:left="652"/>
        <w:spacing w:after="0" w:line="262" w:lineRule="auto"/>
        <w:rPr>
          <w:sz w:val="20"/>
          <w:szCs w:val="20"/>
          <w:color w:val="auto"/>
        </w:rPr>
      </w:pPr>
      <w:r>
        <w:rPr>
          <w:rFonts w:ascii="Arial" w:cs="Arial" w:eastAsia="Arial" w:hAnsi="Arial"/>
          <w:sz w:val="18"/>
          <w:szCs w:val="18"/>
          <w:color w:val="auto"/>
        </w:rPr>
        <w:t>The Company has operating leases for certain sales and engineering offices, as well as other vehicles and equipment, which are included within "Plant and Equipment - Net" section of the Condensed Consolidated Balance Sheets. The leases have remaining lease terms of 1 year to 5 years. The weighted average remaining lease term for operating leases as of September 30, 2022 was 2 years, with a weighted average discount rate of 5.7%.</w:t>
      </w:r>
    </w:p>
    <w:p>
      <w:pPr>
        <w:spacing w:after="0" w:line="203" w:lineRule="exact"/>
        <w:rPr>
          <w:sz w:val="20"/>
          <w:szCs w:val="20"/>
          <w:color w:val="auto"/>
        </w:rPr>
      </w:pPr>
    </w:p>
    <w:p>
      <w:pPr>
        <w:ind w:left="652"/>
        <w:spacing w:after="0"/>
        <w:rPr>
          <w:sz w:val="20"/>
          <w:szCs w:val="20"/>
          <w:color w:val="auto"/>
        </w:rPr>
      </w:pPr>
      <w:r>
        <w:rPr>
          <w:rFonts w:ascii="Arial" w:cs="Arial" w:eastAsia="Arial" w:hAnsi="Arial"/>
          <w:sz w:val="18"/>
          <w:szCs w:val="18"/>
          <w:color w:val="auto"/>
        </w:rPr>
        <w:t>Future minimum lease payments for operating leases as of September 30,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34925</wp:posOffset>
            </wp:positionV>
            <wp:extent cx="620649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06490" cy="128905"/>
                    </a:xfrm>
                    <a:prstGeom prst="rect">
                      <a:avLst/>
                    </a:prstGeom>
                    <a:noFill/>
                  </pic:spPr>
                </pic:pic>
              </a:graphicData>
            </a:graphic>
          </wp:anchor>
        </w:drawing>
      </w:r>
    </w:p>
    <w:p>
      <w:pPr>
        <w:spacing w:after="0" w:line="39" w:lineRule="exact"/>
        <w:rPr>
          <w:sz w:val="20"/>
          <w:szCs w:val="20"/>
          <w:color w:val="auto"/>
        </w:rPr>
      </w:pPr>
    </w:p>
    <w:p>
      <w:pPr>
        <w:ind w:left="672"/>
        <w:spacing w:after="0"/>
        <w:rPr>
          <w:sz w:val="20"/>
          <w:szCs w:val="20"/>
          <w:color w:val="auto"/>
        </w:rPr>
      </w:pPr>
      <w:r>
        <w:rPr>
          <w:rFonts w:ascii="Arial" w:cs="Arial" w:eastAsia="Arial" w:hAnsi="Arial"/>
          <w:sz w:val="14"/>
          <w:szCs w:val="14"/>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23495</wp:posOffset>
            </wp:positionV>
            <wp:extent cx="62064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06490" cy="8255"/>
                    </a:xfrm>
                    <a:prstGeom prst="rect">
                      <a:avLst/>
                    </a:prstGeom>
                    <a:noFill/>
                  </pic:spPr>
                </pic:pic>
              </a:graphicData>
            </a:graphic>
          </wp:anchor>
        </w:drawing>
      </w:r>
    </w:p>
    <w:p>
      <w:pPr>
        <w:spacing w:after="0" w:line="179" w:lineRule="exact"/>
        <w:rPr>
          <w:sz w:val="20"/>
          <w:szCs w:val="20"/>
          <w:color w:val="auto"/>
        </w:rPr>
      </w:pPr>
    </w:p>
    <w:tbl>
      <w:tblPr>
        <w:tblLayout w:type="fixed"/>
        <w:tblInd w:w="652" w:type="dxa"/>
        <w:tblCellMar>
          <w:top w:w="0" w:type="dxa"/>
          <w:left w:w="0" w:type="dxa"/>
          <w:bottom w:w="0" w:type="dxa"/>
          <w:right w:w="0" w:type="dxa"/>
        </w:tblCellMar>
      </w:tblP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(excluding the nine months ended September 30, 2022)</w:t>
            </w:r>
          </w:p>
        </w:tc>
        <w:tc>
          <w:tcPr>
            <w:tcW w:w="86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337,069</w:t>
            </w:r>
          </w:p>
        </w:tc>
        <w:tc>
          <w:tcPr>
            <w:tcW w:w="60" w:type="dxa"/>
            <w:vAlign w:val="bottom"/>
          </w:tcPr>
          <w:p>
            <w:pPr>
              <w:spacing w:after="0"/>
              <w:rPr>
                <w:sz w:val="19"/>
                <w:szCs w:val="19"/>
                <w:color w:val="auto"/>
              </w:rPr>
            </w:pP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1,039,840</w:t>
            </w:r>
          </w:p>
        </w:tc>
        <w:tc>
          <w:tcPr>
            <w:tcW w:w="60" w:type="dxa"/>
            <w:vAlign w:val="bottom"/>
          </w:tcPr>
          <w:p>
            <w:pPr>
              <w:spacing w:after="0"/>
              <w:rPr>
                <w:sz w:val="19"/>
                <w:szCs w:val="19"/>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297,208</w:t>
            </w:r>
          </w:p>
        </w:tc>
        <w:tc>
          <w:tcPr>
            <w:tcW w:w="60" w:type="dxa"/>
            <w:vAlign w:val="bottom"/>
          </w:tcPr>
          <w:p>
            <w:pPr>
              <w:spacing w:after="0"/>
              <w:rPr>
                <w:sz w:val="19"/>
                <w:szCs w:val="19"/>
                <w:color w:val="auto"/>
              </w:rPr>
            </w:pP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97,778</w:t>
            </w:r>
          </w:p>
        </w:tc>
        <w:tc>
          <w:tcPr>
            <w:tcW w:w="60" w:type="dxa"/>
            <w:vAlign w:val="bottom"/>
          </w:tcPr>
          <w:p>
            <w:pPr>
              <w:spacing w:after="0"/>
              <w:rPr>
                <w:sz w:val="19"/>
                <w:szCs w:val="19"/>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18,388</w:t>
            </w:r>
          </w:p>
        </w:tc>
        <w:tc>
          <w:tcPr>
            <w:tcW w:w="60" w:type="dxa"/>
            <w:vAlign w:val="bottom"/>
          </w:tcPr>
          <w:p>
            <w:pPr>
              <w:spacing w:after="0"/>
              <w:rPr>
                <w:sz w:val="19"/>
                <w:szCs w:val="19"/>
                <w:color w:val="auto"/>
              </w:rPr>
            </w:pPr>
          </w:p>
        </w:tc>
      </w:tr>
      <w:tr>
        <w:trPr>
          <w:trHeight w:val="230"/>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60" w:type="dxa"/>
            <w:vAlign w:val="bottom"/>
          </w:tcPr>
          <w:p>
            <w:pPr>
              <w:spacing w:after="0"/>
              <w:rPr>
                <w:sz w:val="19"/>
                <w:szCs w:val="19"/>
                <w:color w:val="auto"/>
              </w:rPr>
            </w:pPr>
          </w:p>
        </w:tc>
      </w:tr>
      <w:tr>
        <w:trPr>
          <w:trHeight w:val="223"/>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future minimum lease payments</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1,791,171</w:t>
            </w:r>
          </w:p>
        </w:tc>
        <w:tc>
          <w:tcPr>
            <w:tcW w:w="60" w:type="dxa"/>
            <w:vAlign w:val="bottom"/>
          </w:tcPr>
          <w:p>
            <w:pPr>
              <w:spacing w:after="0"/>
              <w:rPr>
                <w:sz w:val="19"/>
                <w:szCs w:val="19"/>
                <w:color w:val="auto"/>
              </w:rPr>
            </w:pPr>
          </w:p>
        </w:tc>
      </w:tr>
      <w:tr>
        <w:trPr>
          <w:trHeight w:val="230"/>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(44,590)</w:t>
            </w:r>
          </w:p>
        </w:tc>
        <w:tc>
          <w:tcPr>
            <w:tcW w:w="60" w:type="dxa"/>
            <w:vAlign w:val="bottom"/>
          </w:tcPr>
          <w:p>
            <w:pPr>
              <w:spacing w:after="0"/>
              <w:rPr>
                <w:sz w:val="19"/>
                <w:szCs w:val="19"/>
                <w:color w:val="auto"/>
              </w:rPr>
            </w:pPr>
          </w:p>
        </w:tc>
      </w:tr>
      <w:tr>
        <w:trPr>
          <w:trHeight w:val="223"/>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1,746,581</w:t>
            </w:r>
          </w:p>
        </w:tc>
        <w:tc>
          <w:tcPr>
            <w:tcW w:w="60" w:type="dxa"/>
            <w:vAlign w:val="bottom"/>
          </w:tcPr>
          <w:p>
            <w:pPr>
              <w:spacing w:after="0"/>
              <w:rPr>
                <w:sz w:val="19"/>
                <w:szCs w:val="19"/>
                <w:color w:val="auto"/>
              </w:rPr>
            </w:pPr>
          </w:p>
        </w:tc>
      </w:tr>
      <w:tr>
        <w:trPr>
          <w:trHeight w:val="365"/>
        </w:trPr>
        <w:tc>
          <w:tcPr>
            <w:tcW w:w="7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1"/>
        </w:trPr>
        <w:tc>
          <w:tcPr>
            <w:tcW w:w="7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Reported as of September 30, 2022</w:t>
            </w:r>
          </w:p>
        </w:tc>
        <w:tc>
          <w:tcPr>
            <w:tcW w:w="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r>
      <w:tr>
        <w:trPr>
          <w:trHeight w:val="251"/>
        </w:trPr>
        <w:tc>
          <w:tcPr>
            <w:tcW w:w="7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8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1,145,538</w:t>
            </w:r>
          </w:p>
        </w:tc>
        <w:tc>
          <w:tcPr>
            <w:tcW w:w="60" w:type="dxa"/>
            <w:vAlign w:val="bottom"/>
            <w:shd w:val="clear" w:color="auto" w:fill="CCEEFF"/>
          </w:tcPr>
          <w:p>
            <w:pPr>
              <w:spacing w:after="0"/>
              <w:rPr>
                <w:sz w:val="19"/>
                <w:szCs w:val="19"/>
                <w:color w:val="auto"/>
              </w:rPr>
            </w:pPr>
          </w:p>
        </w:tc>
      </w:tr>
      <w:tr>
        <w:trPr>
          <w:trHeight w:val="229"/>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601,043</w:t>
            </w:r>
          </w:p>
        </w:tc>
        <w:tc>
          <w:tcPr>
            <w:tcW w:w="60" w:type="dxa"/>
            <w:vAlign w:val="bottom"/>
            <w:tcBorders>
              <w:bottom w:val="single" w:sz="8" w:color="auto"/>
            </w:tcBorders>
          </w:tcPr>
          <w:p>
            <w:pPr>
              <w:spacing w:after="0"/>
              <w:rPr>
                <w:sz w:val="19"/>
                <w:szCs w:val="19"/>
                <w:color w:val="auto"/>
              </w:rPr>
            </w:pPr>
          </w:p>
        </w:tc>
      </w:tr>
      <w:tr>
        <w:trPr>
          <w:trHeight w:val="223"/>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1,746,581</w:t>
            </w:r>
          </w:p>
        </w:tc>
        <w:tc>
          <w:tcPr>
            <w:tcW w:w="60" w:type="dxa"/>
            <w:vAlign w:val="bottom"/>
            <w:tcBorders>
              <w:bottom w:val="single" w:sz="8" w:color="auto"/>
            </w:tcBorders>
            <w:shd w:val="clear" w:color="auto" w:fill="CCEE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32"/>
          </w:cols>
          <w:pgMar w:left="328"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1032"/>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64"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Acquisition</w:t>
      </w:r>
    </w:p>
    <w:p>
      <w:pPr>
        <w:spacing w:after="0" w:line="252" w:lineRule="exact"/>
        <w:rPr>
          <w:sz w:val="20"/>
          <w:szCs w:val="20"/>
          <w:color w:val="auto"/>
        </w:rPr>
      </w:pPr>
    </w:p>
    <w:p>
      <w:pPr>
        <w:jc w:val="both"/>
        <w:ind w:left="660" w:right="20"/>
        <w:spacing w:after="0" w:line="268" w:lineRule="auto"/>
        <w:rPr>
          <w:sz w:val="20"/>
          <w:szCs w:val="20"/>
          <w:color w:val="auto"/>
        </w:rPr>
      </w:pPr>
      <w:r>
        <w:rPr>
          <w:rFonts w:ascii="Arial" w:cs="Arial" w:eastAsia="Arial" w:hAnsi="Arial"/>
          <w:sz w:val="18"/>
          <w:szCs w:val="18"/>
          <w:color w:val="auto"/>
        </w:rPr>
        <w:t>On March 3, 2021, the Company acquired Guardian for approximately $12.0 million. Guardian is an Israeli research and development company that specializes in in-cabin sensing technologies for the automotive industry. The Company funded the acquisition with cash on hand. The valuation process was completed during the fourth quarter of 2021.</w:t>
      </w:r>
    </w:p>
    <w:p>
      <w:pPr>
        <w:spacing w:after="0" w:line="19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 xml:space="preserve">Guardian is now a 100% owned subsidiary of the Company as Gentex Technologies (Israel), LTD, and is classified within the Automotive segment. The Company accounted for the acquisition under the provisions of FASB ASC Topic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THIRD QUARTER 2022 VERSUS THIRD QUARTER 2021</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third quarter of 2022 increased by $94.0 million or 24% when compared with the third quarter of 2021.</w:t>
      </w:r>
    </w:p>
    <w:p>
      <w:pPr>
        <w:spacing w:after="0" w:line="158"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Automotive net sales for the third quarter of 2022 were $ 480.9 million, compared with automotive net sales of $391.3 million in the third quarter of 2021. The 17% increase in automotive mirror unit shipments in the third quarter of 2022 to 11.5 million units compared with 9.8 million units in the third quarter of 2021, was driven primarily by a 23% quarter over quarter increase in exterior auto-dimming mirror unit shipments.</w:t>
      </w:r>
    </w:p>
    <w:p>
      <w:pPr>
        <w:spacing w:after="0" w:line="203" w:lineRule="exact"/>
        <w:rPr>
          <w:sz w:val="20"/>
          <w:szCs w:val="20"/>
          <w:color w:val="auto"/>
        </w:rPr>
      </w:pPr>
    </w:p>
    <w:p>
      <w:pPr>
        <w:ind w:left="660" w:right="120"/>
        <w:spacing w:after="0" w:line="287" w:lineRule="auto"/>
        <w:rPr>
          <w:sz w:val="20"/>
          <w:szCs w:val="20"/>
          <w:color w:val="auto"/>
        </w:rPr>
      </w:pPr>
      <w:r>
        <w:rPr>
          <w:rFonts w:ascii="Arial" w:cs="Arial" w:eastAsia="Arial" w:hAnsi="Arial"/>
          <w:sz w:val="18"/>
          <w:szCs w:val="18"/>
          <w:color w:val="auto"/>
        </w:rPr>
        <w:t xml:space="preserve">The below table represents the Company's auto-dimming mirror unit shipments for the three and nine months ended September 30, 2022, and 2021 </w:t>
      </w: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341"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3340" w:type="dxa"/>
            <w:vAlign w:val="bottom"/>
          </w:tcPr>
          <w:p>
            <w:pPr>
              <w:spacing w:after="0"/>
              <w:rPr>
                <w:sz w:val="17"/>
                <w:szCs w:val="17"/>
                <w:color w:val="auto"/>
              </w:rPr>
            </w:pPr>
          </w:p>
        </w:tc>
        <w:tc>
          <w:tcPr>
            <w:tcW w:w="33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31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33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rPr>
              <w:t>% Change</w:t>
            </w: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American Interior Mirrors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9"/>
              </w:rPr>
              <w:t>14%</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6,444</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5,843</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w:t>
            </w:r>
          </w:p>
        </w:tc>
      </w:tr>
      <w:tr>
        <w:trPr>
          <w:trHeight w:val="230"/>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American Exterior Mirrors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18%</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4,532</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4,345</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4%</w:t>
            </w:r>
          </w:p>
        </w:tc>
      </w:tr>
      <w:tr>
        <w:trPr>
          <w:trHeight w:val="223"/>
        </w:trPr>
        <w:tc>
          <w:tcPr>
            <w:tcW w:w="3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Total North American Mirror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9"/>
              </w:rPr>
              <w:t>16%</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10,976</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10,188</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r>
      <w:tr>
        <w:trPr>
          <w:trHeight w:val="270"/>
        </w:trPr>
        <w:tc>
          <w:tcPr>
            <w:tcW w:w="3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Interior Mirrors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9"/>
              </w:rPr>
              <w:t>14%</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15,282</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15,219</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Exterior Mirrors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27%</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6,926</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6,605</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w:t>
            </w:r>
          </w:p>
        </w:tc>
      </w:tr>
      <w:tr>
        <w:trPr>
          <w:trHeight w:val="223"/>
        </w:trPr>
        <w:tc>
          <w:tcPr>
            <w:tcW w:w="3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International Mirror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9"/>
              </w:rPr>
              <w:t>18%</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22,208</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21,823</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70"/>
        </w:trPr>
        <w:tc>
          <w:tcPr>
            <w:tcW w:w="3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Interior Mirrors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9"/>
              </w:rPr>
              <w:t>14%</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21,727</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21,062</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30"/>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Exterior Mirrors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23%</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11,457</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10,949</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w:t>
            </w:r>
          </w:p>
        </w:tc>
      </w:tr>
      <w:tr>
        <w:trPr>
          <w:trHeight w:val="248"/>
        </w:trPr>
        <w:tc>
          <w:tcPr>
            <w:tcW w:w="33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Total Auto-Dimming Mirror Units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center"/>
              <w:ind w:right="72"/>
              <w:spacing w:after="0"/>
              <w:rPr>
                <w:sz w:val="20"/>
                <w:szCs w:val="20"/>
                <w:color w:val="auto"/>
              </w:rPr>
            </w:pPr>
            <w:r>
              <w:rPr>
                <w:rFonts w:ascii="Arial" w:cs="Arial" w:eastAsia="Arial" w:hAnsi="Arial"/>
                <w:sz w:val="18"/>
                <w:szCs w:val="18"/>
                <w:color w:val="auto"/>
                <w:w w:val="99"/>
              </w:rPr>
              <w:t>17%</w:t>
            </w:r>
          </w:p>
        </w:tc>
        <w:tc>
          <w:tcPr>
            <w:tcW w:w="11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33,184</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32,011</w:t>
            </w: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Note: Percent change and amounts may not total due to rounding.</w:t>
      </w:r>
    </w:p>
    <w:p>
      <w:pPr>
        <w:spacing w:after="0" w:line="250"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Other net sales were $12.7 million in the third quarter of 2022, compared to $8.3 million in the third quarter of 2021. This increase is in large part attributable to a 78% quarter over quarter increase in fire protection sales, which increased to $10.5 million for the third quarter of 2022, compared to $5.9 million in the same quarter of last year. Dimmable aircraft sales decreased by 7% for the third quarter of 2022 to $2.2 million, from $2.4 million in the same quarter of last year.</w:t>
      </w:r>
    </w:p>
    <w:p>
      <w:pPr>
        <w:spacing w:after="0" w:line="109"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increased to 70.2% for the third quarter of 2022, versus 64.7%</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same quarter last year. The quarter over quarter decrease in the gross profit margin was primarily the result of raw material cost increases, unfavorable product mix, prior commitments to annual customer price reductions, and labor cost increases. On a quarter over quarter basis, raw material increases had a negative impact of approximately 250 - 300 basis points on gross margin. Both product mix shifts and annual customer price reductions each had a separate negative impact on gross margin of approximately 100 - 150 basis points on a quarter over quarter. Labor cost increases had a negative impact of approximately 50 - 100 basis points on gross margin on a quarter over quarter basis.</w:t>
      </w:r>
    </w:p>
    <w:p>
      <w:pPr>
        <w:spacing w:after="0" w:line="331"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research and development ("E, R &amp; D") expenses for the third quarter of 2022 increased by $3.8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when compared with the third quarter of 2021.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FAAC16"/>
        </w:rPr>
        <w:t>.</w:t>
      </w:r>
    </w:p>
    <w:p>
      <w:pPr>
        <w:spacing w:after="0" w:line="9"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Selling, general and administrative ("S, G &amp; A") expenses increased by 17% or $3.9 million for the third quarter of 2022, compared to the third quarter of 2021. S, G &amp; A expenses were 5% of net sales in the third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3" w:name="page24"/>
    <w:bookmarkEnd w:id="23"/>
    <w:p>
      <w:pPr>
        <w:jc w:val="both"/>
        <w:ind w:right="20"/>
        <w:spacing w:after="0" w:line="287" w:lineRule="auto"/>
        <w:rPr>
          <w:sz w:val="20"/>
          <w:szCs w:val="20"/>
          <w:color w:val="auto"/>
        </w:rPr>
      </w:pPr>
      <w:r>
        <w:rPr>
          <w:rFonts w:ascii="Arial" w:cs="Arial" w:eastAsia="Arial" w:hAnsi="Arial"/>
          <w:sz w:val="18"/>
          <w:szCs w:val="18"/>
          <w:color w:val="auto"/>
        </w:rPr>
        <w:t>quarter of 2022, compared to 6% of net sales in the third quarter of 2021. S, G, &amp; A expenses increased on a quarter over quarter basis primarily due to staffing, professional fees, outbound freight expenses, and travel related expenses.</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Total operating expenses were $60.4 million in the third quarter of 2022, an increase of 15% quarter over quarter or $7.7 million, from $52.7 million in the third quarter of 2021.</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u w:val="single" w:color="auto"/>
          <w:color w:val="auto"/>
        </w:rPr>
        <w:t>Total Other (Loss)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income for the third quarter of 2022 decreased by $2.4 million, when compared with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2021.</w:t>
      </w:r>
    </w:p>
    <w:p>
      <w:pPr>
        <w:spacing w:after="0" w:line="3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15.7% for, and an income tax expense of $13.5 million was recorded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2022, compared to an income tax expense of $13.2 million for the same quarter of 2021. Typically, effective tax rates for the Company differ from statutory federal income tax rates, due to provisions for state and local income taxes, permanent tax differences, research and development tax credits and the foreign-derived intangible income tax deduction.</w:t>
      </w:r>
    </w:p>
    <w:p>
      <w:pPr>
        <w:spacing w:after="0" w:line="9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third quarter of 2022 was $ 72.7 million, down from a net income of $76.7 million in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2021. The change in net income was primarily the result of quarter over quarter changes in gross margins and operating profits.</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u w:val="single" w:color="auto"/>
          <w:color w:val="auto"/>
        </w:rPr>
        <w:t>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earnings per diluted share for the third quarter of 2022 of $0.31, which compared to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per diluted share of $0.32 for the third quarter of 2021.</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SEPTEMBER 30, 2022 VERSUS NINE MONTHS ENDED SEPTEMBER 30, 2021</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nine months ended September 30, 2022 increased by $114.0 million or 9%, when compared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2021.</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Automotive net sales for the first nine months of 2022 were $1.4 billion, up 8% compared with automotive net sales of $1.3 billion for the first nine months of 2021, primarily due to a 4% period over period increase in automotive mirror unit shipments. Domestic automotive mirror shipments in the nine months ended September 30, 2022 increased 8% to 10.2 million units, compared with the same period in 2021.</w:t>
      </w:r>
    </w:p>
    <w:p>
      <w:pPr>
        <w:spacing w:after="0" w:line="1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net sales were $33.5 million for the first nine months of 2022, compared to $23.8 million for the same period last year. This increase is in large part attributable to a 59% period over period increase in fire protection sales, which increased to $28.6 million for the first nine months of 2022, compared to $18.0 million in the same period of 2021. Dimmable aircraft sales decreased by 15% for the first nine months of 2022 to $4.9 million, from $5.7 million for the same period in 2021.</w:t>
      </w:r>
    </w:p>
    <w:p>
      <w:pPr>
        <w:spacing w:after="0" w:line="3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increased to 68.0% for the first nine months of 2022, versus</w:t>
      </w:r>
      <w:r>
        <w:rPr>
          <w:rFonts w:ascii="Arial" w:cs="Arial" w:eastAsia="Arial" w:hAnsi="Arial"/>
          <w:sz w:val="18"/>
          <w:szCs w:val="18"/>
          <w:i w:val="1"/>
          <w:iCs w:val="1"/>
          <w:color w:val="auto"/>
        </w:rPr>
        <w:t xml:space="preserve"> </w:t>
      </w:r>
      <w:r>
        <w:rPr>
          <w:rFonts w:ascii="Arial" w:cs="Arial" w:eastAsia="Arial" w:hAnsi="Arial"/>
          <w:sz w:val="18"/>
          <w:szCs w:val="18"/>
          <w:color w:val="auto"/>
        </w:rPr>
        <w:t>63.7% in the same period last year. The period over period decrease in the gross profit margin was primarily the result of raw material cost increases, unfavorable product mix, prior commitments to annual customer price reductions, and labor cost increases in response to a tight labor market. On a period over period basis, raw material increases and unfavorable product mix each had a separate negative impact of approximately 100 - 150 basis points on gross margin. Annual customer price reductions had a negative impact of approximately 100 - 150 basis points on gross margin on a period over period basis. Labor cost increases had a negative impact on gross margin of approximately 50 - 100 basis points on a period over period basis.</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E, R &amp; D expenses for the nine months ended September 30, 2022 were $98.4 million, compared with $86.5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last year. The 14% increase in E, R &amp; D expenses, in the first nine months of 2022 compared to the same period in 2021 was primarily due to additional staffing, professional fees, new product development, and the ongoing product re-designs necessary to mitigate electronics part shortages.</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 G &amp; A expenses for the first nine months of 2022 increased 21% or $14.2 million when compared with the same period last year. The increase in S, G &amp; A expenses in the first nine months of 2022 compared to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24" w:name="page25"/>
    <w:bookmarkEnd w:id="24"/>
    <w:p>
      <w:pPr>
        <w:jc w:val="both"/>
        <w:spacing w:after="0" w:line="287" w:lineRule="auto"/>
        <w:rPr>
          <w:sz w:val="20"/>
          <w:szCs w:val="20"/>
          <w:color w:val="auto"/>
        </w:rPr>
      </w:pPr>
      <w:r>
        <w:rPr>
          <w:rFonts w:ascii="Arial" w:cs="Arial" w:eastAsia="Arial" w:hAnsi="Arial"/>
          <w:sz w:val="18"/>
          <w:szCs w:val="18"/>
          <w:color w:val="auto"/>
        </w:rPr>
        <w:t>the first nine months of 2021 was primarily due to staffing, professional fees, increases in outbound freight expenses, and the return of in-person customer meetings and trade show related expenses.</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u w:val="single" w:color="auto"/>
          <w:color w:val="auto"/>
        </w:rPr>
        <w:t>Total Other (Loss)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loss for the nine months ended September 30, 2022 was $1.6 million, compared with a total</w:t>
      </w:r>
      <w:r>
        <w:rPr>
          <w:rFonts w:ascii="Arial" w:cs="Arial" w:eastAsia="Arial" w:hAnsi="Arial"/>
          <w:sz w:val="18"/>
          <w:szCs w:val="18"/>
          <w:i w:val="1"/>
          <w:iCs w:val="1"/>
          <w:color w:val="auto"/>
        </w:rPr>
        <w:t xml:space="preserve"> </w:t>
      </w:r>
      <w:r>
        <w:rPr>
          <w:rFonts w:ascii="Arial" w:cs="Arial" w:eastAsia="Arial" w:hAnsi="Arial"/>
          <w:sz w:val="18"/>
          <w:szCs w:val="18"/>
          <w:color w:val="auto"/>
        </w:rPr>
        <w:t>other income of $5.2 million for the same period last year.</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15.2% for the nine months ended September 30, 2022, compared to 15.4%</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same period of 2021. Generally, effective tax rates for these periods differ from statutory federal income tax rates, due to provisions for state and local income taxes, permanent tax differences, the foreign-derived intangible income tax deduction, and research and development tax credits.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nine months ended September 30, 2022 decreased by $44.0 million or 16% to $232.6 million, versus</w:t>
      </w:r>
      <w:r>
        <w:rPr>
          <w:rFonts w:ascii="Arial" w:cs="Arial" w:eastAsia="Arial" w:hAnsi="Arial"/>
          <w:sz w:val="18"/>
          <w:szCs w:val="18"/>
          <w:i w:val="1"/>
          <w:iCs w:val="1"/>
          <w:color w:val="auto"/>
        </w:rPr>
        <w:t xml:space="preserve"> </w:t>
      </w:r>
      <w:r>
        <w:rPr>
          <w:rFonts w:ascii="Arial" w:cs="Arial" w:eastAsia="Arial" w:hAnsi="Arial"/>
          <w:sz w:val="18"/>
          <w:szCs w:val="18"/>
          <w:color w:val="auto"/>
        </w:rPr>
        <w:t>$276.6 million in the same period last year. The decrease in net income was primarily the result of the period over period changes gross margins, and operating profits.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u w:val="single" w:color="auto"/>
          <w:color w:val="auto"/>
        </w:rPr>
        <w:t>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earnings per diluted share for the nine months ended September 30, 2022 of $0.99,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earnings per diluted share of $1.15 for the nine months ended September 30, 2021. The period over period decrease in earnings per share is primarily due to the lower net income, but was positively impacted by a lower diluted share count when compared to the same period of 2021.</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4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Company's cash and cash equivalents as of September 30, 2022 were $ 222.9 million, which decreased $39.4 million compared to $262.3 million as of December 31, 2021. The decrease was primarily due to capital expenditures, dividend payments, and share repurchases during the nine months ended September 30, 2022, which was partially offset by cash flows from operations.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Short-term investments as of September 30, 2022 were $16.1 million, up from $5.4 million as of December 31, 2021, and long-term investments were $154.4 million as of September 30, 2022, compared to $ 207.7 million as of December 31, 2021. Equity method investments increased to $39.7 million, primarily as a result of additional investment purchases during the nine months ended September 30, 2022, including the investment in GreenMarbles in the second quarter of 2022. This investment in GreenMarbles was made with $20.0 million in cash and the issuance of $5.0 million of the Company's common stock.</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Accounts receivable as of September 30, 2022 increased approximately $42.6 million compared to December 31, 2021, primarily due to the timing of sales during the nine months ended September 30, 2022. As of September 30, 2022, all of the Company's material tier one and OEM customers continue to be in good standing.</w:t>
      </w:r>
    </w:p>
    <w:p>
      <w:pPr>
        <w:spacing w:after="0" w:line="9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Inventories as of September 30, 2022 were $418.3 million, compared to $316.3 million as of December 31, 2021, primarily due to increases in raw materials and finished goods.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Accounts payable as of September 30, 2022 increased approximately $73.1 million to $171.4 million, when compared to December 31, 2021, primarily driven by month end payment timing, increased inventory, and increased capital expenditures.</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Accrued liabilities as of September 30, 2022 increased approximately $10.4 million compared to December 31, 2021, primarily due to an increase in accrued salaries and wages, as well as accrued income taxes.</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flow from operating activities for the nine months ended September 30, 2022 decreased $63.0 million to $236.4 million, compared with $299.4 million during the same nine month period last year, primarily due to decreases in net income and changes in working capital.</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Capital expenditures for the nine months ended September 30, 2022 were approximately $108.5 million, compared with approximately $44.4 million for the same nine month period last year.</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believes its existing and planned facilities are currently suitable, adequate, and have the capacity required for current and near-term planned business. Nevertheless, the Company continues to evaluate longer term facility needs. In the first quarter of 2022, the Company began construction on a 350,000 square-foot manufacturing facility located at a 140 acre site in Zeeland, Michigan, where the Company previously performed master planning and completed land infrastructure improvements. The total cost of the building project is still expected to be approximately $80 - $90 million, which will be funded with cash and cash equivalents on hand. The facility is expected to be operational in the fourth quarter of 2023. The Company has also begun construction on two building expansions during the second quarter of 2022. The Company is expanding its current distribution center for an additional 300,000 square feet, with a total cost still expected to be approximately $40 - $45 million. The Company is also expanding one of its manufacturing facilities for an additional 60,000 feet, with a total cost still expected to be $20 - $30 million. Both expansion projects will be funded with cash and cash equivalents on hand.</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estimates that it currently has building capacity to manufacture approximately 34 - 37 million interior mirror units annually and approximately 15 - 18 million exterior mirror units annually, based on current product mix. The Company also evaluates equipment capacity on an ongoing basis and adds equipment as needed.</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considers the current working capital and long-term investments, in addition to internally generated cash flow, its Credit Agreement, and credit worthiness, to be sufficient to cover anticipated cash needs for the foreseeable future considering its contractual obligations and commitments.</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8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following is a summary of working capital and long-term investments: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17"/>
                <w:szCs w:val="17"/>
                <w:color w:val="auto"/>
              </w:rPr>
            </w:pPr>
          </w:p>
        </w:tc>
        <w:tc>
          <w:tcPr>
            <w:tcW w:w="1540" w:type="dxa"/>
            <w:vAlign w:val="bottom"/>
          </w:tcPr>
          <w:p>
            <w:pPr>
              <w:jc w:val="right"/>
              <w:ind w:right="115"/>
              <w:spacing w:after="0"/>
              <w:rPr>
                <w:sz w:val="20"/>
                <w:szCs w:val="20"/>
                <w:color w:val="auto"/>
              </w:rPr>
            </w:pPr>
            <w:r>
              <w:rPr>
                <w:rFonts w:ascii="Arial" w:cs="Arial" w:eastAsia="Arial" w:hAnsi="Arial"/>
                <w:sz w:val="14"/>
                <w:szCs w:val="14"/>
                <w:b w:val="1"/>
                <w:bCs w:val="1"/>
                <w:color w:val="auto"/>
              </w:rPr>
              <w:t>December 31, 2021</w:t>
            </w:r>
          </w:p>
        </w:tc>
      </w:tr>
      <w:tr>
        <w:trPr>
          <w:trHeight w:val="224"/>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724,158,632</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691,319,649</w:t>
            </w:r>
          </w:p>
        </w:tc>
      </w:tr>
      <w:tr>
        <w:trPr>
          <w:trHeight w:val="230"/>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Investments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154,429,190</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207,693,147</w:t>
            </w: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878,587,822</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899,012,796</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Company has a previously announced share repurchase plan under which the Board of Directors has authorized the repurchase of shares of the Company's common stock, which remains a part of the broader publicly disclosed capital allocation strategy. Future share repurchases may vary from time to time and will take into account macroeconomic events (including the COVID-19 pandemic, industry-wide parts shortages, and global supply chain and labor constraints), market trends, and other factors the Company deems appropriate (including the market price of the stock, anti-dilutive effect of repurchases, and available cash). During the nine months ended September 30, 2022, the Company repurchased 3,290,496 shares. The Company has 21,533,572 shares remaining under the plan as of September 30, 2022, as is further detailed in </w:t>
      </w:r>
      <w:r>
        <w:rPr>
          <w:rFonts w:ascii="Arial" w:cs="Arial" w:eastAsia="Arial" w:hAnsi="Arial"/>
          <w:sz w:val="18"/>
          <w:szCs w:val="18"/>
          <w:u w:val="single" w:color="auto"/>
          <w:color w:val="auto"/>
        </w:rPr>
        <w:t>Part II, Item 2</w:t>
      </w:r>
      <w:r>
        <w:rPr>
          <w:rFonts w:ascii="Arial" w:cs="Arial" w:eastAsia="Arial" w:hAnsi="Arial"/>
          <w:sz w:val="18"/>
          <w:szCs w:val="18"/>
          <w:color w:val="auto"/>
        </w:rPr>
        <w:t xml:space="preserve"> of this Form 10-Q.</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UPDATE</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third quarter of 2022, the Company reported net sales of $ 493.6 million, compared to net sales of $399.6 million in the third quarter of 2021, a 24% increase quarter over quarter. For the third quarter of 2022, global light vehicle production in North America, Europe, Japan/Korea, and China increased approximately 26%, when compared to the third quarter of 2021. Light vehicle production in the Company's primary markets of North America, Europe, and Japan/Korea was up 22% on a quarter over quarter basis. These increases were primarily a result of some improvements in the ongoing global supply chain constraints, as well as overall light vehicle production growth. Nevertheless, product mix and overall sales were impacted in the third quarter by customer order adjustments, supply chain related issues, and labor availability issues, causing unit shipments to be approximately 750,000 units lower than forecasted at the beginning of the quarter, resulting in a significant revenue shortfall versus beginning of quarter forecast. While there appears to be some improved stability in the light vehicle production environment as compared to a year ago, the Company is still experiencing significant customer order fluctuations on a week-to-week basis and difficulty in sourcing advanced electronics components..</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the third quarter of 2022, the Company had 50 total new launches of interior and exterior auto-dimming mirrors and electronic features. Over 50% of the launches in the third quarter of 2022 were advanced feature launches with HomeLink</w:t>
      </w:r>
      <w:r>
        <w:rPr>
          <w:rFonts w:ascii="Arial" w:cs="Arial" w:eastAsia="Arial" w:hAnsi="Arial"/>
          <w:sz w:val="23"/>
          <w:szCs w:val="23"/>
          <w:color w:val="auto"/>
          <w:vertAlign w:val="superscript"/>
        </w:rPr>
        <w:t>®</w:t>
      </w:r>
      <w:r>
        <w:rPr>
          <w:rFonts w:ascii="Arial" w:cs="Arial" w:eastAsia="Arial" w:hAnsi="Arial"/>
          <w:sz w:val="18"/>
          <w:szCs w:val="18"/>
          <w:color w:val="auto"/>
        </w:rPr>
        <w:t>,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and the Digital Video Recorder being the bulk of such launches.</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engaged in ongoing conversations with certain customers regarding the inflationary aspects of the business and how to address the higher cost structure that has come as a result of electronics and supply chain issues and labor shortages during the last 18 months. The Company is working in a collaborative manner with its customers with the goal of growing the business and maintaining good business relationships, while at the same time meaningfully addressing the impact of existing inflationary pressures. These conversations and negotiations are expected to last throughout 2022 and likely into calendar 2023 for some customers, as the Company works to offset cost increases with updated pricing.</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UPDATE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Camera Systems</w:t>
      </w:r>
    </w:p>
    <w:p>
      <w:pPr>
        <w:spacing w:after="0" w:line="250"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began production in the fourth quarter of 2015. Current automotive design trends are yielding vehicles with small rear windows that are often further obstructed by headrests, passengers, and roof support pillars which can significantly hinder the mirror’s rearward view.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an intelligent rear vision system that uses a custom, internally or externally mounted video camera and mirror-integrated video display to optimize a vehicle driver’s rearward view. This rear vision system consists of a hybrid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that offers bi-modal functionality. In mirror mode, the product functions as an auto-dimming rearview mirror which means that during nighttime driving, digital light</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79" w:right="339" w:bottom="1440" w:gutter="0" w:footer="0" w:header="0"/>
        </w:sectPr>
      </w:pPr>
    </w:p>
    <w:bookmarkStart w:id="27" w:name="page28"/>
    <w:bookmarkEnd w:id="27"/>
    <w:p>
      <w:pPr>
        <w:jc w:val="both"/>
        <w:spacing w:after="0" w:line="244" w:lineRule="auto"/>
        <w:rPr>
          <w:sz w:val="20"/>
          <w:szCs w:val="20"/>
          <w:color w:val="auto"/>
        </w:rPr>
      </w:pPr>
      <w:r>
        <w:rPr>
          <w:rFonts w:ascii="Arial" w:cs="Arial" w:eastAsia="Arial" w:hAnsi="Arial"/>
          <w:sz w:val="18"/>
          <w:szCs w:val="18"/>
          <w:color w:val="auto"/>
        </w:rPr>
        <w:t>sensors talk to one another via a microprocessor to automatically darken the mirror when glare is detected. With the flip of a switch, the mirror enters display mode, and a clear, bright display appears through the mirror’s reflective surface, providing a wide, unobstructed rearward view. The bi-modality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essential, because in the event of any failure of the camera or display, the product is able to function as a mirror, which meets long-standing safety requirements in the automotive industry. In addition, the driver has the ability to switch between modes to accommodate usage preferences for various weather conditions, lighting conditions, and driving tasks.</w:t>
      </w:r>
    </w:p>
    <w:p>
      <w:pPr>
        <w:spacing w:after="0" w:line="21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As of the third quarter of 2022, the Company is shipping production Full Display Mirrors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fourteen different automaker customers, which are General Motors, Subaru, Toyota, Nissan, Jaguar Land Rover, Mitsubishi, Aston Martin, Stellantis, along with Maserati and Fiat, Mercedes, Ferrari, Ford, and Hyundai. As of the end of the third quarter of 2022, the Company is shipping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 79 nameplates. The Company remains confident that ongoing discussions with certain other customers may in the future cause such customers to consider adding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into their product road-map for future vehicles. As of the end of the third quarter of 2022, the Company has been awarded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programs with 14 OEMs.</w:t>
      </w:r>
    </w:p>
    <w:p>
      <w:pPr>
        <w:spacing w:after="0" w:line="15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 enhance capability and usability of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previously introduced its three-camera rear vision system that streams rear video in multiple composite views to its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believes it is the industry’s first practical and comprehensive rear vision solution designed to meet automaker, driver, safety, and regulatory requirements. The Company's rear vision system, known generally as a camera monitoring system ("CMS"), uses three cameras to provide a comprehensive view of the sides and rear of the vehicle. The side-view cameras are discretely housed in downsized, automatic-dimming exterior mirrors. Their video feeds are combined with that of a roof-mounted or rear window based camera and stitched together into multiple composite views, which are streamed to the driver using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system’s modular nature lets the automaker customize functionality while offering it as an affordable, optional feature thereby enhancing safety by allowing the system to fail safe. During any failures due to weather conditions or otherwise that disrupt the digital view, drivers can still safely use the interior and exterior mirrors. The system also supports user preference by permitting drivers to use standard mirror views, camera views, or both. The system can also be tuned to meet the various regulatory field-of-view requirements around the world by using different types of flat and curved glass, combined with simple alterations to the video viewing modes. Downsized exterior mirrors provide automakers with significant weight savings and fuel efficiency improvements. To further enhance safety, the Company's CMS solution can also work in conjunction with a vehicle’s side blind zone warning system. When a trailing vehicle enters a side blind zone, a warning indicator illuminates in both the interior and exterior mirrors while the corresponding side-view video feed appears in the display until the vehicle passes.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On March 31, 2014, the Alliance of Automobile Manufacturers petitioned the National Highway Traffic Safety Administration</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("NHTSA") to allow automakers to use cameras as an option to replace conventional rearview mirrors within the United States. At the annual SAE Government-Industry Meeting in January 2017, NHTSA requested that SAE develop Recommended Procedures for test protocols and performance criteria for camera monitoring systems that would replace mirror systems on light vehicles in the U.S. market. SAE assigned the task to the Driver Vision Committee, and the SAE Driver Vision Committee created a CMS Task Force to draft the Recommended Procedures. NHTSA published a report dated October 2018 related to camera monitoring systems for outside mirror replacements. On October 10, 2019, an Advanced Notice of Proposed Rulemaking (ANPRM) was published seeking public comment on permitting camera-based rear visibility systems, as an alternative to inside and outside rearview mirrors required under Federal motor vehicle safety standard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28" w:name="page29"/>
    <w:bookmarkEnd w:id="28"/>
    <w:p>
      <w:pPr>
        <w:jc w:val="both"/>
        <w:spacing w:after="0" w:line="268" w:lineRule="auto"/>
        <w:rPr>
          <w:sz w:val="20"/>
          <w:szCs w:val="20"/>
          <w:color w:val="auto"/>
        </w:rPr>
      </w:pPr>
      <w:r>
        <w:rPr>
          <w:rFonts w:ascii="Arial" w:cs="Arial" w:eastAsia="Arial" w:hAnsi="Arial"/>
          <w:sz w:val="18"/>
          <w:szCs w:val="18"/>
          <w:color w:val="auto"/>
        </w:rPr>
        <w:t>On October 18, 2019, a petition for temporary exemption from FMVSS 111 submitted by Audi of America was published requesting NHTSA to grant a two-year exemption to sell up to 2,500 vehicles for each twelve month period (up to 5,000 vehicles) that are equipped with camera monitoring systems and do not include FMVSS 111 compliant outside mirrors.</w:t>
      </w:r>
    </w:p>
    <w:p>
      <w:pPr>
        <w:spacing w:after="0" w:line="9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July 2016, a revision to UN-ECE Regulation 46 was published with an effective date of June 18, 2016, which allows for CMS to replace mirrors in Japan and European countries. Since January 2017, camera monitoring systems are also permitted as an alternative to replace mirrors in the Korean market. Notwithstanding the foregoing, the Company continues to believe rearview mirrors provide a robust, simple and cost effective means to view the surrounding areas of a vehicle and remain the primary safety function for rear vision today. Cameras when used as the primary rear vision delivery mechanism have some inherent limitations, such as: electrical failure; cameras being blocked or obstructed; depth perception challenges; and viewing angles of the camera. Nonetheless, the Company continues designing and manufacturing not only rearview mirrors, but CMOS imagers and video displays as well. The Company believes that combining video displays with mirrors may well provide a more robust product by addressing all driving conditions in a single solution that can be controlled by the driver. As noted, the Company has been in production with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since 2015 and has, in the ordinary course of business, been awarded programs with fourteen OEM customers. The Company is currently shipping production Full Display Mirrors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fourteen automaker customers. The Company's CMS solution uses three cameras to provide a comprehensive view of the sides and rear of the vehicle while still providing the traditional safety of interior and exterior mirrors, which mirrors continue to function when cameras are obstructed or are not functioning. The Company has also previously announced that it continues development in the areas of imager performance, camera dynamic range, lens design, image processing from the camera to the display, and camera lens cleaning. The Company acknowledges that as such technology evolves over time, such as cameras replacing mirrors and/or autonomous driving, there will be increased competition.</w:t>
      </w:r>
    </w:p>
    <w:p>
      <w:pPr>
        <w:spacing w:after="0" w:line="1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began shipping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Digital Video Recording ("DVR" capability) for the Toyota Harrier in the second quarter of 2020. This mirror and system launched in the Japan market and combine the superior functionality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with the added capability to record video from the rearward facing and forward-facing cameras simultaneously. The data is stored to an SD storage card as requested by the customer. This integrated solution provides consumers with the features they want, while allowing the OEM to control the integration and execution in the vehicle. In the third quarter of 2022, the Company began shipping auto-dimming mirrors containing DVR for both the Toyota Yaris and the Yaris Cross for the Japan market. These are the Company's first launches of a base auto-dimming mirror with this DVR capability. This product is also the first Gentex DVR product that has an app available to allow the consumer to pull recorded information from the mirror to a phone, which creates a more user friendly experience.</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the Company's proprietary high beam control system integrated into its auto-dimming mirror.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Generation 4, which was developed using the fourth generation of the Company's custom designed CMOS imager, has an advanced feature set made possible by the high dynamic range of the imager including: high beam assist; dynamic forward lighting with high beams constantly on; LED matrix beam; and a variety of specific detection applications including tunnel, fog, and road type as well as certain lane tracking features to assist with lighting control. The Company has the ability to package the control electronics inside of its interior rearview mirrors with a self-calibrating camera attached to the mirror mount with optimal mechanical packaging which also provides for ease of service. In addition, the Company has long been integrating its camera products to optimize performance by combining with other systems on the vehicle, including radar, navigation, steering, and related modules provided by other suppliers. This enables the Company to provide its customers with highly customizable solutions that meets their unique needs and specifications.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European New Car Assessment Program ("Euro NCAP") provides an incentive for automobiles sold in Europe to apply safety technologies that include driver assist features such as lane detection, vehicle detection, and pedestrian detection as standard equipment. Euro NCAP compliant driver assist systems are also capable of including high beam assist as a function. The increased application of Euro NCAP on European vehicles has had the effect of replacing, and could potentially continue replacing, the Company's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 on these vehicles.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79" w:right="339" w:bottom="1440" w:gutter="0" w:footer="0" w:header="0"/>
        </w:sectPr>
      </w:pPr>
    </w:p>
    <w:bookmarkStart w:id="29" w:name="page30"/>
    <w:bookmarkEnd w:id="29"/>
    <w:p>
      <w:pPr>
        <w:jc w:val="both"/>
        <w:spacing w:after="0" w:line="247" w:lineRule="auto"/>
        <w:rPr>
          <w:sz w:val="20"/>
          <w:szCs w:val="20"/>
          <w:color w:val="auto"/>
        </w:rPr>
      </w:pPr>
      <w:r>
        <w:rPr>
          <w:rFonts w:ascii="Arial" w:cs="Arial" w:eastAsia="Arial" w:hAnsi="Arial"/>
          <w:sz w:val="18"/>
          <w:szCs w:val="18"/>
          <w:color w:val="auto"/>
        </w:rPr>
        <w:t>On December 8, 2015, NHTSA proposed changes to the NHTSA's 5-Star Safety Ratings for new vehicles (also known as the New Car Assessment Program or NCAP) and initiated a comment period. The proposed changes will, for the first time, encompass assessment of crash-avoidance technologies, which includes lower beam headlamp performance, semi-automatic headlamp switching, and blind spot detection. NHTSA initially intended to implement the enhancements in NCAP in 2018, beginning with model year 2019 vehicles. The NCAP implementation has been delayed. Under these proposed changes, the Company believes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will qualify with the semi-automatic headlamp NCAP rating system, and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and exterior mirrors with blind spot alert lighting can be included in a system that qualifies with the lower beam headlamp performance and blind spot detection NCAP rating system, respectively. On October 16, 2019, NHTSA issued a press release comparing NCAP to other regions’ version of NCAP, identified new technologies that are not currently included in NCAP, and suggested Congress legislatively direct actions to improve NCAP. In March 2020, HR 6256 was introduced, which would require NHTSA to update NCAP. There are multiple bills being discussed in both the U.S. House of Representatives and the U.S. Senate that relate to NCAP.</w:t>
      </w:r>
    </w:p>
    <w:p>
      <w:pPr>
        <w:spacing w:after="0" w:line="220"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 xml:space="preserve">On October 12, 2018, NHTSA published a Notice of Proposed Rulemaking ("NPRM") for amendments to Federal Motor Vehicle Safety Standard ("FMVSS") No. 108: </w:t>
      </w:r>
      <w:r>
        <w:rPr>
          <w:rFonts w:ascii="Arial" w:cs="Arial" w:eastAsia="Arial" w:hAnsi="Arial"/>
          <w:sz w:val="18"/>
          <w:szCs w:val="18"/>
          <w:i w:val="1"/>
          <w:iCs w:val="1"/>
          <w:color w:val="auto"/>
        </w:rPr>
        <w:t>Lamps, reflective devices, and associated equipment</w:t>
      </w:r>
      <w:r>
        <w:rPr>
          <w:rFonts w:ascii="Arial" w:cs="Arial" w:eastAsia="Arial" w:hAnsi="Arial"/>
          <w:sz w:val="18"/>
          <w:szCs w:val="18"/>
          <w:color w:val="auto"/>
        </w:rPr>
        <w:t>, and initiated a comment period. The NPRM proposes amendments that would permit the certification of adaptive driving beam headlighting systems, if the manufacturer chooses to equip vehicles with these systems. NHTSA proposes to establish appropriate performance requirements to ensure the safe introduction of adaptive driving beam headlighting systems if equipped on newly manufactured vehicles. The Company believes that its dynamic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lighting control system (dynamic forward lighting or DFL), which has been sold in markets outside of North America for several years, will meet the requirements of the new FMVSS 108 standards, if amended. The Company's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 has and will continue to be affected by increased competition by suppliers of multi-function driver assist camera products, which are able to achieve some of the same functionality as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 at a lower cost, due to other suppliers leveraging similar hardware costs, but offering products with multiple software features.</w:t>
      </w:r>
    </w:p>
    <w:p>
      <w:pPr>
        <w:spacing w:after="0" w:line="2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noted, on October 10, 2019, an Advanced Notice of Proposed Rulemaking ("ANPRM") was published seeking public comment on permitting camera-based rear visibility systems, as an alternative to inside and outside rearview mirrors required under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final rule issued by NHTSA for adaptive driving beans (AEB) was made effective February 22, 2022. The Company believes its adaptive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(dynamic lighting system), which has been manufactured and sold for many years in jurisdictions outside the United States, will be permitted under the NHTSA Final Rule.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Connected Car</w:t>
      </w:r>
    </w:p>
    <w:p>
      <w:pPr>
        <w:spacing w:after="0" w:line="14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The Company's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are the auto industry's most widely used and trusted car-to-home communication system, with an estimated 50 million units on the road. The system consists of two or three in-vehicle buttons that can be programmed to operate garage doors, security gates, home lighting, and other radio-frequency-controlled devices. During the first quarter of 2017, the Company demonstrated the next generation of HomeLink</w:t>
      </w:r>
      <w:r>
        <w:rPr>
          <w:rFonts w:ascii="Arial" w:cs="Arial" w:eastAsia="Arial" w:hAnsi="Arial"/>
          <w:sz w:val="23"/>
          <w:szCs w:val="23"/>
          <w:color w:val="auto"/>
          <w:vertAlign w:val="superscript"/>
        </w:rPr>
        <w:t>®</w:t>
      </w:r>
      <w:r>
        <w:rPr>
          <w:rFonts w:ascii="Arial" w:cs="Arial" w:eastAsia="Arial" w:hAnsi="Arial"/>
          <w:sz w:val="18"/>
          <w:szCs w:val="18"/>
          <w:color w:val="auto"/>
        </w:rPr>
        <w:t>, commonly referred to as HomeLink Connect</w:t>
      </w:r>
      <w:r>
        <w:rPr>
          <w:rFonts w:ascii="Arial" w:cs="Arial" w:eastAsia="Arial" w:hAnsi="Arial"/>
          <w:sz w:val="23"/>
          <w:szCs w:val="23"/>
          <w:color w:val="auto"/>
          <w:vertAlign w:val="superscript"/>
        </w:rPr>
        <w:t>®</w:t>
      </w:r>
      <w:r>
        <w:rPr>
          <w:rFonts w:ascii="Arial" w:cs="Arial" w:eastAsia="Arial" w:hAnsi="Arial"/>
          <w:sz w:val="18"/>
          <w:szCs w:val="18"/>
          <w:color w:val="auto"/>
        </w:rPr>
        <w:t>, which uses both RF and wireless cloud-based connectivity to deliver complete vehicle-to-home automation. With HomeLink Connect</w:t>
      </w:r>
      <w:r>
        <w:rPr>
          <w:rFonts w:ascii="Arial" w:cs="Arial" w:eastAsia="Arial" w:hAnsi="Arial"/>
          <w:sz w:val="23"/>
          <w:szCs w:val="23"/>
          <w:color w:val="auto"/>
          <w:vertAlign w:val="superscript"/>
        </w:rPr>
        <w:t>®</w:t>
      </w:r>
      <w:r>
        <w:rPr>
          <w:rFonts w:ascii="Arial" w:cs="Arial" w:eastAsia="Arial" w:hAnsi="Arial"/>
          <w:sz w:val="18"/>
          <w:szCs w:val="18"/>
          <w:color w:val="auto"/>
        </w:rPr>
        <w:t>, a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button press communicates with the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 on the user’s smartphone. The app contains predefined, user-programmed actions, from single device operations to entire home automation scenes. The app, in turn, communicates to the home’s smart hub over the cloud activates the appropriate devices, including security systems, door locks, thermostats, lighting, and other home automation devices, providing comprehensive vehicle-to-home automation. The ability to prepare the home for arrival or departure can occur with one button press. For the automaker, it allows them to offer a customizable, yet proven solution without the engineering effort or security concerns associated with</w:t>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30" w:name="page31"/>
    <w:bookmarkEnd w:id="30"/>
    <w:p>
      <w:pPr>
        <w:jc w:val="both"/>
        <w:spacing w:after="0" w:line="225" w:lineRule="auto"/>
        <w:rPr>
          <w:sz w:val="20"/>
          <w:szCs w:val="20"/>
          <w:color w:val="auto"/>
        </w:rPr>
      </w:pPr>
      <w:r>
        <w:rPr>
          <w:rFonts w:ascii="Arial" w:cs="Arial" w:eastAsia="Arial" w:hAnsi="Arial"/>
          <w:sz w:val="18"/>
          <w:szCs w:val="18"/>
          <w:color w:val="auto"/>
        </w:rPr>
        <w:t>integrating third party software into the vehicle’s computer network. The Company also continues to work on providing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for alternative automobile and vehicle types which include, but are not limited to, motorcycles, mopeds, snowmobiles, tractors, combines, lawn mowers, loaders, bulldozers, road-graders, backhoes, and golf carts. In May 2021, the Company announced the Volkswagen as the first automaker to offer Bluetooth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enabled mirror for home automation that works in conjunction with HomeLink Connect</w:t>
      </w:r>
      <w:r>
        <w:rPr>
          <w:rFonts w:ascii="Arial" w:cs="Arial" w:eastAsia="Arial" w:hAnsi="Arial"/>
          <w:sz w:val="23"/>
          <w:szCs w:val="23"/>
          <w:color w:val="auto"/>
          <w:vertAlign w:val="superscript"/>
        </w:rPr>
        <w:t>®</w:t>
      </w:r>
      <w:r>
        <w:rPr>
          <w:rFonts w:ascii="Arial" w:cs="Arial" w:eastAsia="Arial" w:hAnsi="Arial"/>
          <w:sz w:val="18"/>
          <w:szCs w:val="18"/>
          <w:color w:val="auto"/>
        </w:rPr>
        <w:t>. The Company further continues to work with compatibility partners for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in newer markets like China. The unique attributes of the China market allow for potential different use cases of these products and offer the potential for additional growth opportunities for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and products. In 2017, the Company began its first volume production shipments of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units on vehicles for the China market.</w:t>
      </w:r>
    </w:p>
    <w:p>
      <w:pPr>
        <w:spacing w:after="0" w:line="15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January 2016, the Company announced a partnership with TransCore to provide automobile manufacturers with a vehicle-integrated tolling solution that enables motorists to drive on nearly all U.S. toll roads without a traditional toll tag on the windshield. Currently more than 75 percent of new car registrations are in states with toll roads with over 50 million drivers accessing these roads each year. The interior mirror is the optimal location for a vehicle-integrated toll transponder and it eliminates the need to affix multiple toll tags to the windshield and helps automakers seamlessly integrate toll collection into the car. Since the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enables travel across almost all United States toll roads, and others in North America, motorists would no longer need multiple toll tags for different regions of the country or to manage multiple toll accounts. The Company's vehicle-integrated solution simplifies and expedites local, regional, and national travel.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provides transportation agencies with an interoperability solution without costly infrastructure changes to the thousands of miles of toll lanes throughout North America. The Company believes that this product could potentially represent another growth opportunity over the next several years.</w:t>
      </w:r>
    </w:p>
    <w:p>
      <w:pPr>
        <w:spacing w:after="0" w:line="225"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The Company has its first OEM award of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Audi. Currently, the Company is shipping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 11 platforms, which are: the A4, A5, A6, A7, A8, Q5, Q5 Sportback, Q7, Q8, e-tron, and the e-tron Sportback. The Company expects further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nameplate launches with Audi throughout the remainder of 2022 and 2023. During the third quarter of 2021, the Company began shipping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a second OEM customer, Mercedes, on the EQS model. In April 2020, the Company was honored with an Automotive News PACE Award for its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which recognizes automotive suppliers for superior innovation, technological advancement, and business performance.</w:t>
      </w:r>
    </w:p>
    <w:p>
      <w:pPr>
        <w:spacing w:after="0" w:line="22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Further, the Company has previously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biometric systems. The Company's future plans include integrating biometric authentication with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HomeLink Connect</w:t>
      </w:r>
      <w:r>
        <w:rPr>
          <w:rFonts w:ascii="Arial" w:cs="Arial" w:eastAsia="Arial" w:hAnsi="Arial"/>
          <w:sz w:val="23"/>
          <w:szCs w:val="23"/>
          <w:color w:val="auto"/>
          <w:vertAlign w:val="superscript"/>
        </w:rPr>
        <w:t>®</w:t>
      </w:r>
      <w:r>
        <w:rPr>
          <w:rFonts w:ascii="Arial" w:cs="Arial" w:eastAsia="Arial" w:hAnsi="Arial"/>
          <w:sz w:val="18"/>
          <w:szCs w:val="18"/>
          <w:color w:val="auto"/>
        </w:rPr>
        <w:t>. The biometric system will allow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provide added security and convenience for multiple drivers by activating the unique home automation presets of different authorized users. The Company announced in January 2018 that it completed an exclusive licensing agreement, in the ordinary course of business, with Fingerprint Cards AB to deploy its ActiveIRIS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iris-scanning biometric technology in automotive applications.</w:t>
      </w: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2020, the Company announced a partnership, in the ordinary course of business, with PayByCar™, to pursue compatibility between the Company's Integrated Toll Module and PayByCar's innovative payment solution that allows drivers to use their smartphones and toll transponder to fuel up at certain gas stations without using cash or a credit card. Compatibility between these two technologies can help to grow each company's respective consumer base while introducing new users to the benefits of the transactional vehicle.</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January 2021, the Company announced a partnership, in the ordinary course of business, with Simplenight to provide drivers and vehicle occupants with access to enhanced mobile capability for booking personalized entertainment and lifestyle experiences in addition to everyday purchases. Simplenight delivers a customizable and robust platform that enables brands to globally offer real-time book-ability across multiple categories such as dining, accommodations, attractions, events, gas, parking, shopping and</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77" w:right="339" w:bottom="1440" w:gutter="0" w:footer="0" w:header="0"/>
        </w:sectPr>
      </w:pPr>
    </w:p>
    <w:bookmarkStart w:id="31" w:name="page32"/>
    <w:bookmarkEnd w:id="31"/>
    <w:p>
      <w:pPr>
        <w:jc w:val="both"/>
        <w:spacing w:after="0" w:line="257" w:lineRule="auto"/>
        <w:rPr>
          <w:sz w:val="20"/>
          <w:szCs w:val="20"/>
          <w:color w:val="auto"/>
        </w:rPr>
      </w:pPr>
      <w:r>
        <w:rPr>
          <w:rFonts w:ascii="Arial" w:cs="Arial" w:eastAsia="Arial" w:hAnsi="Arial"/>
          <w:sz w:val="18"/>
          <w:szCs w:val="18"/>
          <w:color w:val="auto"/>
        </w:rPr>
        <w:t>more. The platform is unique in that it is designed to seamlessly integrate into automaker infotainment and navigation systems, as well as mobile applications and voice assistants. Simplenight can be integrated into the Company's current and future connected vehicle technologies, including HomeLink®, the automotive industry’s leading car-to-home automation system. HomeLink® consists of vehicle-integrated buttons that can be programmed to operate a myriad of home automation devices. Integration of Simplenight into the Company's HomeLink Connect® app is underway and will allow users to program their HomeLink® buttons and control cloud-based devices from their vehicles.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Dimmable Devices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previously announced that it is providing variably dimmable windows for the Boeing 787 Dreamliner series of aircraft. The Company continues to work with other aircraft manufacturers that have an interest in this technology regarding potential additional programs. In January 2019, the Company announced that its latest generation of dimmable aircraft windows will be offered as optional content on the new Boeing 777X. During the third quarter of 2019, the first production shipments of variably dimmable windows were made to Boeing for the 777X program. In January 2020, the Company announced that Airbus will also be offering the Company's dimmable aircraft windows on an aircraft with production having began in the fourth quarter of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Medical</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system was developed over an 18 month period of collaboration between Company engineers and Mayo Clinic surgeons, scientists, and operating room staff. The teams researched, designed, and rapidly iterated multiple prototypes in order to develop unique features intended to address major gaps in current surgical lighting solutions. In 2022, the Company continues to further develop and work on the intelligent medical lighting system in order to assess system performance and work toward obtaining any necessary approvals.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Automotive revenues represent approximately 97% - 99% of the Company's total revenue, consisting of interior and exterior electrochromic automatic-dimming rearview mirrors and automotive electronics.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as the Company engages with automotive customers regarding the inflationary aspects of the business, it continues to experience pricing pressure from such customers and competitors, in addition to raw material cost increases, labor cost increases, and logistics costs, which will continue to cause downward pressure on its sales and profit margins. The Company works continuously to offset these supply chain issues and inflationary pressures with engineering and purchasing cost reductions, productivity improvements, increases in unit sales volume, and negotiations with customers to reduce the impact of the inflationary pressures, but there is no assurance the Company will be able to do so in the future.</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Because the Company sells its products throughout the world, and automotive manufacturing is highly dependent on economic conditions, the Company can be affected by uncertain economic conditions that can reduce demand for its products, including the current inflationary environment. The Company has been likewise affected by the COVID-19 pandemic and industry-wide parts shortages and global supply constraints and labor shortages.</w:t>
      </w:r>
    </w:p>
    <w:p>
      <w:pPr>
        <w:spacing w:after="0" w:line="20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Company believes that its patents and trade secrets provide it with a competitive advantage in dimmable devices, electronics, and other features that it offers for the automotive, aerospace, and medical industry. Claims of patent infringement can be costly and time-consuming to address. To that end, the Company obtains intellectual property rights in the ordinary course of business to strengthen its intellectual property portfolio and to minimize the risk of infringement.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32" w:name="page33"/>
    <w:bookmarkEnd w:id="32"/>
    <w:p>
      <w:pPr>
        <w:spacing w:after="0" w:line="287" w:lineRule="auto"/>
        <w:rPr>
          <w:sz w:val="20"/>
          <w:szCs w:val="20"/>
          <w:color w:val="auto"/>
        </w:rPr>
      </w:pPr>
      <w:r>
        <w:rPr>
          <w:rFonts w:ascii="Arial" w:cs="Arial" w:eastAsia="Arial" w:hAnsi="Arial"/>
          <w:sz w:val="18"/>
          <w:szCs w:val="18"/>
          <w:color w:val="auto"/>
        </w:rPr>
        <w:t>The Company does not have any significant off-balance sheet arrangements or commitments that have not been recorded 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most recent forecasts for light vehicle production for the fourth quarter of 2022, and full years 2022 and 2023 are based on the mid-October 2022 S&amp;P Global Mobility light vehicle production forecast for light vehicle production in North America, Europe, Japan/Korea, and China. Fourth quarter of 2022 and calendar years 2022 and 2023 forecasted light vehicle production volumes are shown below:</w:t>
      </w:r>
    </w:p>
    <w:p>
      <w:pPr>
        <w:spacing w:after="0" w:line="218" w:lineRule="exact"/>
        <w:rPr>
          <w:sz w:val="20"/>
          <w:szCs w:val="20"/>
          <w:color w:val="auto"/>
        </w:rPr>
      </w:pPr>
    </w:p>
    <w:p>
      <w:pPr>
        <w:jc w:val="center"/>
        <w:ind w:right="3540"/>
        <w:spacing w:after="0"/>
        <w:rPr>
          <w:sz w:val="20"/>
          <w:szCs w:val="20"/>
          <w:color w:val="auto"/>
        </w:rPr>
      </w:pPr>
      <w:r>
        <w:rPr>
          <w:rFonts w:ascii="Arial" w:cs="Arial" w:eastAsia="Arial" w:hAnsi="Arial"/>
          <w:sz w:val="20"/>
          <w:szCs w:val="20"/>
          <w:b w:val="1"/>
          <w:bCs w:val="1"/>
          <w:color w:val="auto"/>
        </w:rPr>
        <w:t>Light Vehicle Production (per S&amp;P Global Mobility mid-October light</w:t>
      </w:r>
    </w:p>
    <w:p>
      <w:pPr>
        <w:jc w:val="center"/>
        <w:ind w:right="3540"/>
        <w:spacing w:after="0"/>
        <w:rPr>
          <w:sz w:val="20"/>
          <w:szCs w:val="20"/>
          <w:color w:val="auto"/>
        </w:rPr>
      </w:pPr>
      <w:r>
        <w:rPr>
          <w:rFonts w:ascii="Arial" w:cs="Arial" w:eastAsia="Arial" w:hAnsi="Arial"/>
          <w:sz w:val="20"/>
          <w:szCs w:val="20"/>
          <w:b w:val="1"/>
          <w:bCs w:val="1"/>
          <w:color w:val="auto"/>
        </w:rPr>
        <w:t>vehicle production forecast)</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20"/>
          <w:szCs w:val="20"/>
          <w:b w:val="1"/>
          <w:bCs w:val="1"/>
          <w:i w:val="1"/>
          <w:iCs w:val="1"/>
          <w:color w:val="auto"/>
        </w:rPr>
        <w:t>(in Millions)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5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Q4</w:t>
            </w: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Q4</w:t>
            </w:r>
          </w:p>
        </w:tc>
        <w:tc>
          <w:tcPr>
            <w:tcW w:w="7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0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Calendar Calendar Calendar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2023 vs</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2022 vs</w:t>
            </w:r>
          </w:p>
        </w:tc>
        <w:tc>
          <w:tcPr>
            <w:tcW w:w="0" w:type="dxa"/>
            <w:vAlign w:val="bottom"/>
          </w:tcPr>
          <w:p>
            <w:pPr>
              <w:spacing w:after="0"/>
              <w:rPr>
                <w:sz w:val="1"/>
                <w:szCs w:val="1"/>
                <w:color w:val="auto"/>
              </w:rPr>
            </w:pPr>
          </w:p>
        </w:tc>
      </w:tr>
      <w:tr>
        <w:trPr>
          <w:trHeight w:val="148"/>
        </w:trPr>
        <w:tc>
          <w:tcPr>
            <w:tcW w:w="1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Region</w:t>
            </w:r>
          </w:p>
        </w:tc>
        <w:tc>
          <w:tcPr>
            <w:tcW w:w="5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17"/>
              <w:spacing w:after="0" w:line="149" w:lineRule="exact"/>
              <w:rPr>
                <w:sz w:val="20"/>
                <w:szCs w:val="20"/>
                <w:color w:val="auto"/>
              </w:rPr>
            </w:pPr>
            <w:r>
              <w:rPr>
                <w:rFonts w:ascii="Arial" w:cs="Arial" w:eastAsia="Arial" w:hAnsi="Arial"/>
                <w:sz w:val="14"/>
                <w:szCs w:val="14"/>
                <w:b w:val="1"/>
                <w:bCs w:val="1"/>
                <w:color w:val="auto"/>
              </w:rPr>
              <w:t>Year</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Year</w:t>
            </w:r>
          </w:p>
        </w:tc>
        <w:tc>
          <w:tcPr>
            <w:tcW w:w="7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Year</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2022</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1340" w:type="dxa"/>
            <w:vAlign w:val="bottom"/>
            <w:vMerge w:val="continue"/>
          </w:tcPr>
          <w:p>
            <w:pPr>
              <w:spacing w:after="0"/>
              <w:rPr>
                <w:sz w:val="18"/>
                <w:szCs w:val="18"/>
                <w:color w:val="auto"/>
              </w:rPr>
            </w:pPr>
          </w:p>
        </w:tc>
        <w:tc>
          <w:tcPr>
            <w:tcW w:w="540" w:type="dxa"/>
            <w:vAlign w:val="bottom"/>
          </w:tcPr>
          <w:p>
            <w:pPr>
              <w:ind w:left="100"/>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jc w:val="right"/>
              <w:ind w:right="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 Change</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3"/>
        </w:trPr>
        <w:tc>
          <w:tcPr>
            <w:tcW w:w="134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North America</w:t>
            </w:r>
          </w:p>
        </w:tc>
        <w:tc>
          <w:tcPr>
            <w:tcW w:w="54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rPr>
              <w:t>3.68</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3.29</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12 %</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15.39</w:t>
            </w:r>
          </w:p>
        </w:tc>
        <w:tc>
          <w:tcPr>
            <w:tcW w:w="66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14.47</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13.05</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right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6 %</w:t>
            </w:r>
          </w:p>
        </w:tc>
        <w:tc>
          <w:tcPr>
            <w:tcW w:w="860" w:type="dxa"/>
            <w:vAlign w:val="bottom"/>
            <w:tcBorders>
              <w:top w:val="single" w:sz="8" w:color="auto"/>
              <w:right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1340" w:type="dxa"/>
            <w:vAlign w:val="bottom"/>
          </w:tcPr>
          <w:p>
            <w:pPr>
              <w:ind w:left="20"/>
              <w:spacing w:after="0"/>
              <w:rPr>
                <w:sz w:val="20"/>
                <w:szCs w:val="20"/>
                <w:color w:val="auto"/>
              </w:rPr>
            </w:pPr>
            <w:r>
              <w:rPr>
                <w:rFonts w:ascii="Arial" w:cs="Arial" w:eastAsia="Arial" w:hAnsi="Arial"/>
                <w:sz w:val="18"/>
                <w:szCs w:val="18"/>
                <w:color w:val="auto"/>
              </w:rPr>
              <w:t>Europe</w:t>
            </w:r>
          </w:p>
        </w:tc>
        <w:tc>
          <w:tcPr>
            <w:tcW w:w="540" w:type="dxa"/>
            <w:vAlign w:val="bottom"/>
          </w:tcPr>
          <w:p>
            <w:pPr>
              <w:ind w:left="100"/>
              <w:spacing w:after="0"/>
              <w:rPr>
                <w:sz w:val="20"/>
                <w:szCs w:val="20"/>
                <w:color w:val="auto"/>
              </w:rPr>
            </w:pPr>
            <w:r>
              <w:rPr>
                <w:rFonts w:ascii="Arial" w:cs="Arial" w:eastAsia="Arial" w:hAnsi="Arial"/>
                <w:sz w:val="18"/>
                <w:szCs w:val="18"/>
                <w:color w:val="auto"/>
              </w:rPr>
              <w:t>4.16</w:t>
            </w:r>
          </w:p>
        </w:tc>
        <w:tc>
          <w:tcPr>
            <w:tcW w:w="540" w:type="dxa"/>
            <w:vAlign w:val="bottom"/>
          </w:tcPr>
          <w:p>
            <w:pPr>
              <w:jc w:val="right"/>
              <w:spacing w:after="0"/>
              <w:rPr>
                <w:sz w:val="20"/>
                <w:szCs w:val="20"/>
                <w:color w:val="auto"/>
              </w:rPr>
            </w:pPr>
            <w:r>
              <w:rPr>
                <w:rFonts w:ascii="Arial" w:cs="Arial" w:eastAsia="Arial" w:hAnsi="Arial"/>
                <w:sz w:val="18"/>
                <w:szCs w:val="18"/>
                <w:color w:val="auto"/>
              </w:rPr>
              <w:t>4.02</w:t>
            </w:r>
          </w:p>
        </w:tc>
        <w:tc>
          <w:tcPr>
            <w:tcW w:w="72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16.65</w:t>
            </w: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15.63</w:t>
            </w:r>
          </w:p>
        </w:tc>
        <w:tc>
          <w:tcPr>
            <w:tcW w:w="640" w:type="dxa"/>
            <w:vAlign w:val="bottom"/>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5"/>
        </w:trPr>
        <w:tc>
          <w:tcPr>
            <w:tcW w:w="1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Japan and</w:t>
            </w:r>
          </w:p>
        </w:tc>
        <w:tc>
          <w:tcPr>
            <w:tcW w:w="54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3.03</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11.88</w:t>
            </w:r>
          </w:p>
        </w:tc>
        <w:tc>
          <w:tcPr>
            <w:tcW w:w="66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11.06</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00" w:type="dxa"/>
            <w:vAlign w:val="bottom"/>
            <w:shd w:val="clear" w:color="auto" w:fill="CCEEFF"/>
          </w:tcPr>
          <w:p>
            <w:pPr>
              <w:spacing w:after="0"/>
              <w:rPr>
                <w:sz w:val="15"/>
                <w:szCs w:val="15"/>
                <w:color w:val="auto"/>
              </w:rPr>
            </w:pPr>
          </w:p>
        </w:tc>
        <w:tc>
          <w:tcPr>
            <w:tcW w:w="8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8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Korea</w:t>
            </w:r>
          </w:p>
        </w:tc>
        <w:tc>
          <w:tcPr>
            <w:tcW w:w="540" w:type="dxa"/>
            <w:vAlign w:val="bottom"/>
            <w:vMerge w:val="continue"/>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tcBorders>
              <w:right w:val="single" w:sz="8" w:color="auto"/>
            </w:tcBorders>
            <w:vMerge w:val="continue"/>
            <w:shd w:val="clear" w:color="auto" w:fill="CCEEFF"/>
          </w:tcPr>
          <w:p>
            <w:pPr>
              <w:spacing w:after="0"/>
              <w:rPr>
                <w:sz w:val="21"/>
                <w:szCs w:val="21"/>
                <w:color w:val="auto"/>
              </w:rPr>
            </w:pPr>
          </w:p>
        </w:tc>
        <w:tc>
          <w:tcPr>
            <w:tcW w:w="860" w:type="dxa"/>
            <w:vAlign w:val="bottom"/>
            <w:tcBorders>
              <w:right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China</w:t>
            </w: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7.39</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26.65</w:t>
            </w: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26.41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156"/>
        </w:trPr>
        <w:tc>
          <w:tcPr>
            <w:tcW w:w="13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Light</w:t>
            </w:r>
          </w:p>
        </w:tc>
        <w:tc>
          <w:tcPr>
            <w:tcW w:w="5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tcBorders>
              <w:right w:val="single" w:sz="8" w:color="auto"/>
            </w:tcBorders>
            <w:shd w:val="clear" w:color="auto" w:fill="CCEEFF"/>
          </w:tcPr>
          <w:p>
            <w:pPr>
              <w:spacing w:after="0"/>
              <w:rPr>
                <w:sz w:val="13"/>
                <w:szCs w:val="13"/>
                <w:color w:val="auto"/>
              </w:rPr>
            </w:pPr>
          </w:p>
        </w:tc>
        <w:tc>
          <w:tcPr>
            <w:tcW w:w="86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Vehicle</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18.26 17.77</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70.57</w:t>
            </w:r>
          </w:p>
        </w:tc>
        <w:tc>
          <w:tcPr>
            <w:tcW w:w="66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67.57</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100" w:type="dxa"/>
            <w:vAlign w:val="bottom"/>
            <w:shd w:val="clear" w:color="auto" w:fill="CCEEFF"/>
          </w:tcPr>
          <w:p>
            <w:pPr>
              <w:spacing w:after="0"/>
              <w:rPr>
                <w:sz w:val="15"/>
                <w:szCs w:val="15"/>
                <w:color w:val="auto"/>
              </w:rPr>
            </w:pPr>
          </w:p>
        </w:tc>
        <w:tc>
          <w:tcPr>
            <w:tcW w:w="8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8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6"/>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w:t>
            </w:r>
          </w:p>
        </w:tc>
        <w:tc>
          <w:tcPr>
            <w:tcW w:w="1080" w:type="dxa"/>
            <w:vAlign w:val="bottom"/>
            <w:tcBorders>
              <w:bottom w:val="single" w:sz="8" w:color="auto"/>
            </w:tcBorders>
            <w:gridSpan w:val="2"/>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Based on the aforementioned light vehicle production forecast and the results for the first nine months of 2022, the Company is updating certain guidance for calendar year 2022 as shown below.</w:t>
      </w:r>
    </w:p>
    <w:p>
      <w:pPr>
        <w:spacing w:after="0" w:line="2" w:lineRule="exact"/>
        <w:rPr>
          <w:sz w:val="20"/>
          <w:szCs w:val="20"/>
          <w:color w:val="auto"/>
        </w:rPr>
      </w:pPr>
    </w:p>
    <w:p>
      <w:pPr>
        <w:ind w:left="640" w:hanging="32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 is expected to be between $1.90 and $1.95 billion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Gross Margin is expected to be between 32% and 33%</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Expenses are expected to be approximately $235 to $240 million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Estimated Annual Tax Rate, which assumes no changes to the statutory rate, is expected to be between 14% and 15%</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Capital Expenditures are expected to be between $140 and $150 million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Depreciation and Amortization is expected to be between $100 and $105 million</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Due to high levels of volatility in customer orders and vehicle production volumes, electronics supply chain constraints, the Ukraine-Russia conflict, labor shortages, and overall economic uncertainty, the Company believes that revenue remains difficult to forecast for the remainder of the year. Ongoing uncertainties remain, including: light vehicle production levels; industry-wide parts shortages and global supply chain constraints; impacts of already in place and potential additional future tariffs; impacts of regulation changes; automotive plant shutdowns; vehicle sales rates in Europe, Asia and North America; OEM strategies and cost pressures; customer inventory management and the impact of potential automotive customer (including their Tier 1 suppliers) and supplier bankruptcies; work stoppages; etc., all of which could disrupt shipments to these customers and make forecasting difficult.</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accordance with the previously announced share repurchase plan, the Company will consider the appropriateness of continuing to repurchase additional shares of common stock in the future in support of the capital allocation strategy, but share repurchases may vary from time to time and will take into account macroeconomic events (including the COVID-19 pandemic and issues related to the microchip shortage as well as other supply chain and labor constraints), market trends, and other factors the Company deems appropriate (including the market price of the stock, anti-dilutive effect of repurchases, and available cash). As of September 30, 2022, the Company has 21.5 million shares remaining available for repurchase under the previously announced share repurchase plan.</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based on the mid-October 2022 light vehicle production estimates for 2023, the Company is providing revenue guidance for 2023, despite the fact that there continues to be uncertainty regarding: macroeconomic conditions (including inflation); underlying overall consumer demand for light vehicles worldwide; supply chain and labor constraints; and the lingering impact from the COVID-19 pandemic. The Company still estimates that revenue for calendar year 2023 will be approximately 15% - 20% higher than the updated 2022 estimated revenue estimates of $1.90 - $1.95 billion. As noted above, continuing uncertainties make forecasting difficult.</w:t>
      </w: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87" w:right="3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4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preparation of the Company’s consolidated condensed financial statements contained in this report, which have been prepared in accordance with accounting principles generally accepted in the United States, requires management to make estimates and assumptions that affect the amounts reported in the financial statements and accompanying notes. On an ongoing basis, management evaluates these estimates. Estimates are based on historical experience and/or on various other assumptions that are believed to be reasonable under the circumstances, the results of which form the basis for making judgments about the carrying values of assets and liabilities that may not be readily apparent from other sources. Historically, actual results have not been materially different from the Company’s estimates. However, actual results may differ from these estimates under different assumptions or conditions.</w:t>
      </w:r>
    </w:p>
    <w:p>
      <w:pPr>
        <w:spacing w:after="0" w:line="117"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has identified critical accounting policies used in determining estimates and assumptions in the amounts reported in its Management’s Discussion and Analysis of Financial Condition and Results of Operations in its Annual Report on Form 10-K for the fiscal year ended December 31, 2021.</w:t>
      </w:r>
    </w:p>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is subject to market risk exposures of varying correlations and volatilities, including foreign exchange rate risk and interest rate risk. Fluctuating interest rates could negatively impact the Company's financial performance due to realized losses on the sale of fixed income investments and/or recognized losses due to impairment of available for sale securities (mark-to-market adjustments), as well as the impact on demand for light vehicles. For the quarter ended September 30, 2022, any material changes in risk factors that were disclosed in the Company's report on Form 10-K for the year ended December 31, 2021 are set forth herein.</w:t>
      </w:r>
    </w:p>
    <w:p>
      <w:pPr>
        <w:spacing w:after="0" w:line="11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has some assets, liabilities, and operations outside the United States, including euro-denominated and Chinese Yuan Renminbi accounts, which currently are not significant overall to the Company as a whole. Because the Company sells its automotive mirrors throughout the world, and automotive manufacturing is highly dependent on general economic conditions and the global supply chain, the Company has been and will continue to be affected by uncertain economic conditions in North American and foreign markets, including inflation, that have and could continue to reduce demand for its products.</w:t>
      </w:r>
    </w:p>
    <w:p>
      <w:pPr>
        <w:spacing w:after="0" w:line="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5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Under the supervision of, and with the participation of management, the Company's Chief Executive Officer and Chief Financial Officer have evaluated the effectiveness of the Company's disclosure controls and procedures (as defined in Exchange Act Rules 13a-15(e) and 15d-15(e)) as of September 30, 2022, and have concluded that as of that date, the Company's disclosure controls and procedures are effective.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52" w:lineRule="exact"/>
        <w:rPr>
          <w:sz w:val="20"/>
          <w:szCs w:val="20"/>
          <w:color w:val="auto"/>
        </w:rPr>
      </w:pPr>
    </w:p>
    <w:p>
      <w:pPr>
        <w:jc w:val="both"/>
        <w:ind w:left="660" w:right="20"/>
        <w:spacing w:after="0" w:line="268"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during the quarter ended September 30, 2022 that materially affected, or are reasonably likely to materially affect, the Company's internal control over financial reporting.</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2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This Quarterly Report contains contains forward-looking statements within the 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w:t>
      </w:r>
      <w:r>
        <w:rPr>
          <w:rFonts w:ascii="Arial" w:cs="Arial" w:eastAsia="Arial" w:hAnsi="Arial"/>
          <w:sz w:val="18"/>
          <w:szCs w:val="18"/>
          <w:color w:val="0A0A0A"/>
        </w:rPr>
        <w:t>These</w:t>
      </w:r>
      <w:r>
        <w:rPr>
          <w:rFonts w:ascii="Arial" w:cs="Arial" w:eastAsia="Arial" w:hAnsi="Arial"/>
          <w:sz w:val="18"/>
          <w:szCs w:val="18"/>
          <w:color w:val="auto"/>
        </w:rPr>
        <w:t xml:space="preserve"> </w:t>
      </w:r>
      <w:r>
        <w:rPr>
          <w:rFonts w:ascii="Arial" w:cs="Arial" w:eastAsia="Arial" w:hAnsi="Arial"/>
          <w:sz w:val="18"/>
          <w:szCs w:val="18"/>
          <w:color w:val="0A0A0A"/>
        </w:rPr>
        <w:t>forward-looking statements generally can be identified by the use of words such as “anticipate,” “believe,” “could,” “estimate,” “expect,” “forecast,” “future,” “goal,” “guidance,” “hope,” “intend,” “may,” “opinion,” “optimistic,” “plan,” “poised,” “predict,” “project,” “should,” “strategy,” “target,” “will,” "work to,"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w:t>
      </w:r>
    </w:p>
    <w:p>
      <w:pPr>
        <w:sectPr>
          <w:pgSz w:w="11900" w:h="16838" w:orient="portrait"/>
          <w:cols w:equalWidth="0" w:num="1">
            <w:col w:w="11240"/>
          </w:cols>
          <w:pgMar w:left="320" w:top="1187"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type w:val="continuous"/>
        </w:sectPr>
      </w:pPr>
    </w:p>
    <w:bookmarkStart w:id="35" w:name="page36"/>
    <w:bookmarkEnd w:id="35"/>
    <w:p>
      <w:pPr>
        <w:jc w:val="both"/>
        <w:spacing w:after="0" w:line="253" w:lineRule="auto"/>
        <w:rPr>
          <w:sz w:val="20"/>
          <w:szCs w:val="20"/>
          <w:color w:val="auto"/>
        </w:rPr>
      </w:pPr>
      <w:r>
        <w:rPr>
          <w:rFonts w:ascii="Arial" w:cs="Arial" w:eastAsia="Arial" w:hAnsi="Arial"/>
          <w:sz w:val="18"/>
          <w:szCs w:val="18"/>
          <w:color w:val="0A0A0A"/>
        </w:rPr>
        <w:t>market conditions, including the impact of inflation; changes in consumer and customer preferences for our products (such as cameras replacing mirrors and/or autonomous driving); our ability to be awarded new business; continued uncertainty in pricing negotiations with customers and suppliers; loss of business from increased competition; changes in strategic relationships; customer bankruptcies or divestiture of customer brands; fluctuation in vehicle production schedules (including the impact of customer employee strikes); changes in product mix; raw material and other supply shortages; labor shortages, supply chain constraints and disruptions; our dependence on information systems;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 business; negative impact of any governmental investigations and associated litigation including securities litigation relating to the conduct of our business; and the length and severity of the COVID-19 (coronavirus) pandemic, including its impact across our business on demand, operations, and the global supply chain. Readers are cautioned not to place undue reliance on these forward-looking statements, which speak only as of the date they are made.</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 information about risks and uncertainties identified under the heading “Risk Factors” in the Company’s latest Form 10-K and Form 10-Q filed with the SEC, which risks and uncertainties now include the impacts of an inflationary environment, COVID-19 (coronavirus) pandemic, and supply chain and labor constraints that have affected, are affecting, and will continue to affect, general economic and industry conditions, customers, suppliers, and the regulatory environment in which the Company operates. Includes content supplied by S&amp;P Global Mobility Light Vehicle Production Forecast of October 18, 2022 (http://www.gentex.com/forecast-disclaimer).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Information</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November 1, 2022, Steve Downing, President and Chief Executive Officer of the Company, entered into a stock trading plan in accordance with Rule 10b5-1 of the Securities Exchange Act of 1934, providing for a third-party broker to sell shares of common stock of the Company that Mr. Downing may acquire upon the vesting of: 37,000 restricted shares awarded in 2018; 17,792 restricted shares awarded in 2020; and 41,516 performance shares (payable in common stock) awarded in 2020, subject to certain performance conditions. This plan also provides for a third-party broker to sell 17,730 shares of common stock issuable upon exercise of stock options awarded to Mr. Downing in 2016. Options will be exercised and/or shares will be sold under the stock trading plan on the open market over the period of time and in accordance with other parameters set forth in the stock trading plan. The stock trading plan terminates upon the earlier of all the transactions set forth in the plan being executed or March 1, 2023.</w:t>
      </w:r>
    </w:p>
    <w:p>
      <w:pPr>
        <w:spacing w:after="0" w:line="22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November 1, 2022, Kevin Nash, Vice President of Finance, Chief Financial Officer, and Treasurer of the Company, entered into a stock trading plan in accordance with Rule 10b5-1 of the Securities Exchange Act of 1934, providing for a third-party broker to sell shares of common stock of the Company that Mr. Nash may acquire upon the vesting of: 5,535 restricted shares awarded in 2020; and 12,916 performance shares (payable in common stock) awarded in 2020, subject to certain performance conditions. This plan also provides for a third-party broker to sell 6,776 shares of common stock issuable upon exercise of stock options awarded to Mr. Nash in 2016. Options will be exercised and/or shares will be sold under the stock trading plan on the open market over the period of time and in accordance with other parameters set forth in the stock trading plan. The stock trading plan terminates upon the earlier of all the transactions set forth in the plan being executed or March 1, 2023.</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November 1, 2022, Matt Chiodo, Chief Sales Officer and Senior Vice President of Sales of the Company, entered into a stock trading plan in accordance with Rule 10b5-1 of the Securities Exchange Act of 1934, providing for a third-party broker to sell shares of common stock of the Company that Mr. Chiodo may acquire upon the vesting of: 5,000 restricted shares awarded in 2020; and11,394 performance shares (payable in common stock) awarded in 2020, subject to certain performance conditions. The shares will be sold under the stock trading plan on the open market over the period of time and in accordance with other</w:t>
      </w: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36" w:name="page37"/>
    <w:bookmarkEnd w:id="36"/>
    <w:p>
      <w:pPr>
        <w:jc w:val="both"/>
        <w:spacing w:after="0" w:line="271" w:lineRule="auto"/>
        <w:rPr>
          <w:sz w:val="20"/>
          <w:szCs w:val="20"/>
          <w:color w:val="auto"/>
        </w:rPr>
      </w:pPr>
      <w:r>
        <w:rPr>
          <w:rFonts w:ascii="Arial" w:cs="Arial" w:eastAsia="Arial" w:hAnsi="Arial"/>
          <w:sz w:val="18"/>
          <w:szCs w:val="18"/>
          <w:color w:val="auto"/>
        </w:rPr>
        <w:t>parameters set forth in the stock trading plan. The stock trading plan terminates upon the earlier of all the transactions set forth in the plan being executed or March 1, 2023.</w:t>
      </w:r>
    </w:p>
    <w:p>
      <w:pPr>
        <w:spacing w:after="0" w:line="19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November 1, 2022, Neil Boehm, Chief Technology Officer and Vice President of Engineering, entered into a stock trading plan in accordance with Rule 10b5-1 of the Securities Exchange Act of 1934, providing for a third-party broker to sell shares of common stock of the Company that Mr. Boehm may acquire upon the vesting of: 6,035 restricted shares awarded in 2020; and 14,081 performance shares (payable in common stock) awarded in 2020, subject to certain performance conditions. This plan also provides for a third-party broker to sell 1,242 shares of common stock issuable upon exercise of stock options awarded to Mr. Boehm in 2016. Options will be exercised and/or shares will be sold under the stock trading plan on the open market over the period of time and in accordance with other parameters set forth in the stock trading plan. The stock trading plan terminates upon the earlier of all the transactions set forth in the plan being executed or April 15, 2023.</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November 1, 2022, Scott Ryan, Vice President, General Counsel, and Corporate Secretary, entered into a stock trading plan in accordance with Rule 10b5-1 of the Securities Exchange Act of 1934, providing for a third-party broker to sell shares of common stock of the Company that Mr. Ryan may acquire upon the vesting of: 4,325 restricted shares awarded in 2020; 10,091 performance shares (payable in common stock) awarded in 2020, subject to certain performance conditions. This plan also provides for a third-party broker to sell 4,580 shares of common stock issuable upon exercise of stock options awarded to Mr. Ryan in 2016. Options will be exercised and/or shares will be sold under the stock trading plan on the open market over the period of time and in accordance with to the other parameters set forth in the stock trading plan. The stock trading plan terminates upon the earlier of all the transactions set forth in the plan being executed or March 1, 2023.</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Rule 10b5-1 trading plans are permitted under the Company’s insider trading policy and other policies, and, to the extent required, transactions under such trading plans will be disclosed publicly through Form 144 and/or Form 4 filings with the Securities and Exchange Commission. Except as may be required by law, the Company does not undertake any obligation to report Rule 10b5-1 plans by officers or directors of the Company in the future, or to report modifications or terminations of any such plans, whether or not any such plans were publicly announced.</w:t>
      </w: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Information regarding risk factors appears in Management’s Discussion and Analysis of Financial Condition and Results of Operations in Part I – Item 2 of this Form 10-Q and in Part I – Item 1A – Risk Factors of the Company’s report on Form 10-K for the fiscal year ended December 31, 2021. There have been no material changes to the risk factors previously disclosed in the Company’s report on Form 10-K for the year ended December 31, 2021, except to the extent described in Part I – Item 2 and Item 3 of this Form 10-Q, and otherwise herein.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ind w:left="420" w:hanging="412"/>
        <w:spacing w:after="0"/>
        <w:tabs>
          <w:tab w:leader="none" w:pos="4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Unregistered Sales of Equity Securities; Green Marbles</w:t>
      </w:r>
    </w:p>
    <w:p>
      <w:pPr>
        <w:spacing w:after="0" w:line="25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On June 3, 2022, the Company issued 162,433 shares of its common stock to GreenMarbles, at a value of $5 million, as partial consideration for an investment in GreenMarbles. The shares were issued under Section 4(a)(2) of the Securities Act of 1933, as amended. The Company believes the issuance of the foregoing restricted shares was exempt from registration as a privately negotiated, isolated, non-recurring transaction not involving a public solicitation. An appropriate legend is affixed to the stock certificates issued in such transaction.</w:t>
      </w:r>
    </w:p>
    <w:p>
      <w:pPr>
        <w:spacing w:after="0" w:line="206" w:lineRule="exact"/>
        <w:rPr>
          <w:sz w:val="20"/>
          <w:szCs w:val="20"/>
          <w:color w:val="auto"/>
        </w:rPr>
      </w:pPr>
    </w:p>
    <w:p>
      <w:pPr>
        <w:ind w:left="420" w:hanging="412"/>
        <w:spacing w:after="0"/>
        <w:tabs>
          <w:tab w:leader="none" w:pos="4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Issuer Purchase of Equity Securities</w:t>
      </w:r>
    </w:p>
    <w:p>
      <w:pPr>
        <w:spacing w:after="0" w:line="25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has a previously announced share repurchase plan under which the Board of Directors has authorized the repurchase of shares of the Company's common stock, which remains a part of the broader publicly disclosed capital allocation strategy. During the first nine months of 2022, the Company repurchased 3.3 million shares under the share repurchase plan. As previously disclosed, the Company will consider the appropriateness of continuing to repurchase additional shares of common stock in the future in support of the capital allocation strategy, but share repurchases may vary from time to time and will take into account macroeconomic events (including the COVID-19 pandemic and shutdowns related to the microchip shortage as well as other supply chain and labor constraints), market trends, and other factors the Company deems appropriate (including the market price of the stock, anti-dilutive effect of repurchases, and available cash).</w:t>
      </w:r>
    </w:p>
    <w:p>
      <w:pPr>
        <w:spacing w:after="0" w:line="212"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After the Company repurchased 3,290,496 shares during the first nine months of 2022, the Company has 21.5 million shares remaining under the plan as of September 30, 2022.</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color w:val="auto"/>
        </w:rPr>
        <w:t>The following is a summary of share repurchase activity during each month of the quarter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621474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14745" cy="128905"/>
                    </a:xfrm>
                    <a:prstGeom prst="rect">
                      <a:avLst/>
                    </a:prstGeom>
                    <a:noFill/>
                  </pic:spPr>
                </pic:pic>
              </a:graphicData>
            </a:graphic>
          </wp:anchor>
        </w:drawing>
      </w:r>
    </w:p>
    <w:p>
      <w:pPr>
        <w:spacing w:after="0" w:line="39"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Issuer Purchase of Equity Securities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3180"/>
        <w:spacing w:after="0"/>
        <w:rPr>
          <w:sz w:val="20"/>
          <w:szCs w:val="20"/>
          <w:color w:val="auto"/>
        </w:rPr>
      </w:pPr>
      <w:r>
        <w:rPr>
          <w:rFonts w:ascii="Arial" w:cs="Arial" w:eastAsia="Arial" w:hAnsi="Arial"/>
          <w:sz w:val="14"/>
          <w:szCs w:val="14"/>
          <w:b w:val="1"/>
          <w:bCs w:val="1"/>
          <w:color w:val="auto"/>
        </w:rPr>
        <w:t>Total Number of Shares</w:t>
      </w:r>
    </w:p>
    <w:p>
      <w:pPr>
        <w:ind w:left="680"/>
        <w:spacing w:after="0"/>
        <w:tabs>
          <w:tab w:leader="none" w:pos="3580" w:val="left"/>
        </w:tabs>
        <w:rPr>
          <w:sz w:val="20"/>
          <w:szCs w:val="20"/>
          <w:color w:val="auto"/>
        </w:rPr>
      </w:pPr>
      <w:r>
        <w:rPr>
          <w:rFonts w:ascii="Arial" w:cs="Arial" w:eastAsia="Arial" w:hAnsi="Arial"/>
          <w:sz w:val="14"/>
          <w:szCs w:val="14"/>
          <w:b w:val="1"/>
          <w:bCs w:val="1"/>
          <w:color w:val="auto"/>
        </w:rPr>
        <w:t>Period</w:t>
      </w:r>
      <w:r>
        <w:rPr>
          <w:sz w:val="20"/>
          <w:szCs w:val="20"/>
          <w:color w:val="auto"/>
        </w:rPr>
        <w:tab/>
      </w:r>
      <w:r>
        <w:rPr>
          <w:rFonts w:ascii="Arial" w:cs="Arial" w:eastAsia="Arial" w:hAnsi="Arial"/>
          <w:sz w:val="14"/>
          <w:szCs w:val="14"/>
          <w:b w:val="1"/>
          <w:bCs w:val="1"/>
          <w:color w:val="auto"/>
        </w:rPr>
        <w:t>Purchased</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02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rPr>
              <w:t>Maximum Number of Shares</w:t>
            </w:r>
          </w:p>
        </w:tc>
        <w:tc>
          <w:tcPr>
            <w:tcW w:w="0" w:type="dxa"/>
            <w:vAlign w:val="bottom"/>
          </w:tcPr>
          <w:p>
            <w:pPr>
              <w:spacing w:after="0"/>
              <w:rPr>
                <w:sz w:val="1"/>
                <w:szCs w:val="1"/>
                <w:color w:val="auto"/>
              </w:rPr>
            </w:pPr>
          </w:p>
        </w:tc>
      </w:tr>
      <w:tr>
        <w:trPr>
          <w:trHeight w:val="144"/>
        </w:trPr>
        <w:tc>
          <w:tcPr>
            <w:tcW w:w="1380" w:type="dxa"/>
            <w:vAlign w:val="bottom"/>
            <w:vMerge w:val="continue"/>
          </w:tcPr>
          <w:p>
            <w:pPr>
              <w:spacing w:after="0"/>
              <w:rPr>
                <w:sz w:val="12"/>
                <w:szCs w:val="12"/>
                <w:color w:val="auto"/>
              </w:rPr>
            </w:pPr>
          </w:p>
        </w:tc>
        <w:tc>
          <w:tcPr>
            <w:tcW w:w="20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Purchased As Part of a</w:t>
            </w: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rPr>
              <w:t>Average Price Paid</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Publicly Announced Plan or</w:t>
            </w:r>
          </w:p>
        </w:tc>
        <w:tc>
          <w:tcPr>
            <w:tcW w:w="20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rPr>
              <w:t>That May Yet Be Purchased</w:t>
            </w:r>
          </w:p>
        </w:tc>
        <w:tc>
          <w:tcPr>
            <w:tcW w:w="0" w:type="dxa"/>
            <w:vAlign w:val="bottom"/>
          </w:tcPr>
          <w:p>
            <w:pPr>
              <w:spacing w:after="0"/>
              <w:rPr>
                <w:sz w:val="1"/>
                <w:szCs w:val="1"/>
                <w:color w:val="auto"/>
              </w:rPr>
            </w:pPr>
          </w:p>
        </w:tc>
      </w:tr>
      <w:tr>
        <w:trPr>
          <w:trHeight w:val="189"/>
        </w:trPr>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Per Share</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Program</w:t>
            </w:r>
          </w:p>
        </w:tc>
        <w:tc>
          <w:tcPr>
            <w:tcW w:w="2020" w:type="dxa"/>
            <w:vAlign w:val="bottom"/>
          </w:tcPr>
          <w:p>
            <w:pPr>
              <w:jc w:val="center"/>
              <w:ind w:left="8"/>
              <w:spacing w:after="0"/>
              <w:rPr>
                <w:sz w:val="20"/>
                <w:szCs w:val="20"/>
                <w:color w:val="auto"/>
              </w:rPr>
            </w:pPr>
            <w:r>
              <w:rPr>
                <w:rFonts w:ascii="Arial" w:cs="Arial" w:eastAsia="Arial" w:hAnsi="Arial"/>
                <w:sz w:val="14"/>
                <w:szCs w:val="14"/>
                <w:b w:val="1"/>
                <w:bCs w:val="1"/>
                <w:color w:val="auto"/>
              </w:rPr>
              <w:t>Under the Plan or Program</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4780" w:space="160"/>
            <w:col w:w="6300"/>
          </w:cols>
          <w:pgMar w:left="320" w:top="931" w:right="339" w:bottom="1440" w:gutter="0" w:footer="0" w:header="0"/>
          <w:type w:val="continuous"/>
        </w:sectPr>
      </w:pPr>
    </w:p>
    <w:tbl>
      <w:tblPr>
        <w:tblLayout w:type="fixed"/>
        <w:tblInd w:w="660" w:type="dxa"/>
        <w:tblCellMar>
          <w:top w:w="0" w:type="dxa"/>
          <w:left w:w="0" w:type="dxa"/>
          <w:bottom w:w="0" w:type="dxa"/>
          <w:right w:w="0" w:type="dxa"/>
        </w:tblCellMar>
      </w:tblPr>
      <w:tr>
        <w:trPr>
          <w:trHeight w:val="223"/>
        </w:trPr>
        <w:tc>
          <w:tcPr>
            <w:tcW w:w="2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2022</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24,824,068</w:t>
            </w: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February 2022</w:t>
            </w:r>
          </w:p>
        </w:tc>
        <w:tc>
          <w:tcPr>
            <w:tcW w:w="1800" w:type="dxa"/>
            <w:vAlign w:val="bottom"/>
          </w:tcPr>
          <w:p>
            <w:pPr>
              <w:jc w:val="right"/>
              <w:spacing w:after="0"/>
              <w:rPr>
                <w:sz w:val="20"/>
                <w:szCs w:val="20"/>
                <w:color w:val="auto"/>
              </w:rPr>
            </w:pPr>
            <w:r>
              <w:rPr>
                <w:rFonts w:ascii="Arial" w:cs="Arial" w:eastAsia="Arial" w:hAnsi="Arial"/>
                <w:sz w:val="18"/>
                <w:szCs w:val="18"/>
                <w:color w:val="auto"/>
              </w:rPr>
              <w:t>490,021</w:t>
            </w:r>
          </w:p>
        </w:tc>
        <w:tc>
          <w:tcPr>
            <w:tcW w:w="1440" w:type="dxa"/>
            <w:vAlign w:val="bottom"/>
          </w:tcPr>
          <w:p>
            <w:pPr>
              <w:jc w:val="right"/>
              <w:spacing w:after="0"/>
              <w:rPr>
                <w:sz w:val="20"/>
                <w:szCs w:val="20"/>
                <w:color w:val="auto"/>
              </w:rPr>
            </w:pPr>
            <w:r>
              <w:rPr>
                <w:rFonts w:ascii="Arial" w:cs="Arial" w:eastAsia="Arial" w:hAnsi="Arial"/>
                <w:sz w:val="18"/>
                <w:szCs w:val="18"/>
                <w:color w:val="auto"/>
              </w:rPr>
              <w:t>30.63</w:t>
            </w:r>
          </w:p>
        </w:tc>
        <w:tc>
          <w:tcPr>
            <w:tcW w:w="2060" w:type="dxa"/>
            <w:vAlign w:val="bottom"/>
          </w:tcPr>
          <w:p>
            <w:pPr>
              <w:jc w:val="right"/>
              <w:spacing w:after="0"/>
              <w:rPr>
                <w:sz w:val="20"/>
                <w:szCs w:val="20"/>
                <w:color w:val="auto"/>
              </w:rPr>
            </w:pPr>
            <w:r>
              <w:rPr>
                <w:rFonts w:ascii="Arial" w:cs="Arial" w:eastAsia="Arial" w:hAnsi="Arial"/>
                <w:sz w:val="18"/>
                <w:szCs w:val="18"/>
                <w:color w:val="auto"/>
              </w:rPr>
              <w:t>490,021</w:t>
            </w:r>
          </w:p>
        </w:tc>
        <w:tc>
          <w:tcPr>
            <w:tcW w:w="2060" w:type="dxa"/>
            <w:vAlign w:val="bottom"/>
          </w:tcPr>
          <w:p>
            <w:pPr>
              <w:jc w:val="right"/>
              <w:spacing w:after="0"/>
              <w:rPr>
                <w:sz w:val="20"/>
                <w:szCs w:val="20"/>
                <w:color w:val="auto"/>
              </w:rPr>
            </w:pPr>
            <w:r>
              <w:rPr>
                <w:rFonts w:ascii="Arial" w:cs="Arial" w:eastAsia="Arial" w:hAnsi="Arial"/>
                <w:sz w:val="18"/>
                <w:szCs w:val="18"/>
                <w:color w:val="auto"/>
              </w:rPr>
              <w:t>24,334,047</w:t>
            </w: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2022</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1,950,169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1,950,169</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22,383,878</w:t>
            </w:r>
          </w:p>
        </w:tc>
      </w:tr>
      <w:tr>
        <w:trPr>
          <w:trHeight w:val="223"/>
        </w:trPr>
        <w:tc>
          <w:tcPr>
            <w:tcW w:w="2420" w:type="dxa"/>
            <w:vAlign w:val="bottom"/>
          </w:tcPr>
          <w:p>
            <w:pPr>
              <w:ind w:left="20"/>
              <w:spacing w:after="0"/>
              <w:rPr>
                <w:sz w:val="20"/>
                <w:szCs w:val="20"/>
                <w:color w:val="auto"/>
              </w:rPr>
            </w:pPr>
            <w:r>
              <w:rPr>
                <w:rFonts w:ascii="Arial" w:cs="Arial" w:eastAsia="Arial" w:hAnsi="Arial"/>
                <w:sz w:val="18"/>
                <w:szCs w:val="18"/>
                <w:color w:val="auto"/>
              </w:rPr>
              <w:t>1st Quarter 2022 Total</w:t>
            </w:r>
          </w:p>
        </w:tc>
        <w:tc>
          <w:tcPr>
            <w:tcW w:w="1800" w:type="dxa"/>
            <w:vAlign w:val="bottom"/>
          </w:tcPr>
          <w:p>
            <w:pPr>
              <w:jc w:val="right"/>
              <w:spacing w:after="0"/>
              <w:rPr>
                <w:sz w:val="20"/>
                <w:szCs w:val="20"/>
                <w:color w:val="auto"/>
              </w:rPr>
            </w:pPr>
            <w:r>
              <w:rPr>
                <w:rFonts w:ascii="Arial" w:cs="Arial" w:eastAsia="Arial" w:hAnsi="Arial"/>
                <w:sz w:val="18"/>
                <w:szCs w:val="18"/>
                <w:color w:val="auto"/>
              </w:rPr>
              <w:t>2,440,190</w:t>
            </w:r>
          </w:p>
        </w:tc>
        <w:tc>
          <w:tcPr>
            <w:tcW w:w="1440" w:type="dxa"/>
            <w:vAlign w:val="bottom"/>
          </w:tcPr>
          <w:p>
            <w:pPr>
              <w:jc w:val="right"/>
              <w:spacing w:after="0"/>
              <w:rPr>
                <w:sz w:val="20"/>
                <w:szCs w:val="20"/>
                <w:color w:val="auto"/>
              </w:rPr>
            </w:pPr>
            <w:r>
              <w:rPr>
                <w:rFonts w:ascii="Arial" w:cs="Arial" w:eastAsia="Arial" w:hAnsi="Arial"/>
                <w:sz w:val="18"/>
                <w:szCs w:val="18"/>
                <w:color w:val="auto"/>
              </w:rPr>
              <w:t>29.20</w:t>
            </w:r>
          </w:p>
        </w:tc>
        <w:tc>
          <w:tcPr>
            <w:tcW w:w="2060" w:type="dxa"/>
            <w:vAlign w:val="bottom"/>
          </w:tcPr>
          <w:p>
            <w:pPr>
              <w:jc w:val="right"/>
              <w:spacing w:after="0"/>
              <w:rPr>
                <w:sz w:val="20"/>
                <w:szCs w:val="20"/>
                <w:color w:val="auto"/>
              </w:rPr>
            </w:pPr>
            <w:r>
              <w:rPr>
                <w:rFonts w:ascii="Arial" w:cs="Arial" w:eastAsia="Arial" w:hAnsi="Arial"/>
                <w:sz w:val="18"/>
                <w:szCs w:val="18"/>
                <w:color w:val="auto"/>
              </w:rPr>
              <w:t>2,440,190</w:t>
            </w:r>
          </w:p>
        </w:tc>
        <w:tc>
          <w:tcPr>
            <w:tcW w:w="2060" w:type="dxa"/>
            <w:vAlign w:val="bottom"/>
          </w:tcPr>
          <w:p>
            <w:pPr>
              <w:spacing w:after="0"/>
              <w:rPr>
                <w:sz w:val="19"/>
                <w:szCs w:val="19"/>
                <w:color w:val="auto"/>
              </w:rPr>
            </w:pPr>
          </w:p>
        </w:tc>
      </w:tr>
      <w:tr>
        <w:trPr>
          <w:trHeight w:val="216"/>
        </w:trPr>
        <w:tc>
          <w:tcPr>
            <w:tcW w:w="2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2nd Quarter 2022 Total</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22,383,878</w:t>
            </w:r>
          </w:p>
        </w:tc>
      </w:tr>
      <w:tr>
        <w:trPr>
          <w:trHeight w:val="122"/>
        </w:trPr>
        <w:tc>
          <w:tcPr>
            <w:tcW w:w="2420" w:type="dxa"/>
            <w:vAlign w:val="bottom"/>
            <w:shd w:val="clear" w:color="auto" w:fill="CCEEFF"/>
          </w:tcPr>
          <w:p>
            <w:pPr>
              <w:spacing w:after="0"/>
              <w:rPr>
                <w:sz w:val="10"/>
                <w:szCs w:val="10"/>
                <w:color w:val="auto"/>
              </w:rPr>
            </w:pPr>
          </w:p>
        </w:tc>
        <w:tc>
          <w:tcPr>
            <w:tcW w:w="180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July 2022</w:t>
            </w:r>
          </w:p>
        </w:tc>
        <w:tc>
          <w:tcPr>
            <w:tcW w:w="1800" w:type="dxa"/>
            <w:vAlign w:val="bottom"/>
          </w:tcPr>
          <w:p>
            <w:pPr>
              <w:jc w:val="right"/>
              <w:spacing w:after="0"/>
              <w:rPr>
                <w:sz w:val="20"/>
                <w:szCs w:val="20"/>
                <w:color w:val="auto"/>
              </w:rPr>
            </w:pPr>
            <w:r>
              <w:rPr>
                <w:rFonts w:ascii="Arial" w:cs="Arial" w:eastAsia="Arial" w:hAnsi="Arial"/>
                <w:sz w:val="18"/>
                <w:szCs w:val="18"/>
                <w:color w:val="auto"/>
              </w:rPr>
              <w:t>150,110</w:t>
            </w:r>
          </w:p>
        </w:tc>
        <w:tc>
          <w:tcPr>
            <w:tcW w:w="1440" w:type="dxa"/>
            <w:vAlign w:val="bottom"/>
          </w:tcPr>
          <w:p>
            <w:pPr>
              <w:jc w:val="right"/>
              <w:spacing w:after="0"/>
              <w:rPr>
                <w:sz w:val="20"/>
                <w:szCs w:val="20"/>
                <w:color w:val="auto"/>
              </w:rPr>
            </w:pPr>
            <w:r>
              <w:rPr>
                <w:rFonts w:ascii="Arial" w:cs="Arial" w:eastAsia="Arial" w:hAnsi="Arial"/>
                <w:sz w:val="18"/>
                <w:szCs w:val="18"/>
                <w:color w:val="auto"/>
              </w:rPr>
              <w:t>27.80</w:t>
            </w:r>
          </w:p>
        </w:tc>
        <w:tc>
          <w:tcPr>
            <w:tcW w:w="2060" w:type="dxa"/>
            <w:vAlign w:val="bottom"/>
          </w:tcPr>
          <w:p>
            <w:pPr>
              <w:jc w:val="right"/>
              <w:spacing w:after="0"/>
              <w:rPr>
                <w:sz w:val="20"/>
                <w:szCs w:val="20"/>
                <w:color w:val="auto"/>
              </w:rPr>
            </w:pPr>
            <w:r>
              <w:rPr>
                <w:rFonts w:ascii="Arial" w:cs="Arial" w:eastAsia="Arial" w:hAnsi="Arial"/>
                <w:sz w:val="18"/>
                <w:szCs w:val="18"/>
                <w:color w:val="auto"/>
              </w:rPr>
              <w:t>150,110</w:t>
            </w:r>
          </w:p>
        </w:tc>
        <w:tc>
          <w:tcPr>
            <w:tcW w:w="2060" w:type="dxa"/>
            <w:vAlign w:val="bottom"/>
          </w:tcPr>
          <w:p>
            <w:pPr>
              <w:jc w:val="right"/>
              <w:spacing w:after="0"/>
              <w:rPr>
                <w:sz w:val="20"/>
                <w:szCs w:val="20"/>
                <w:color w:val="auto"/>
              </w:rPr>
            </w:pPr>
            <w:r>
              <w:rPr>
                <w:rFonts w:ascii="Arial" w:cs="Arial" w:eastAsia="Arial" w:hAnsi="Arial"/>
                <w:sz w:val="18"/>
                <w:szCs w:val="18"/>
                <w:color w:val="auto"/>
              </w:rPr>
              <w:t>22,233,768</w:t>
            </w: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2022</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300,135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300,135</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21,933,633</w:t>
            </w:r>
          </w:p>
        </w:tc>
      </w:tr>
      <w:tr>
        <w:trPr>
          <w:trHeight w:val="229"/>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September 2022</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400,061</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24.17</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400,061</w:t>
            </w:r>
          </w:p>
        </w:tc>
        <w:tc>
          <w:tcPr>
            <w:tcW w:w="2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21,533,572</w:t>
            </w: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3rd Quarter 2022 Total</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850,306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850,306</w:t>
            </w:r>
          </w:p>
        </w:tc>
        <w:tc>
          <w:tcPr>
            <w:tcW w:w="2060" w:type="dxa"/>
            <w:vAlign w:val="bottom"/>
            <w:shd w:val="clear" w:color="auto" w:fill="CCEEFF"/>
          </w:tcPr>
          <w:p>
            <w:pPr>
              <w:spacing w:after="0"/>
              <w:rPr>
                <w:sz w:val="19"/>
                <w:szCs w:val="19"/>
                <w:color w:val="auto"/>
              </w:rPr>
            </w:pPr>
          </w:p>
        </w:tc>
      </w:tr>
      <w:tr>
        <w:trPr>
          <w:trHeight w:val="250"/>
        </w:trPr>
        <w:tc>
          <w:tcPr>
            <w:tcW w:w="24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55"/>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 Total</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3,290,496</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3,290,496</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21,533,572</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ind w:left="660" w:right="440"/>
        <w:spacing w:after="0" w:line="287" w:lineRule="auto"/>
        <w:rPr>
          <w:sz w:val="20"/>
          <w:szCs w:val="20"/>
          <w:color w:val="auto"/>
        </w:rPr>
      </w:pPr>
      <w:r>
        <w:rPr>
          <w:rFonts w:ascii="Arial" w:cs="Arial" w:eastAsia="Arial" w:hAnsi="Arial"/>
          <w:sz w:val="18"/>
          <w:szCs w:val="18"/>
          <w:color w:val="auto"/>
        </w:rPr>
        <w:t>As of September 30, 2022, the Company has repurchased 150,466,156 shares at a total cost of $2,580,262,909 under its share repurchase plan or as otherwise previously disclosed.</w:t>
      </w:r>
    </w:p>
    <w:p>
      <w:pPr>
        <w:spacing w:after="0" w:line="200" w:lineRule="exact"/>
        <w:rPr>
          <w:sz w:val="20"/>
          <w:szCs w:val="20"/>
          <w:color w:val="auto"/>
        </w:rPr>
      </w:pPr>
    </w:p>
    <w:p>
      <w:pPr>
        <w:spacing w:after="0" w:line="22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See Exhibit Index on Page </w:t>
      </w:r>
      <w:r>
        <w:rPr>
          <w:rFonts w:ascii="Arial" w:cs="Arial" w:eastAsia="Arial" w:hAnsi="Arial"/>
          <w:sz w:val="18"/>
          <w:szCs w:val="18"/>
          <w:u w:val="single" w:color="auto"/>
          <w:color w:val="0000FF"/>
        </w:rPr>
        <w:t>40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GENTEX CORPORATION</w:t>
            </w:r>
          </w:p>
        </w:tc>
      </w:tr>
      <w:tr>
        <w:trPr>
          <w:trHeight w:val="33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100"/>
              <w:spacing w:after="0"/>
              <w:rPr>
                <w:sz w:val="20"/>
                <w:szCs w:val="20"/>
                <w:color w:val="auto"/>
              </w:rPr>
            </w:pPr>
            <w:r>
              <w:rPr>
                <w:rFonts w:ascii="Arial" w:cs="Arial" w:eastAsia="Arial" w:hAnsi="Arial"/>
                <w:sz w:val="18"/>
                <w:szCs w:val="18"/>
                <w:color w:val="auto"/>
              </w:rPr>
              <w:t>November 4, 2022</w:t>
            </w:r>
          </w:p>
        </w:tc>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R. Downing</w:t>
            </w:r>
          </w:p>
        </w:tc>
      </w:tr>
      <w:tr>
        <w:trPr>
          <w:trHeight w:val="218"/>
        </w:trPr>
        <w:tc>
          <w:tcPr>
            <w:tcW w:w="5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Steven R. Downing</w:t>
            </w:r>
          </w:p>
        </w:tc>
      </w:tr>
      <w:tr>
        <w:trPr>
          <w:trHeight w:val="229"/>
        </w:trPr>
        <w:tc>
          <w:tcPr>
            <w:tcW w:w="5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(Principal Executive Officer) on behalf of Gentex Corporation</w:t>
            </w:r>
          </w:p>
        </w:tc>
      </w:tr>
      <w:tr>
        <w:trPr>
          <w:trHeight w:val="33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100"/>
              <w:spacing w:after="0"/>
              <w:rPr>
                <w:sz w:val="20"/>
                <w:szCs w:val="20"/>
                <w:color w:val="auto"/>
              </w:rPr>
            </w:pPr>
            <w:r>
              <w:rPr>
                <w:rFonts w:ascii="Arial" w:cs="Arial" w:eastAsia="Arial" w:hAnsi="Arial"/>
                <w:sz w:val="18"/>
                <w:szCs w:val="18"/>
                <w:color w:val="auto"/>
              </w:rPr>
              <w:t>November 4, 2022</w:t>
            </w:r>
          </w:p>
        </w:tc>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C. Nash</w:t>
            </w:r>
          </w:p>
        </w:tc>
      </w:tr>
      <w:tr>
        <w:trPr>
          <w:trHeight w:val="218"/>
        </w:trPr>
        <w:tc>
          <w:tcPr>
            <w:tcW w:w="5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Kevin C. Nash</w:t>
            </w:r>
          </w:p>
        </w:tc>
      </w:tr>
      <w:tr>
        <w:trPr>
          <w:trHeight w:val="230"/>
        </w:trPr>
        <w:tc>
          <w:tcPr>
            <w:tcW w:w="5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Vice President, Finance, Chief Financial Officer and Treasurer</w:t>
            </w:r>
          </w:p>
        </w:tc>
      </w:tr>
      <w:tr>
        <w:trPr>
          <w:trHeight w:val="181"/>
        </w:trPr>
        <w:tc>
          <w:tcPr>
            <w:tcW w:w="5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6680" w:type="dxa"/>
            <w:vAlign w:val="bottom"/>
          </w:tcPr>
          <w:p>
            <w:pPr>
              <w:ind w:left="20"/>
              <w:spacing w:after="0" w:line="181" w:lineRule="exact"/>
              <w:rPr>
                <w:sz w:val="20"/>
                <w:szCs w:val="20"/>
                <w:color w:val="auto"/>
              </w:rPr>
            </w:pPr>
            <w:r>
              <w:rPr>
                <w:rFonts w:ascii="Arial" w:cs="Arial" w:eastAsia="Arial" w:hAnsi="Arial"/>
                <w:sz w:val="18"/>
                <w:szCs w:val="18"/>
                <w:color w:val="auto"/>
              </w:rPr>
              <w:t>(Principal Financial Officer and Principal Accounting Officer) on behalf of Gentex</w:t>
            </w:r>
          </w:p>
        </w:tc>
      </w:tr>
      <w:tr>
        <w:trPr>
          <w:trHeight w:val="239"/>
        </w:trPr>
        <w:tc>
          <w:tcPr>
            <w:tcW w:w="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Corporation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47"/>
        </w:trPr>
        <w:tc>
          <w:tcPr>
            <w:tcW w:w="1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80" w:type="dxa"/>
            <w:vAlign w:val="bottom"/>
            <w:gridSpan w:val="3"/>
          </w:tcPr>
          <w:p>
            <w:pPr>
              <w:ind w:left="2240"/>
              <w:spacing w:after="0"/>
              <w:rPr>
                <w:sz w:val="20"/>
                <w:szCs w:val="20"/>
                <w:color w:val="auto"/>
              </w:rPr>
            </w:pPr>
            <w:r>
              <w:rPr>
                <w:rFonts w:ascii="Arial" w:cs="Arial" w:eastAsia="Arial" w:hAnsi="Arial"/>
                <w:sz w:val="18"/>
                <w:szCs w:val="18"/>
                <w:b w:val="1"/>
                <w:bCs w:val="1"/>
                <w:color w:val="auto"/>
              </w:rPr>
              <w:t>EXHIBIT INDEX</w:t>
            </w:r>
          </w:p>
        </w:tc>
      </w:tr>
      <w:tr>
        <w:trPr>
          <w:trHeight w:val="401"/>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400" w:type="dxa"/>
            <w:vAlign w:val="bottom"/>
          </w:tcPr>
          <w:p>
            <w:pPr>
              <w:spacing w:after="0"/>
              <w:rPr>
                <w:sz w:val="24"/>
                <w:szCs w:val="24"/>
                <w:color w:val="auto"/>
              </w:rPr>
            </w:pPr>
          </w:p>
        </w:tc>
        <w:tc>
          <w:tcPr>
            <w:tcW w:w="8480" w:type="dxa"/>
            <w:vAlign w:val="bottom"/>
            <w:gridSpan w:val="3"/>
          </w:tcPr>
          <w:p>
            <w:pPr>
              <w:ind w:left="3140"/>
              <w:spacing w:after="0"/>
              <w:rPr>
                <w:sz w:val="20"/>
                <w:szCs w:val="20"/>
                <w:color w:val="auto"/>
              </w:rPr>
            </w:pPr>
            <w:r>
              <w:rPr>
                <w:rFonts w:ascii="Arial" w:cs="Arial" w:eastAsia="Arial" w:hAnsi="Arial"/>
                <w:sz w:val="14"/>
                <w:szCs w:val="14"/>
                <w:b w:val="1"/>
                <w:bCs w:val="1"/>
                <w:color w:val="auto"/>
              </w:rPr>
              <w:t>Description</w:t>
            </w:r>
          </w:p>
        </w:tc>
      </w:tr>
      <w:tr>
        <w:trPr>
          <w:trHeight w:val="194"/>
        </w:trPr>
        <w:tc>
          <w:tcPr>
            <w:tcW w:w="1320" w:type="dxa"/>
            <w:vAlign w:val="bottom"/>
          </w:tcPr>
          <w:p>
            <w:pPr>
              <w:ind w:left="20"/>
              <w:spacing w:after="0" w:line="195" w:lineRule="exact"/>
              <w:rPr>
                <w:sz w:val="20"/>
                <w:szCs w:val="20"/>
                <w:color w:val="auto"/>
              </w:rPr>
            </w:pPr>
            <w:r>
              <w:rPr>
                <w:rFonts w:ascii="Arial" w:cs="Arial" w:eastAsia="Arial" w:hAnsi="Arial"/>
                <w:sz w:val="18"/>
                <w:szCs w:val="18"/>
                <w:color w:val="auto"/>
              </w:rPr>
              <w:t>31.1</w:t>
            </w:r>
          </w:p>
        </w:tc>
        <w:tc>
          <w:tcPr>
            <w:tcW w:w="9880" w:type="dxa"/>
            <w:vAlign w:val="bottom"/>
            <w:gridSpan w:val="4"/>
          </w:tcPr>
          <w:p>
            <w:pPr>
              <w:spacing w:after="0" w:line="195" w:lineRule="exact"/>
              <w:rPr>
                <w:sz w:val="20"/>
                <w:szCs w:val="20"/>
                <w:color w:val="auto"/>
              </w:rPr>
            </w:pPr>
            <w:r>
              <w:rPr>
                <w:rFonts w:ascii="Arial" w:cs="Arial" w:eastAsia="Arial" w:hAnsi="Arial"/>
                <w:sz w:val="18"/>
                <w:szCs w:val="18"/>
                <w:color w:val="0000FF"/>
              </w:rPr>
              <w:t>Certificate of the Chief Executive Officer of Gentex Corporation pursuant to Section 302 of the Sarbanes-Oxley Act of 2002</w:t>
            </w:r>
          </w:p>
        </w:tc>
      </w:tr>
      <w:tr>
        <w:trPr>
          <w:trHeight w:val="169"/>
        </w:trPr>
        <w:tc>
          <w:tcPr>
            <w:tcW w:w="1320" w:type="dxa"/>
            <w:vAlign w:val="bottom"/>
          </w:tcPr>
          <w:p>
            <w:pPr>
              <w:spacing w:after="0"/>
              <w:rPr>
                <w:sz w:val="14"/>
                <w:szCs w:val="14"/>
                <w:color w:val="auto"/>
              </w:rPr>
            </w:pPr>
          </w:p>
        </w:tc>
        <w:tc>
          <w:tcPr>
            <w:tcW w:w="9760" w:type="dxa"/>
            <w:vAlign w:val="bottom"/>
            <w:tcBorders>
              <w:top w:val="single" w:sz="8" w:color="0000FF"/>
            </w:tcBorders>
            <w:gridSpan w:val="3"/>
          </w:tcPr>
          <w:p>
            <w:pPr>
              <w:spacing w:after="0" w:line="169" w:lineRule="exact"/>
              <w:rPr>
                <w:sz w:val="20"/>
                <w:szCs w:val="20"/>
                <w:color w:val="auto"/>
              </w:rPr>
            </w:pPr>
            <w:r>
              <w:rPr>
                <w:rFonts w:ascii="Arial" w:cs="Arial" w:eastAsia="Arial" w:hAnsi="Arial"/>
                <w:sz w:val="18"/>
                <w:szCs w:val="18"/>
                <w:color w:val="0000FF"/>
              </w:rPr>
              <w:t>(18 U.S.C. 1350).</w:t>
            </w:r>
          </w:p>
        </w:tc>
        <w:tc>
          <w:tcPr>
            <w:tcW w:w="120" w:type="dxa"/>
            <w:vAlign w:val="bottom"/>
          </w:tcPr>
          <w:p>
            <w:pPr>
              <w:spacing w:after="0"/>
              <w:rPr>
                <w:sz w:val="14"/>
                <w:szCs w:val="14"/>
                <w:color w:val="auto"/>
              </w:rPr>
            </w:pPr>
          </w:p>
        </w:tc>
      </w:tr>
      <w:tr>
        <w:trPr>
          <w:trHeight w:val="21"/>
        </w:trPr>
        <w:tc>
          <w:tcPr>
            <w:tcW w:w="132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13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988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0000FF"/>
              </w:rPr>
              <w:t>Certificate of the Chief Financial Officer of Gentex Corporation pursuant to Section 302 of the Sarbanes-Oxley Act of 2002</w:t>
            </w:r>
          </w:p>
        </w:tc>
      </w:tr>
      <w:tr>
        <w:trPr>
          <w:trHeight w:val="169"/>
        </w:trPr>
        <w:tc>
          <w:tcPr>
            <w:tcW w:w="1320" w:type="dxa"/>
            <w:vAlign w:val="bottom"/>
            <w:tcBorders>
              <w:top w:val="single" w:sz="8" w:color="CCEEFF"/>
            </w:tcBorders>
            <w:shd w:val="clear" w:color="auto" w:fill="CCEEFF"/>
          </w:tcPr>
          <w:p>
            <w:pPr>
              <w:spacing w:after="0"/>
              <w:rPr>
                <w:sz w:val="14"/>
                <w:szCs w:val="14"/>
                <w:color w:val="auto"/>
              </w:rPr>
            </w:pPr>
          </w:p>
        </w:tc>
        <w:tc>
          <w:tcPr>
            <w:tcW w:w="9700" w:type="dxa"/>
            <w:vAlign w:val="bottom"/>
            <w:tcBorders>
              <w:top w:val="single" w:sz="8" w:color="0000FF"/>
            </w:tcBorders>
            <w:gridSpan w:val="2"/>
            <w:shd w:val="clear" w:color="auto" w:fill="CCEEFF"/>
          </w:tcPr>
          <w:p>
            <w:pPr>
              <w:spacing w:after="0" w:line="169" w:lineRule="exact"/>
              <w:rPr>
                <w:sz w:val="20"/>
                <w:szCs w:val="20"/>
                <w:color w:val="auto"/>
              </w:rPr>
            </w:pPr>
            <w:r>
              <w:rPr>
                <w:rFonts w:ascii="Arial" w:cs="Arial" w:eastAsia="Arial" w:hAnsi="Arial"/>
                <w:sz w:val="18"/>
                <w:szCs w:val="18"/>
                <w:color w:val="0000FF"/>
              </w:rPr>
              <w:t>(18 U.S.C. 1350).</w:t>
            </w:r>
          </w:p>
        </w:tc>
        <w:tc>
          <w:tcPr>
            <w:tcW w:w="180" w:type="dxa"/>
            <w:vAlign w:val="bottom"/>
            <w:tcBorders>
              <w:top w:val="single" w:sz="8" w:color="CCEEFF"/>
            </w:tcBorders>
            <w:gridSpan w:val="2"/>
            <w:shd w:val="clear" w:color="auto" w:fill="CCEEFF"/>
          </w:tcPr>
          <w:p>
            <w:pPr>
              <w:spacing w:after="0"/>
              <w:rPr>
                <w:sz w:val="14"/>
                <w:szCs w:val="14"/>
                <w:color w:val="auto"/>
              </w:rPr>
            </w:pPr>
          </w:p>
        </w:tc>
      </w:tr>
      <w:tr>
        <w:trPr>
          <w:trHeight w:val="21"/>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8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ind w:left="1320" w:right="300" w:hanging="1294"/>
        <w:spacing w:after="0" w:line="245" w:lineRule="auto"/>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0000FF"/>
        </w:rPr>
        <w:t>Certificate of the Chief Executive Officer and Chief Financial Officer of Gentex Corporation pursuant to Section 906 of the Sarbanes-Oxley Act of 2002 (18 U.S.C. 1350).</w:t>
      </w:r>
    </w:p>
    <w:tbl>
      <w:tblPr>
        <w:tblLayout w:type="fixed"/>
        <w:tblInd w:w="0" w:type="dxa"/>
        <w:tblCellMar>
          <w:top w:w="0" w:type="dxa"/>
          <w:left w:w="0" w:type="dxa"/>
          <w:bottom w:w="0" w:type="dxa"/>
          <w:right w:w="0" w:type="dxa"/>
        </w:tblCellMar>
      </w:tblPr>
      <w:tr>
        <w:trPr>
          <w:trHeight w:val="180"/>
        </w:trPr>
        <w:tc>
          <w:tcPr>
            <w:tcW w:w="104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color w:val="auto"/>
              </w:rPr>
              <w:t>101.INS</w:t>
            </w:r>
          </w:p>
        </w:tc>
        <w:tc>
          <w:tcPr>
            <w:tcW w:w="10160" w:type="dxa"/>
            <w:vAlign w:val="bottom"/>
            <w:shd w:val="clear" w:color="auto" w:fill="CCEEFF"/>
          </w:tcPr>
          <w:p>
            <w:pPr>
              <w:ind w:left="280"/>
              <w:spacing w:after="0" w:line="180"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35"/>
        </w:trPr>
        <w:tc>
          <w:tcPr>
            <w:tcW w:w="1040" w:type="dxa"/>
            <w:vAlign w:val="bottom"/>
            <w:shd w:val="clear" w:color="auto" w:fill="CCEEFF"/>
          </w:tcPr>
          <w:p>
            <w:pPr>
              <w:spacing w:after="0"/>
              <w:rPr>
                <w:sz w:val="20"/>
                <w:szCs w:val="20"/>
                <w:color w:val="auto"/>
              </w:rPr>
            </w:pP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tags are embedded within the Inline XBRL document</w:t>
            </w:r>
          </w:p>
        </w:tc>
      </w:tr>
      <w:tr>
        <w:trPr>
          <w:trHeight w:val="230"/>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Schema</w:t>
            </w:r>
          </w:p>
        </w:tc>
      </w:tr>
      <w:tr>
        <w:trPr>
          <w:trHeight w:val="229"/>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Calculation Linkbase</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Label Linkbase</w:t>
            </w:r>
          </w:p>
        </w:tc>
      </w:tr>
      <w:tr>
        <w:trPr>
          <w:trHeight w:val="239"/>
        </w:trPr>
        <w:tc>
          <w:tcPr>
            <w:tcW w:w="1040" w:type="dxa"/>
            <w:vAlign w:val="bottom"/>
          </w:tcPr>
          <w:p>
            <w:pPr>
              <w:ind w:left="20"/>
              <w:spacing w:after="0"/>
              <w:rPr>
                <w:sz w:val="20"/>
                <w:szCs w:val="20"/>
                <w:color w:val="auto"/>
              </w:rPr>
            </w:pPr>
            <w:r>
              <w:rPr>
                <w:rFonts w:ascii="Arial" w:cs="Arial" w:eastAsia="Arial" w:hAnsi="Arial"/>
                <w:sz w:val="18"/>
                <w:szCs w:val="18"/>
                <w:color w:val="auto"/>
              </w:rPr>
              <w:t>101.PRE</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931"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CERTIFICATION OF THE CHIEF EXECUTIVE OFFICER OF 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Steven R. Downing, certify that:</w:t>
      </w:r>
    </w:p>
    <w:p>
      <w:pPr>
        <w:spacing w:after="0" w:line="252" w:lineRule="exact"/>
        <w:rPr>
          <w:sz w:val="20"/>
          <w:szCs w:val="20"/>
          <w:color w:val="auto"/>
        </w:rPr>
      </w:pPr>
    </w:p>
    <w:p>
      <w:pPr>
        <w:ind w:left="200" w:hanging="192"/>
        <w:spacing w:after="0"/>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7" w:lineRule="exact"/>
        <w:rPr>
          <w:rFonts w:ascii="Arial" w:cs="Arial" w:eastAsia="Arial" w:hAnsi="Arial"/>
          <w:sz w:val="18"/>
          <w:szCs w:val="18"/>
          <w:color w:val="auto"/>
        </w:rPr>
      </w:pPr>
    </w:p>
    <w:p>
      <w:pPr>
        <w:jc w:val="both"/>
        <w:ind w:left="240" w:hanging="232"/>
        <w:spacing w:after="0" w:line="260" w:lineRule="auto"/>
        <w:tabs>
          <w:tab w:leader="none" w:pos="23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660" w:hanging="238"/>
        <w:spacing w:after="0" w:line="268" w:lineRule="auto"/>
        <w:tabs>
          <w:tab w:leader="none" w:pos="649"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4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77"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6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3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8"/>
        <w:spacing w:after="0" w:line="287" w:lineRule="auto"/>
        <w:tabs>
          <w:tab w:leader="none" w:pos="649"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hanging="238"/>
        <w:spacing w:after="0" w:line="287" w:lineRule="auto"/>
        <w:tabs>
          <w:tab w:leader="none" w:pos="663"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R. Downing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931"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THE CHIEF FINANCIAL OFFICER OF 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Kevin C. Nash, certify that:</w:t>
      </w:r>
    </w:p>
    <w:p>
      <w:pPr>
        <w:spacing w:after="0" w:line="252" w:lineRule="exact"/>
        <w:rPr>
          <w:sz w:val="20"/>
          <w:szCs w:val="20"/>
          <w:color w:val="auto"/>
        </w:rPr>
      </w:pPr>
    </w:p>
    <w:p>
      <w:pPr>
        <w:ind w:left="200" w:hanging="192"/>
        <w:spacing w:after="0"/>
        <w:tabs>
          <w:tab w:leader="none" w:pos="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7" w:lineRule="exact"/>
        <w:rPr>
          <w:rFonts w:ascii="Arial" w:cs="Arial" w:eastAsia="Arial" w:hAnsi="Arial"/>
          <w:sz w:val="18"/>
          <w:szCs w:val="18"/>
          <w:color w:val="auto"/>
        </w:rPr>
      </w:pPr>
    </w:p>
    <w:p>
      <w:pPr>
        <w:jc w:val="both"/>
        <w:ind w:left="240" w:hanging="232"/>
        <w:spacing w:after="0" w:line="260" w:lineRule="auto"/>
        <w:tabs>
          <w:tab w:leader="none" w:pos="23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660" w:hanging="238"/>
        <w:spacing w:after="0" w:line="268" w:lineRule="auto"/>
        <w:tabs>
          <w:tab w:leader="none" w:pos="649"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41"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77"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6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3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8"/>
        <w:spacing w:after="0" w:line="287" w:lineRule="auto"/>
        <w:tabs>
          <w:tab w:leader="none" w:pos="649"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hanging="238"/>
        <w:spacing w:after="0" w:line="287" w:lineRule="auto"/>
        <w:tabs>
          <w:tab w:leader="none" w:pos="663"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C. Nash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Chief Financial Officer and Treasurer</w:t>
      </w:r>
    </w:p>
    <w:p>
      <w:pPr>
        <w:sectPr>
          <w:pgSz w:w="11900" w:h="16838" w:orient="portrait"/>
          <w:cols w:equalWidth="0" w:num="1">
            <w:col w:w="11240"/>
          </w:cols>
          <w:pgMar w:left="320" w:top="931" w:right="3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PURSUANT TO SECTION 906 OF THE SARBANES-OXLEY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180" w:lineRule="exact"/>
        <w:rPr>
          <w:sz w:val="20"/>
          <w:szCs w:val="20"/>
          <w:color w:val="auto"/>
        </w:rPr>
      </w:pPr>
    </w:p>
    <w:p>
      <w:pPr>
        <w:ind w:left="240" w:hanging="232"/>
        <w:spacing w:after="0" w:line="287" w:lineRule="auto"/>
        <w:tabs>
          <w:tab w:leader="none" w:pos="28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September 30, 2022, which this statement accompanies, fully complies with the requirements of Section 13(a) or 15(d) of the Securities Exchange Act of 1934; and</w:t>
      </w:r>
    </w:p>
    <w:p>
      <w:pPr>
        <w:spacing w:after="0" w:line="179" w:lineRule="exact"/>
        <w:rPr>
          <w:rFonts w:ascii="Arial" w:cs="Arial" w:eastAsia="Arial" w:hAnsi="Arial"/>
          <w:sz w:val="18"/>
          <w:szCs w:val="18"/>
          <w:color w:val="auto"/>
        </w:rPr>
      </w:pPr>
    </w:p>
    <w:p>
      <w:pPr>
        <w:ind w:left="240" w:right="20" w:hanging="232"/>
        <w:spacing w:after="0" w:line="287" w:lineRule="auto"/>
        <w:tabs>
          <w:tab w:leader="none" w:pos="28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of the quarterly period ended September 30, 2022,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R. Downing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Executive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Kevin C. Nash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Financial Officer</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2"/>
    </w:lvl>
  </w:abstractNum>
  <w:abstractNum w:abstractNumId="5">
    <w:nsid w:val="25E45D32"/>
    <w:multiLevelType w:val="hybridMultilevel"/>
    <w:lvl w:ilvl="0">
      <w:lvlJc w:val="left"/>
      <w:lvlText w:val="(%1)"/>
      <w:numFmt w:val="decimal"/>
      <w:start w:val="3"/>
    </w:lvl>
  </w:abstractNum>
  <w:abstractNum w:abstractNumId="6">
    <w:nsid w:val="519B500D"/>
    <w:multiLevelType w:val="hybridMultilevel"/>
    <w:lvl w:ilvl="0">
      <w:lvlJc w:val="left"/>
      <w:lvlText w:val="(%1)"/>
      <w:numFmt w:val="decimal"/>
      <w:start w:val="4"/>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5"/>
    </w:lvl>
  </w:abstractNum>
  <w:abstractNum w:abstractNumId="10">
    <w:nsid w:val="257130A3"/>
    <w:multiLevelType w:val="hybridMultilevel"/>
    <w:lvl w:ilvl="0">
      <w:lvlJc w:val="left"/>
      <w:lvlText w:val="(%1)"/>
      <w:numFmt w:val="decimal"/>
      <w:start w:val="6"/>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7"/>
    </w:lvl>
  </w:abstractNum>
  <w:abstractNum w:abstractNumId="13">
    <w:nsid w:val="628C895D"/>
    <w:multiLevelType w:val="hybridMultilevel"/>
    <w:lvl w:ilvl="0">
      <w:lvlJc w:val="left"/>
      <w:lvlText w:val="(%1)"/>
      <w:numFmt w:val="decimal"/>
      <w:start w:val="8"/>
    </w:lvl>
  </w:abstractNum>
  <w:abstractNum w:abstractNumId="14">
    <w:nsid w:val="333AB105"/>
    <w:multiLevelType w:val="hybridMultilevel"/>
    <w:lvl w:ilvl="0">
      <w:lvlJc w:val="left"/>
      <w:lvlText w:val="(%1)"/>
      <w:numFmt w:val="decimal"/>
      <w:start w:val="9"/>
    </w:lvl>
  </w:abstractNum>
  <w:abstractNum w:abstractNumId="15">
    <w:nsid w:val="721DA317"/>
    <w:multiLevelType w:val="hybridMultilevel"/>
    <w:lvl w:ilvl="0">
      <w:lvlJc w:val="left"/>
      <w:lvlText w:val="(%1)"/>
      <w:numFmt w:val="decimal"/>
      <w:start w:val="10"/>
    </w:lvl>
  </w:abstractNum>
  <w:abstractNum w:abstractNumId="16">
    <w:nsid w:val="2443A858"/>
    <w:multiLevelType w:val="hybridMultilevel"/>
    <w:lvl w:ilvl="0">
      <w:lvlJc w:val="left"/>
      <w:lvlText w:val="(%1)"/>
      <w:numFmt w:val="decimal"/>
      <w:start w:val="11"/>
    </w:lvl>
  </w:abstractNum>
  <w:abstractNum w:abstractNumId="17">
    <w:nsid w:val="2D1D5AE9"/>
    <w:multiLevelType w:val="hybridMultilevel"/>
    <w:lvl w:ilvl="0">
      <w:lvlJc w:val="left"/>
      <w:lvlText w:val="(%1)"/>
      <w:numFmt w:val="decimal"/>
      <w:start w:val="12"/>
    </w:lvl>
  </w:abstractNum>
  <w:abstractNum w:abstractNumId="18">
    <w:nsid w:val="6763845E"/>
    <w:multiLevelType w:val="hybridMultilevel"/>
    <w:lvl w:ilvl="0">
      <w:lvlJc w:val="left"/>
      <w:lvlText w:val="(%1)"/>
      <w:numFmt w:val="decimal"/>
      <w:start w:val="13"/>
    </w:lvl>
  </w:abstractNum>
  <w:abstractNum w:abstractNumId="19">
    <w:nsid w:val="75A2A8D4"/>
    <w:multiLevelType w:val="hybridMultilevel"/>
    <w:lvl w:ilvl="0">
      <w:lvlJc w:val="left"/>
      <w:lvlText w:val="(%1)"/>
      <w:numFmt w:val="decimal"/>
      <w:start w:val="14"/>
    </w:lvl>
  </w:abstractNum>
  <w:abstractNum w:abstractNumId="20">
    <w:nsid w:val="8EDBDAB"/>
    <w:multiLevelType w:val="hybridMultilevel"/>
    <w:lvl w:ilvl="0">
      <w:lvlJc w:val="left"/>
      <w:lvlText w:val="(%1)"/>
      <w:numFmt w:val="decimal"/>
      <w:start w:val="15"/>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1)"/>
      <w:numFmt w:val="lowerLetter"/>
      <w:start w:val="3"/>
    </w:lvl>
  </w:abstractNum>
  <w:abstractNum w:abstractNumId="24">
    <w:nsid w:val="189A769B"/>
    <w:multiLevelType w:val="hybridMultilevel"/>
    <w:lvl w:ilvl="0">
      <w:lvlJc w:val="left"/>
      <w:lvlText w:val="%1"/>
      <w:numFmt w:val="decimal"/>
      <w:start w:val="32"/>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2022-11-04T08:48:32Z</dcterms:created>
  <dcterms:modified xsi:type="dcterms:W3CDTF">2022-11-04T08:48:32Z</dcterms:modified>
</cp:coreProperties>
</file>