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XBRL</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6"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2020 or</w:t>
      </w:r>
    </w:p>
    <w:p>
      <w:pPr>
        <w:spacing w:after="0" w:line="282"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32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40" w:type="dxa"/>
            <w:vAlign w:val="bottom"/>
            <w:gridSpan w:val="2"/>
            <w:vMerge w:val="restart"/>
          </w:tcPr>
          <w:p>
            <w:pPr>
              <w:jc w:val="center"/>
              <w:ind w:right="426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54"/>
        </w:trPr>
        <w:tc>
          <w:tcPr>
            <w:tcW w:w="2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900" w:type="dxa"/>
            <w:vAlign w:val="bottom"/>
            <w:gridSpan w:val="5"/>
          </w:tcPr>
          <w:p>
            <w:pPr>
              <w:jc w:val="center"/>
              <w:ind w:right="1048"/>
              <w:spacing w:after="0"/>
              <w:rPr>
                <w:sz w:val="20"/>
                <w:szCs w:val="20"/>
                <w:color w:val="auto"/>
              </w:rPr>
            </w:pPr>
            <w:r>
              <w:rPr>
                <w:rFonts w:ascii="Arial" w:cs="Arial" w:eastAsia="Arial" w:hAnsi="Arial"/>
                <w:sz w:val="18"/>
                <w:szCs w:val="18"/>
                <w:b w:val="1"/>
                <w:bCs w:val="1"/>
                <w:color w:val="auto"/>
                <w:w w:val="99"/>
              </w:rPr>
              <w:t>Michigan</w:t>
            </w:r>
          </w:p>
        </w:tc>
        <w:tc>
          <w:tcPr>
            <w:tcW w:w="2180" w:type="dxa"/>
            <w:vAlign w:val="bottom"/>
          </w:tcPr>
          <w:p>
            <w:pPr>
              <w:spacing w:after="0"/>
              <w:rPr>
                <w:sz w:val="21"/>
                <w:szCs w:val="21"/>
                <w:color w:val="auto"/>
              </w:rPr>
            </w:pPr>
          </w:p>
        </w:tc>
        <w:tc>
          <w:tcPr>
            <w:tcW w:w="476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3"/>
        </w:trPr>
        <w:tc>
          <w:tcPr>
            <w:tcW w:w="4320" w:type="dxa"/>
            <w:vAlign w:val="bottom"/>
            <w:gridSpan w:val="6"/>
          </w:tcPr>
          <w:p>
            <w:pPr>
              <w:jc w:val="center"/>
              <w:ind w:left="1205"/>
              <w:spacing w:after="0" w:line="153" w:lineRule="exact"/>
              <w:rPr>
                <w:sz w:val="20"/>
                <w:szCs w:val="20"/>
                <w:color w:val="auto"/>
              </w:rPr>
            </w:pPr>
            <w:r>
              <w:rPr>
                <w:rFonts w:ascii="Arial" w:cs="Arial" w:eastAsia="Arial" w:hAnsi="Arial"/>
                <w:sz w:val="14"/>
                <w:szCs w:val="14"/>
                <w:color w:val="auto"/>
              </w:rPr>
              <w:t>(State or other jurisdiction of</w:t>
            </w:r>
          </w:p>
        </w:tc>
        <w:tc>
          <w:tcPr>
            <w:tcW w:w="2180" w:type="dxa"/>
            <w:vAlign w:val="bottom"/>
          </w:tcPr>
          <w:p>
            <w:pPr>
              <w:spacing w:after="0"/>
              <w:rPr>
                <w:sz w:val="13"/>
                <w:szCs w:val="13"/>
                <w:color w:val="auto"/>
              </w:rPr>
            </w:pPr>
          </w:p>
        </w:tc>
        <w:tc>
          <w:tcPr>
            <w:tcW w:w="4760" w:type="dxa"/>
            <w:vAlign w:val="bottom"/>
          </w:tcPr>
          <w:p>
            <w:pPr>
              <w:jc w:val="center"/>
              <w:ind w:right="783"/>
              <w:spacing w:after="0" w:line="153"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320" w:type="dxa"/>
            <w:vAlign w:val="bottom"/>
            <w:gridSpan w:val="6"/>
          </w:tcPr>
          <w:p>
            <w:pPr>
              <w:jc w:val="center"/>
              <w:ind w:left="1205"/>
              <w:spacing w:after="0"/>
              <w:rPr>
                <w:sz w:val="20"/>
                <w:szCs w:val="20"/>
                <w:color w:val="auto"/>
              </w:rPr>
            </w:pPr>
            <w:r>
              <w:rPr>
                <w:rFonts w:ascii="Arial" w:cs="Arial" w:eastAsia="Arial" w:hAnsi="Arial"/>
                <w:sz w:val="14"/>
                <w:szCs w:val="14"/>
                <w:color w:val="auto"/>
              </w:rPr>
              <w:t>incorporation or organization)</w:t>
            </w:r>
          </w:p>
        </w:tc>
        <w:tc>
          <w:tcPr>
            <w:tcW w:w="2180" w:type="dxa"/>
            <w:vAlign w:val="bottom"/>
          </w:tcPr>
          <w:p>
            <w:pPr>
              <w:spacing w:after="0"/>
              <w:rPr>
                <w:sz w:val="14"/>
                <w:szCs w:val="14"/>
                <w:color w:val="auto"/>
              </w:rPr>
            </w:pPr>
          </w:p>
        </w:tc>
        <w:tc>
          <w:tcPr>
            <w:tcW w:w="4760" w:type="dxa"/>
            <w:vAlign w:val="bottom"/>
          </w:tcPr>
          <w:p>
            <w:pPr>
              <w:jc w:val="center"/>
              <w:ind w:right="80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76"/>
        </w:trPr>
        <w:tc>
          <w:tcPr>
            <w:tcW w:w="4320" w:type="dxa"/>
            <w:vAlign w:val="bottom"/>
            <w:gridSpan w:val="6"/>
          </w:tcPr>
          <w:p>
            <w:pPr>
              <w:jc w:val="center"/>
              <w:ind w:left="1205"/>
              <w:spacing w:after="0"/>
              <w:rPr>
                <w:sz w:val="20"/>
                <w:szCs w:val="20"/>
                <w:color w:val="auto"/>
              </w:rPr>
            </w:pPr>
            <w:r>
              <w:rPr>
                <w:rFonts w:ascii="Arial" w:cs="Arial" w:eastAsia="Arial" w:hAnsi="Arial"/>
                <w:sz w:val="16"/>
                <w:szCs w:val="16"/>
                <w:b w:val="1"/>
                <w:bCs w:val="1"/>
                <w:color w:val="auto"/>
              </w:rPr>
              <w:t>600 N. Centennial</w:t>
            </w:r>
          </w:p>
        </w:tc>
        <w:tc>
          <w:tcPr>
            <w:tcW w:w="2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4"/>
          </w:tcPr>
          <w:p>
            <w:pPr>
              <w:jc w:val="center"/>
              <w:ind w:right="1108"/>
              <w:spacing w:after="0"/>
              <w:rPr>
                <w:sz w:val="20"/>
                <w:szCs w:val="20"/>
                <w:color w:val="auto"/>
              </w:rPr>
            </w:pPr>
            <w:r>
              <w:rPr>
                <w:rFonts w:ascii="Arial" w:cs="Arial" w:eastAsia="Arial" w:hAnsi="Arial"/>
                <w:sz w:val="16"/>
                <w:szCs w:val="16"/>
                <w:b w:val="1"/>
                <w:bCs w:val="1"/>
                <w:color w:val="auto"/>
                <w:w w:val="99"/>
              </w:rPr>
              <w:t>Zeeland</w:t>
            </w:r>
          </w:p>
        </w:tc>
        <w:tc>
          <w:tcPr>
            <w:tcW w:w="218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190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180" w:type="dxa"/>
            <w:vAlign w:val="bottom"/>
          </w:tcPr>
          <w:p>
            <w:pPr>
              <w:spacing w:after="0"/>
              <w:rPr>
                <w:sz w:val="22"/>
                <w:szCs w:val="22"/>
                <w:color w:val="auto"/>
              </w:rPr>
            </w:pPr>
          </w:p>
        </w:tc>
        <w:tc>
          <w:tcPr>
            <w:tcW w:w="4760" w:type="dxa"/>
            <w:vAlign w:val="bottom"/>
          </w:tcPr>
          <w:p>
            <w:pPr>
              <w:jc w:val="right"/>
              <w:ind w:right="248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04"/>
        </w:trPr>
        <w:tc>
          <w:tcPr>
            <w:tcW w:w="4320" w:type="dxa"/>
            <w:vAlign w:val="bottom"/>
            <w:gridSpan w:val="6"/>
          </w:tcPr>
          <w:p>
            <w:pPr>
              <w:jc w:val="center"/>
              <w:ind w:left="1225"/>
              <w:spacing w:after="0"/>
              <w:rPr>
                <w:sz w:val="20"/>
                <w:szCs w:val="20"/>
                <w:color w:val="auto"/>
              </w:rPr>
            </w:pPr>
            <w:r>
              <w:rPr>
                <w:rFonts w:ascii="Arial" w:cs="Arial" w:eastAsia="Arial" w:hAnsi="Arial"/>
                <w:sz w:val="14"/>
                <w:szCs w:val="14"/>
                <w:color w:val="auto"/>
              </w:rPr>
              <w:t>(Address of principal executive offices)</w:t>
            </w:r>
          </w:p>
        </w:tc>
        <w:tc>
          <w:tcPr>
            <w:tcW w:w="2180" w:type="dxa"/>
            <w:vAlign w:val="bottom"/>
          </w:tcPr>
          <w:p>
            <w:pPr>
              <w:spacing w:after="0"/>
              <w:rPr>
                <w:sz w:val="17"/>
                <w:szCs w:val="17"/>
                <w:color w:val="auto"/>
              </w:rPr>
            </w:pPr>
          </w:p>
        </w:tc>
        <w:tc>
          <w:tcPr>
            <w:tcW w:w="4760" w:type="dxa"/>
            <w:vAlign w:val="bottom"/>
          </w:tcPr>
          <w:p>
            <w:pPr>
              <w:jc w:val="center"/>
              <w:ind w:right="80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jc w:val="right"/>
              <w:ind w:right="175"/>
              <w:spacing w:after="0"/>
              <w:rPr>
                <w:sz w:val="20"/>
                <w:szCs w:val="20"/>
                <w:color w:val="auto"/>
              </w:rPr>
            </w:pPr>
            <w:r>
              <w:rPr>
                <w:rFonts w:ascii="Arial" w:cs="Arial" w:eastAsia="Arial" w:hAnsi="Arial"/>
                <w:sz w:val="18"/>
                <w:szCs w:val="18"/>
                <w:b w:val="1"/>
                <w:bCs w:val="1"/>
                <w:color w:val="auto"/>
              </w:rPr>
              <w:t>(616) 772-1800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40" w:type="dxa"/>
            <w:vAlign w:val="bottom"/>
            <w:gridSpan w:val="3"/>
          </w:tcPr>
          <w:p>
            <w:pPr>
              <w:jc w:val="center"/>
              <w:ind w:right="3643"/>
              <w:spacing w:after="0" w:line="159"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32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9"/>
        </w:trPr>
        <w:tc>
          <w:tcPr>
            <w:tcW w:w="432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both"/>
        <w:ind w:right="12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309" w:lineRule="exact"/>
        <w:rPr>
          <w:sz w:val="24"/>
          <w:szCs w:val="24"/>
          <w:color w:val="auto"/>
        </w:rPr>
      </w:pPr>
    </w:p>
    <w:p>
      <w:pPr>
        <w:ind w:right="5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36" w:lineRule="exact"/>
        <w:rPr>
          <w:sz w:val="24"/>
          <w:szCs w:val="24"/>
          <w:color w:val="auto"/>
        </w:rPr>
      </w:pPr>
    </w:p>
    <w:p>
      <w:pPr>
        <w:ind w:right="2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6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4"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63" w:lineRule="exact"/>
        <w:rPr>
          <w:sz w:val="24"/>
          <w:szCs w:val="24"/>
          <w:color w:val="auto"/>
        </w:rPr>
      </w:pPr>
    </w:p>
    <w:p>
      <w:pPr>
        <w:ind w:right="56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0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APPLICABLE ONLY TO CORPORATE ISSUERS:</w:t>
      </w:r>
      <w:r>
        <w:rPr>
          <w:rFonts w:ascii="MS PGothic" w:cs="MS PGothic" w:eastAsia="MS PGothic" w:hAnsi="MS PGothic"/>
          <w:sz w:val="14"/>
          <w:szCs w:val="14"/>
          <w:color w:val="auto"/>
        </w:rPr>
        <w:t> </w:t>
      </w:r>
      <w:r>
        <w:rPr>
          <w:rFonts w:ascii="Arial" w:cs="Arial" w:eastAsia="Arial" w:hAnsi="Arial"/>
          <w:sz w:val="14"/>
          <w:szCs w:val="14"/>
          <w:color w:val="auto"/>
        </w:rPr>
        <w:t>Indicate the number of shares outstanding of each of the issuer’s classes of common stock, as of the latest practicable date.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24, 2020</w:t>
            </w:r>
          </w:p>
        </w:tc>
      </w:tr>
      <w:tr>
        <w:trPr>
          <w:trHeight w:val="198"/>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245,779,601</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Part I - Financial Information</w:t>
            </w:r>
          </w:p>
        </w:tc>
        <w:tc>
          <w:tcPr>
            <w:tcW w:w="1460" w:type="dxa"/>
            <w:vAlign w:val="bottom"/>
          </w:tcPr>
          <w:p>
            <w:pPr>
              <w:ind w:left="960"/>
              <w:spacing w:after="0"/>
              <w:rPr>
                <w:sz w:val="20"/>
                <w:szCs w:val="20"/>
                <w:color w:val="auto"/>
              </w:rPr>
            </w:pPr>
            <w:r>
              <w:rPr>
                <w:rFonts w:ascii="Arial" w:cs="Arial" w:eastAsia="Arial" w:hAnsi="Arial"/>
                <w:sz w:val="22"/>
                <w:szCs w:val="22"/>
                <w:b w:val="1"/>
                <w:bCs w:val="1"/>
                <w:color w:val="auto"/>
                <w:w w:val="91"/>
              </w:rPr>
              <w:t>Page</w:t>
            </w:r>
          </w:p>
        </w:tc>
      </w:tr>
      <w:tr>
        <w:trPr>
          <w:trHeight w:val="23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Financial Statements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Balance Sheets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Statements of Income</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r>
      <w:tr>
        <w:trPr>
          <w:trHeight w:val="230"/>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Comprehensive Income</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Cash Flows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29"/>
        </w:trPr>
        <w:tc>
          <w:tcPr>
            <w:tcW w:w="84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Condensed Consolidated Financial Statements</w:t>
              </w:r>
            </w:hyperlink>
          </w:p>
        </w:tc>
        <w:tc>
          <w:tcPr>
            <w:tcW w:w="1460" w:type="dxa"/>
            <w:vAlign w:val="bottom"/>
          </w:tcPr>
          <w:p>
            <w:pPr>
              <w:jc w:val="center"/>
              <w:ind w:left="869"/>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22">
              <w:r>
                <w:rPr>
                  <w:rFonts w:ascii="Arial" w:cs="Arial" w:eastAsia="Arial" w:hAnsi="Arial"/>
                  <w:sz w:val="18"/>
                  <w:szCs w:val="18"/>
                  <w:u w:val="single" w:color="auto"/>
                  <w:color w:val="0000FF"/>
                  <w:w w:val="99"/>
                </w:rPr>
                <w:t>23</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8">
              <w:r>
                <w:rPr>
                  <w:rFonts w:ascii="Arial" w:cs="Arial" w:eastAsia="Arial" w:hAnsi="Arial"/>
                  <w:sz w:val="18"/>
                  <w:szCs w:val="18"/>
                  <w:u w:val="single" w:color="auto"/>
                  <w:color w:val="0000FF"/>
                  <w:w w:val="99"/>
                </w:rPr>
                <w:t>38</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38">
              <w:r>
                <w:rPr>
                  <w:rFonts w:ascii="Arial" w:cs="Arial" w:eastAsia="Arial" w:hAnsi="Arial"/>
                  <w:sz w:val="18"/>
                  <w:szCs w:val="18"/>
                  <w:u w:val="single" w:color="auto"/>
                  <w:color w:val="0000FF"/>
                  <w:w w:val="99"/>
                </w:rPr>
                <w:t>38</w:t>
              </w:r>
            </w:hyperlink>
          </w:p>
        </w:tc>
      </w:tr>
      <w:tr>
        <w:trPr>
          <w:trHeight w:val="536"/>
        </w:trPr>
        <w:tc>
          <w:tcPr>
            <w:tcW w:w="9060" w:type="dxa"/>
            <w:vAlign w:val="bottom"/>
            <w:gridSpan w:val="4"/>
          </w:tcPr>
          <w:p>
            <w:pPr>
              <w:spacing w:after="0"/>
              <w:rPr>
                <w:sz w:val="20"/>
                <w:szCs w:val="20"/>
                <w:color w:val="auto"/>
              </w:rPr>
            </w:pPr>
            <w:r>
              <w:rPr>
                <w:rFonts w:ascii="Arial" w:cs="Arial" w:eastAsia="Arial" w:hAnsi="Arial"/>
                <w:sz w:val="22"/>
                <w:szCs w:val="22"/>
                <w:b w:val="1"/>
                <w:bCs w:val="1"/>
                <w:color w:val="auto"/>
              </w:rPr>
              <w:t>Part II - Other Information</w:t>
            </w:r>
          </w:p>
        </w:tc>
        <w:tc>
          <w:tcPr>
            <w:tcW w:w="1460" w:type="dxa"/>
            <w:vAlign w:val="bottom"/>
          </w:tcPr>
          <w:p>
            <w:pPr>
              <w:spacing w:after="0"/>
              <w:rPr>
                <w:sz w:val="24"/>
                <w:szCs w:val="24"/>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40</w:t>
              </w:r>
            </w:hyperlink>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40</w:t>
              </w:r>
            </w:hyperlink>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41</w:t>
              </w:r>
            </w:hyperlink>
          </w:p>
        </w:tc>
      </w:tr>
      <w:tr>
        <w:trPr>
          <w:trHeight w:val="189"/>
        </w:trPr>
        <w:tc>
          <w:tcPr>
            <w:tcW w:w="840" w:type="dxa"/>
            <w:vAlign w:val="bottom"/>
          </w:tcPr>
          <w:p>
            <w:pPr>
              <w:spacing w:after="0"/>
              <w:rPr>
                <w:sz w:val="16"/>
                <w:szCs w:val="16"/>
                <w:color w:val="auto"/>
              </w:rPr>
            </w:pPr>
          </w:p>
        </w:tc>
        <w:tc>
          <w:tcPr>
            <w:tcW w:w="8220" w:type="dxa"/>
            <w:vAlign w:val="bottom"/>
            <w:gridSpan w:val="3"/>
          </w:tcPr>
          <w:p>
            <w:pPr>
              <w:ind w:left="180"/>
              <w:spacing w:after="0" w:line="189" w:lineRule="exact"/>
              <w:rPr>
                <w:rFonts w:ascii="Arial" w:cs="Arial" w:eastAsia="Arial" w:hAnsi="Arial"/>
                <w:sz w:val="18"/>
                <w:szCs w:val="18"/>
                <w:u w:val="single" w:color="auto"/>
                <w:color w:val="0302FF"/>
              </w:rPr>
            </w:pPr>
            <w:hyperlink w:anchor="page41">
              <w:r>
                <w:rPr>
                  <w:rFonts w:ascii="Arial" w:cs="Arial" w:eastAsia="Arial" w:hAnsi="Arial"/>
                  <w:sz w:val="18"/>
                  <w:szCs w:val="18"/>
                  <w:u w:val="single" w:color="auto"/>
                  <w:color w:val="0302FF"/>
                </w:rPr>
                <w:t>Signatures</w:t>
              </w:r>
            </w:hyperlink>
          </w:p>
        </w:tc>
        <w:tc>
          <w:tcPr>
            <w:tcW w:w="1460" w:type="dxa"/>
            <w:vAlign w:val="bottom"/>
          </w:tcPr>
          <w:p>
            <w:pPr>
              <w:jc w:val="center"/>
              <w:ind w:left="849"/>
              <w:spacing w:after="0" w:line="189" w:lineRule="exact"/>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41</w:t>
              </w:r>
            </w:hyperlink>
          </w:p>
        </w:tc>
      </w:tr>
      <w:tr>
        <w:trPr>
          <w:trHeight w:val="20"/>
        </w:trPr>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302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 Index</w:t>
              </w:r>
            </w:hyperlink>
          </w:p>
        </w:tc>
        <w:tc>
          <w:tcPr>
            <w:tcW w:w="1460" w:type="dxa"/>
            <w:vAlign w:val="bottom"/>
          </w:tcPr>
          <w:p>
            <w:pPr>
              <w:jc w:val="center"/>
              <w:ind w:left="849"/>
              <w:spacing w:after="0"/>
              <w:rPr>
                <w:rFonts w:ascii="Arial" w:cs="Arial" w:eastAsia="Arial" w:hAnsi="Arial"/>
                <w:sz w:val="18"/>
                <w:szCs w:val="18"/>
                <w:u w:val="single" w:color="auto"/>
                <w:color w:val="0000FF"/>
                <w:w w:val="99"/>
              </w:rPr>
            </w:pPr>
            <w:hyperlink w:anchor="page41">
              <w:r>
                <w:rPr>
                  <w:rFonts w:ascii="Arial" w:cs="Arial" w:eastAsia="Arial" w:hAnsi="Arial"/>
                  <w:sz w:val="18"/>
                  <w:szCs w:val="18"/>
                  <w:u w:val="single" w:color="auto"/>
                  <w:color w:val="0000FF"/>
                  <w:w w:val="99"/>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2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2020 (Unaudited)</w:t>
            </w:r>
          </w:p>
        </w:tc>
        <w:tc>
          <w:tcPr>
            <w:tcW w:w="260" w:type="dxa"/>
            <w:vAlign w:val="bottom"/>
          </w:tcPr>
          <w:p>
            <w:pPr>
              <w:spacing w:after="0"/>
              <w:rPr>
                <w:sz w:val="14"/>
                <w:szCs w:val="14"/>
                <w:color w:val="auto"/>
              </w:rPr>
            </w:pPr>
          </w:p>
        </w:tc>
        <w:tc>
          <w:tcPr>
            <w:tcW w:w="18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CCEEFF"/>
            </w:tcBorders>
            <w:gridSpan w:val="3"/>
            <w:shd w:val="clear" w:color="auto" w:fill="CCEEFF"/>
          </w:tcPr>
          <w:p>
            <w:pPr>
              <w:jc w:val="center"/>
              <w:ind w:right="3060"/>
              <w:spacing w:after="0" w:line="169" w:lineRule="exact"/>
              <w:rPr>
                <w:sz w:val="20"/>
                <w:szCs w:val="20"/>
                <w:color w:val="auto"/>
              </w:rPr>
            </w:pPr>
            <w:r>
              <w:rPr>
                <w:rFonts w:ascii="Arial" w:cs="Arial" w:eastAsia="Arial" w:hAnsi="Arial"/>
                <w:sz w:val="18"/>
                <w:szCs w:val="18"/>
                <w:color w:val="auto"/>
                <w:w w:val="98"/>
              </w:rPr>
              <w:t>ASSETS</w:t>
            </w:r>
          </w:p>
        </w:tc>
        <w:tc>
          <w:tcPr>
            <w:tcW w:w="4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060" w:type="dxa"/>
            <w:vAlign w:val="bottom"/>
            <w:tcBorders>
              <w:top w:val="single" w:sz="8" w:color="CCEEFF"/>
            </w:tcBorders>
            <w:gridSpan w:val="2"/>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5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343,811,484</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296,321,622</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70,015,164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140,384,053</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170,643,014</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235,410,326</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259,728,189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248,941,855</w:t>
            </w:r>
          </w:p>
        </w:tc>
        <w:tc>
          <w:tcPr>
            <w:tcW w:w="0" w:type="dxa"/>
            <w:vAlign w:val="bottom"/>
          </w:tcPr>
          <w:p>
            <w:pPr>
              <w:spacing w:after="0"/>
              <w:rPr>
                <w:sz w:val="1"/>
                <w:szCs w:val="1"/>
                <w:color w:val="auto"/>
              </w:rPr>
            </w:pPr>
          </w:p>
        </w:tc>
      </w:tr>
      <w:tr>
        <w:trPr>
          <w:trHeight w:val="257"/>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15,128,837</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29,319,036</w:t>
            </w:r>
          </w:p>
        </w:tc>
        <w:tc>
          <w:tcPr>
            <w:tcW w:w="0" w:type="dxa"/>
            <w:vAlign w:val="bottom"/>
          </w:tcPr>
          <w:p>
            <w:pPr>
              <w:spacing w:after="0"/>
              <w:rPr>
                <w:sz w:val="1"/>
                <w:szCs w:val="1"/>
                <w:color w:val="auto"/>
              </w:rPr>
            </w:pPr>
          </w:p>
        </w:tc>
      </w:tr>
      <w:tr>
        <w:trPr>
          <w:trHeight w:val="250"/>
        </w:trPr>
        <w:tc>
          <w:tcPr>
            <w:tcW w:w="682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859,326,688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950,376,892</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485,314,868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498,316,100</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309,033,022</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307,365,845</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171,134,695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139,909,323</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251,725,000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250,375,000</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24,507,260</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22,460,033</w:t>
            </w:r>
          </w:p>
        </w:tc>
        <w:tc>
          <w:tcPr>
            <w:tcW w:w="0" w:type="dxa"/>
            <w:vAlign w:val="bottom"/>
          </w:tcPr>
          <w:p>
            <w:pPr>
              <w:spacing w:after="0"/>
              <w:rPr>
                <w:sz w:val="1"/>
                <w:szCs w:val="1"/>
                <w:color w:val="auto"/>
              </w:rPr>
            </w:pPr>
          </w:p>
        </w:tc>
      </w:tr>
      <w:tr>
        <w:trPr>
          <w:trHeight w:val="256"/>
        </w:trPr>
        <w:tc>
          <w:tcPr>
            <w:tcW w:w="682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756,399,977</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720,110,201</w:t>
            </w:r>
          </w:p>
        </w:tc>
        <w:tc>
          <w:tcPr>
            <w:tcW w:w="0" w:type="dxa"/>
            <w:vAlign w:val="bottom"/>
          </w:tcPr>
          <w:p>
            <w:pPr>
              <w:spacing w:after="0"/>
              <w:rPr>
                <w:sz w:val="1"/>
                <w:szCs w:val="1"/>
                <w:color w:val="auto"/>
              </w:rPr>
            </w:pPr>
          </w:p>
        </w:tc>
      </w:tr>
      <w:tr>
        <w:trPr>
          <w:trHeight w:val="244"/>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2,101,041,533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2,168,803,193</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gridSpan w:val="5"/>
          </w:tcPr>
          <w:p>
            <w:pPr>
              <w:jc w:val="center"/>
              <w:spacing w:after="0" w:line="189" w:lineRule="exact"/>
              <w:rPr>
                <w:sz w:val="20"/>
                <w:szCs w:val="20"/>
                <w:color w:val="auto"/>
              </w:rPr>
            </w:pPr>
            <w:r>
              <w:rPr>
                <w:rFonts w:ascii="Arial" w:cs="Arial" w:eastAsia="Arial" w:hAnsi="Arial"/>
                <w:sz w:val="18"/>
                <w:szCs w:val="18"/>
                <w:color w:val="auto"/>
              </w:rPr>
              <w:t>LIABILITIES AND SHAREHOLDERS’ INVESTMENT</w:t>
            </w: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60,183,429</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97,553,917</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75,000,000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82,447,668</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74,292,883</w:t>
            </w:r>
          </w:p>
        </w:tc>
        <w:tc>
          <w:tcPr>
            <w:tcW w:w="0" w:type="dxa"/>
            <w:vAlign w:val="bottom"/>
          </w:tcPr>
          <w:p>
            <w:pPr>
              <w:spacing w:after="0"/>
              <w:rPr>
                <w:sz w:val="1"/>
                <w:szCs w:val="1"/>
                <w:color w:val="auto"/>
              </w:rPr>
            </w:pPr>
          </w:p>
        </w:tc>
      </w:tr>
      <w:tr>
        <w:trPr>
          <w:trHeight w:val="250"/>
        </w:trPr>
        <w:tc>
          <w:tcPr>
            <w:tcW w:w="6820" w:type="dxa"/>
            <w:vAlign w:val="bottom"/>
            <w:gridSpan w:val="5"/>
          </w:tcPr>
          <w:p>
            <w:pPr>
              <w:ind w:left="4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217,631,097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171,846,800</w:t>
            </w:r>
          </w:p>
        </w:tc>
        <w:tc>
          <w:tcPr>
            <w:tcW w:w="0" w:type="dxa"/>
            <w:vAlign w:val="bottom"/>
          </w:tcPr>
          <w:p>
            <w:pPr>
              <w:spacing w:after="0"/>
              <w:rPr>
                <w:sz w:val="1"/>
                <w:szCs w:val="1"/>
                <w:color w:val="auto"/>
              </w:rPr>
            </w:pPr>
          </w:p>
        </w:tc>
      </w:tr>
      <w:tr>
        <w:trPr>
          <w:trHeight w:val="277"/>
        </w:trPr>
        <w:tc>
          <w:tcPr>
            <w:tcW w:w="1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10,306,855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7,414,424</w:t>
            </w:r>
          </w:p>
        </w:tc>
        <w:tc>
          <w:tcPr>
            <w:tcW w:w="0" w:type="dxa"/>
            <w:vAlign w:val="bottom"/>
          </w:tcPr>
          <w:p>
            <w:pPr>
              <w:spacing w:after="0"/>
              <w:rPr>
                <w:sz w:val="1"/>
                <w:szCs w:val="1"/>
                <w:color w:val="auto"/>
              </w:rPr>
            </w:pPr>
          </w:p>
        </w:tc>
      </w:tr>
      <w:tr>
        <w:trPr>
          <w:trHeight w:val="277"/>
        </w:trPr>
        <w:tc>
          <w:tcPr>
            <w:tcW w:w="1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50,496,168</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51,454,149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278,434,120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230,715,373</w:t>
            </w:r>
          </w:p>
        </w:tc>
        <w:tc>
          <w:tcPr>
            <w:tcW w:w="0" w:type="dxa"/>
            <w:vAlign w:val="bottom"/>
          </w:tcPr>
          <w:p>
            <w:pPr>
              <w:spacing w:after="0"/>
              <w:rPr>
                <w:sz w:val="1"/>
                <w:szCs w:val="1"/>
                <w:color w:val="auto"/>
              </w:rPr>
            </w:pPr>
          </w:p>
        </w:tc>
      </w:tr>
      <w:tr>
        <w:trPr>
          <w:trHeight w:val="236"/>
        </w:trPr>
        <w:tc>
          <w:tcPr>
            <w:tcW w:w="1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SHAREHOLDERS’ INVESTMENT</w:t>
            </w: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14,746,529</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15,076,651</w:t>
            </w:r>
          </w:p>
        </w:tc>
        <w:tc>
          <w:tcPr>
            <w:tcW w:w="0" w:type="dxa"/>
            <w:vAlign w:val="bottom"/>
          </w:tcPr>
          <w:p>
            <w:pPr>
              <w:spacing w:after="0"/>
              <w:rPr>
                <w:sz w:val="1"/>
                <w:szCs w:val="1"/>
                <w:color w:val="auto"/>
              </w:rPr>
            </w:pPr>
          </w:p>
        </w:tc>
      </w:tr>
      <w:tr>
        <w:trPr>
          <w:trHeight w:val="250"/>
        </w:trPr>
        <w:tc>
          <w:tcPr>
            <w:tcW w:w="6820" w:type="dxa"/>
            <w:vAlign w:val="bottom"/>
            <w:gridSpan w:val="5"/>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818,678,880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807,928,139</w:t>
            </w:r>
          </w:p>
        </w:tc>
        <w:tc>
          <w:tcPr>
            <w:tcW w:w="0" w:type="dxa"/>
            <w:vAlign w:val="bottom"/>
          </w:tcPr>
          <w:p>
            <w:pPr>
              <w:spacing w:after="0"/>
              <w:rPr>
                <w:sz w:val="1"/>
                <w:szCs w:val="1"/>
                <w:color w:val="auto"/>
              </w:rPr>
            </w:pPr>
          </w:p>
        </w:tc>
      </w:tr>
      <w:tr>
        <w:trPr>
          <w:trHeight w:val="263"/>
        </w:trPr>
        <w:tc>
          <w:tcPr>
            <w:tcW w:w="68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986,442,760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1,116,372,133</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2,739,244</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(1,289,103)</w:t>
            </w:r>
          </w:p>
        </w:tc>
        <w:tc>
          <w:tcPr>
            <w:tcW w:w="0" w:type="dxa"/>
            <w:vAlign w:val="bottom"/>
          </w:tcPr>
          <w:p>
            <w:pPr>
              <w:spacing w:after="0"/>
              <w:rPr>
                <w:sz w:val="1"/>
                <w:szCs w:val="1"/>
                <w:color w:val="auto"/>
              </w:rPr>
            </w:pPr>
          </w:p>
        </w:tc>
      </w:tr>
      <w:tr>
        <w:trPr>
          <w:trHeight w:val="256"/>
        </w:trPr>
        <w:tc>
          <w:tcPr>
            <w:tcW w:w="682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shareholders’ investment</w:t>
            </w: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1,822,607,413</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1,938,087,820</w:t>
            </w:r>
          </w:p>
        </w:tc>
        <w:tc>
          <w:tcPr>
            <w:tcW w:w="0" w:type="dxa"/>
            <w:vAlign w:val="bottom"/>
          </w:tcPr>
          <w:p>
            <w:pPr>
              <w:spacing w:after="0"/>
              <w:rPr>
                <w:sz w:val="1"/>
                <w:szCs w:val="1"/>
                <w:color w:val="auto"/>
              </w:rPr>
            </w:pPr>
          </w:p>
        </w:tc>
      </w:tr>
      <w:tr>
        <w:trPr>
          <w:trHeight w:val="244"/>
        </w:trPr>
        <w:tc>
          <w:tcPr>
            <w:tcW w:w="6820" w:type="dxa"/>
            <w:vAlign w:val="bottom"/>
            <w:gridSpan w:val="5"/>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2,101,041,533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2,168,803,193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Note: The condensed consolidated balance sheet at December 31, 2019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2020 and 2019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0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4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5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229,925,556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468,711,354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683,687,281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937,300,351</w:t>
            </w:r>
          </w:p>
        </w:tc>
      </w:tr>
      <w:tr>
        <w:trPr>
          <w:trHeight w:val="230"/>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185,980,748</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292,173,750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483,154,994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591,118,243</w:t>
            </w:r>
          </w:p>
        </w:tc>
      </w:tr>
      <w:tr>
        <w:trPr>
          <w:trHeight w:val="250"/>
        </w:trPr>
        <w:tc>
          <w:tcPr>
            <w:tcW w:w="444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43,944,808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176,537,604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200,532,287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346,182,108</w:t>
            </w:r>
          </w:p>
        </w:tc>
      </w:tr>
      <w:tr>
        <w:trPr>
          <w:trHeight w:val="236"/>
        </w:trPr>
        <w:tc>
          <w:tcPr>
            <w:tcW w:w="4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28,992,968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28,359,343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58,608,390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56,448,524</w:t>
            </w:r>
          </w:p>
        </w:tc>
      </w:tr>
      <w:tr>
        <w:trPr>
          <w:trHeight w:val="250"/>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21,690,096</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20,273,295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43,634,987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40,232,286</w:t>
            </w:r>
          </w:p>
        </w:tc>
      </w:tr>
      <w:tr>
        <w:trPr>
          <w:trHeight w:val="250"/>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50,683,064</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48,632,638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102,243,377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96,680,810</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Income from operations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(6,738,256)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127,904,966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98,288,910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249,501,298</w:t>
            </w:r>
          </w:p>
        </w:tc>
      </w:tr>
      <w:tr>
        <w:trPr>
          <w:trHeight w:val="229"/>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44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1,462,033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2,140,387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3,908,682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5,403,128</w:t>
            </w:r>
          </w:p>
        </w:tc>
      </w:tr>
      <w:tr>
        <w:trPr>
          <w:trHeight w:val="257"/>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1,404,196</w:t>
            </w:r>
          </w:p>
        </w:tc>
        <w:tc>
          <w:tcPr>
            <w:tcW w:w="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237,191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1,205,030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286,660</w:t>
            </w:r>
          </w:p>
        </w:tc>
      </w:tr>
      <w:tr>
        <w:trPr>
          <w:trHeight w:val="250"/>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2,866,229</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2,377,578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5,113,712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5,689,788</w:t>
            </w:r>
          </w:p>
        </w:tc>
      </w:tr>
      <w:tr>
        <w:trPr>
          <w:trHeight w:val="216"/>
        </w:trPr>
        <w:tc>
          <w:tcPr>
            <w:tcW w:w="4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(LOSS) INCOME BEFORE (BENEFIT FROM)</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(3,872,027)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130,282,544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103,402,622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255,191,086</w:t>
            </w:r>
          </w:p>
        </w:tc>
      </w:tr>
      <w:tr>
        <w:trPr>
          <w:trHeight w:val="236"/>
        </w:trPr>
        <w:tc>
          <w:tcPr>
            <w:tcW w:w="4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(1,497,994)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21,323,919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16,270,854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41,952,050</w:t>
            </w:r>
          </w:p>
        </w:tc>
      </w:tr>
      <w:tr>
        <w:trPr>
          <w:trHeight w:val="236"/>
        </w:trPr>
        <w:tc>
          <w:tcPr>
            <w:tcW w:w="44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(2,374,033)</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108,958,625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87,131,768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213,239,036</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4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0.82</w:t>
            </w:r>
          </w:p>
        </w:tc>
      </w:tr>
      <w:tr>
        <w:trPr>
          <w:trHeight w:val="250"/>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0.82</w:t>
            </w:r>
          </w:p>
        </w:tc>
      </w:tr>
      <w:tr>
        <w:trPr>
          <w:trHeight w:val="236"/>
        </w:trPr>
        <w:tc>
          <w:tcPr>
            <w:tcW w:w="4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0.240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0.230</w:t>
            </w:r>
          </w:p>
        </w:tc>
      </w:tr>
    </w:tbl>
    <w:p>
      <w:pPr>
        <w:spacing w:after="0" w:line="26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(Loss)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2020 and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4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(2,374,033)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108,958,625</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87,131,768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213,239,036</w:t>
            </w:r>
          </w:p>
        </w:tc>
      </w:tr>
      <w:tr>
        <w:trPr>
          <w:trHeight w:val="270"/>
        </w:trPr>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46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136,627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(475,686)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ind w:left="300"/>
              <w:spacing w:after="0"/>
              <w:rPr>
                <w:sz w:val="20"/>
                <w:szCs w:val="20"/>
                <w:color w:val="auto"/>
              </w:rPr>
            </w:pPr>
            <w:r>
              <w:rPr>
                <w:rFonts w:ascii="Arial" w:cs="Arial" w:eastAsia="Arial" w:hAnsi="Arial"/>
                <w:sz w:val="18"/>
                <w:szCs w:val="18"/>
                <w:color w:val="auto"/>
              </w:rPr>
              <w:t>(555,463)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(176,687)</w:t>
            </w:r>
          </w:p>
        </w:tc>
      </w:tr>
      <w:tr>
        <w:trPr>
          <w:trHeight w:val="257"/>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on debt securities, net</w:t>
            </w:r>
          </w:p>
        </w:tc>
        <w:tc>
          <w:tcPr>
            <w:tcW w:w="3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3,022,561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1,583,089</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5,802,291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2,881,325</w:t>
            </w:r>
          </w:p>
        </w:tc>
      </w:tr>
      <w:tr>
        <w:trPr>
          <w:trHeight w:val="257"/>
        </w:trPr>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3,159,188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1,107,403</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5,246,828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2,704,638</w:t>
            </w:r>
          </w:p>
        </w:tc>
      </w:tr>
      <w:tr>
        <w:trPr>
          <w:trHeight w:val="270"/>
        </w:trPr>
        <w:tc>
          <w:tcPr>
            <w:tcW w:w="4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impact related to components of other</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634,738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332,448</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1,218,481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605,079</w:t>
            </w:r>
          </w:p>
        </w:tc>
      </w:tr>
      <w:tr>
        <w:trPr>
          <w:trHeight w:val="256"/>
        </w:trPr>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2,524,450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774,955</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4,028,347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2,099,559</w:t>
            </w:r>
          </w:p>
        </w:tc>
      </w:tr>
      <w:tr>
        <w:trPr>
          <w:trHeight w:val="257"/>
        </w:trPr>
        <w:tc>
          <w:tcPr>
            <w:tcW w:w="4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150,417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109,733,580</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91,160,115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215,338,595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2020 and 2019</w:t>
      </w:r>
    </w:p>
    <w:p>
      <w:pPr>
        <w:sectPr>
          <w:pgSz w:w="11900" w:h="16838" w:orient="portrait"/>
          <w:cols w:equalWidth="0" w:num="1">
            <w:col w:w="11220"/>
          </w:cols>
          <w:pgMar w:left="3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2020</w:t>
      </w:r>
    </w:p>
    <w:p>
      <w:pPr>
        <w:spacing w:after="0" w:line="5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Issuance of common stock related to acquisitions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JUNE 30, 2020</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320" w:type="dxa"/>
            <w:vAlign w:val="bottom"/>
          </w:tcPr>
          <w:p>
            <w:pPr>
              <w:spacing w:after="0"/>
              <w:rPr>
                <w:sz w:val="16"/>
                <w:szCs w:val="16"/>
                <w:color w:val="auto"/>
              </w:rPr>
            </w:pPr>
          </w:p>
        </w:tc>
      </w:tr>
      <w:tr>
        <w:trPr>
          <w:trHeight w:val="189"/>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Common</w:t>
            </w:r>
          </w:p>
        </w:tc>
        <w:tc>
          <w:tcPr>
            <w:tcW w:w="280" w:type="dxa"/>
            <w:vAlign w:val="bottom"/>
          </w:tcPr>
          <w:p>
            <w:pPr>
              <w:spacing w:after="0"/>
              <w:rPr>
                <w:sz w:val="16"/>
                <w:szCs w:val="16"/>
                <w:color w:val="auto"/>
              </w:rPr>
            </w:pPr>
          </w:p>
        </w:tc>
        <w:tc>
          <w:tcPr>
            <w:tcW w:w="1000" w:type="dxa"/>
            <w:vAlign w:val="bottom"/>
          </w:tcPr>
          <w:p>
            <w:pPr>
              <w:jc w:val="center"/>
              <w:ind w:right="106"/>
              <w:spacing w:after="0"/>
              <w:rPr>
                <w:sz w:val="20"/>
                <w:szCs w:val="20"/>
                <w:color w:val="auto"/>
              </w:rPr>
            </w:pPr>
            <w:r>
              <w:rPr>
                <w:rFonts w:ascii="Arial" w:cs="Arial" w:eastAsia="Arial" w:hAnsi="Arial"/>
                <w:sz w:val="16"/>
                <w:szCs w:val="16"/>
                <w:b w:val="1"/>
                <w:bCs w:val="1"/>
                <w:color w:val="auto"/>
              </w:rPr>
              <w:t>Common</w:t>
            </w:r>
          </w:p>
        </w:tc>
        <w:tc>
          <w:tcPr>
            <w:tcW w:w="280" w:type="dxa"/>
            <w:vAlign w:val="bottom"/>
          </w:tcPr>
          <w:p>
            <w:pPr>
              <w:spacing w:after="0"/>
              <w:rPr>
                <w:sz w:val="16"/>
                <w:szCs w:val="16"/>
                <w:color w:val="auto"/>
              </w:rPr>
            </w:pPr>
          </w:p>
        </w:tc>
        <w:tc>
          <w:tcPr>
            <w:tcW w:w="1020" w:type="dxa"/>
            <w:vAlign w:val="bottom"/>
          </w:tcPr>
          <w:p>
            <w:pPr>
              <w:jc w:val="right"/>
              <w:ind w:right="126"/>
              <w:spacing w:after="0"/>
              <w:rPr>
                <w:sz w:val="20"/>
                <w:szCs w:val="20"/>
                <w:color w:val="auto"/>
              </w:rPr>
            </w:pPr>
            <w:r>
              <w:rPr>
                <w:rFonts w:ascii="Arial" w:cs="Arial" w:eastAsia="Arial" w:hAnsi="Arial"/>
                <w:sz w:val="16"/>
                <w:szCs w:val="16"/>
                <w:b w:val="1"/>
                <w:bCs w:val="1"/>
                <w:color w:val="auto"/>
              </w:rPr>
              <w:t>Additional</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86"/>
              <w:spacing w:after="0"/>
              <w:rPr>
                <w:sz w:val="20"/>
                <w:szCs w:val="20"/>
                <w:color w:val="auto"/>
              </w:rPr>
            </w:pPr>
            <w:r>
              <w:rPr>
                <w:rFonts w:ascii="Arial" w:cs="Arial" w:eastAsia="Arial" w:hAnsi="Arial"/>
                <w:sz w:val="16"/>
                <w:szCs w:val="16"/>
                <w:b w:val="1"/>
                <w:bCs w:val="1"/>
                <w:color w:val="auto"/>
              </w:rPr>
              <w:t>Other</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r>
      <w:tr>
        <w:trPr>
          <w:trHeight w:val="189"/>
        </w:trPr>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28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6"/>
                <w:szCs w:val="16"/>
                <w:b w:val="1"/>
                <w:bCs w:val="1"/>
                <w:color w:val="auto"/>
              </w:rPr>
              <w:t>Stock</w:t>
            </w:r>
          </w:p>
        </w:tc>
        <w:tc>
          <w:tcPr>
            <w:tcW w:w="280" w:type="dxa"/>
            <w:vAlign w:val="bottom"/>
          </w:tcPr>
          <w:p>
            <w:pPr>
              <w:spacing w:after="0"/>
              <w:rPr>
                <w:sz w:val="16"/>
                <w:szCs w:val="16"/>
                <w:color w:val="auto"/>
              </w:rPr>
            </w:pPr>
          </w:p>
        </w:tc>
        <w:tc>
          <w:tcPr>
            <w:tcW w:w="1020" w:type="dxa"/>
            <w:vAlign w:val="bottom"/>
          </w:tcPr>
          <w:p>
            <w:pPr>
              <w:jc w:val="right"/>
              <w:ind w:right="226"/>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6"/>
                <w:szCs w:val="16"/>
                <w:color w:val="auto"/>
              </w:rPr>
            </w:pPr>
          </w:p>
        </w:tc>
        <w:tc>
          <w:tcPr>
            <w:tcW w:w="1120" w:type="dxa"/>
            <w:vAlign w:val="bottom"/>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Comprehensive</w:t>
            </w:r>
          </w:p>
        </w:tc>
        <w:tc>
          <w:tcPr>
            <w:tcW w:w="1320" w:type="dxa"/>
            <w:vAlign w:val="bottom"/>
          </w:tcPr>
          <w:p>
            <w:pPr>
              <w:jc w:val="center"/>
              <w:ind w:left="46"/>
              <w:spacing w:after="0"/>
              <w:rPr>
                <w:sz w:val="20"/>
                <w:szCs w:val="20"/>
                <w:color w:val="auto"/>
              </w:rPr>
            </w:pPr>
            <w:r>
              <w:rPr>
                <w:rFonts w:ascii="Arial" w:cs="Arial" w:eastAsia="Arial" w:hAnsi="Arial"/>
                <w:sz w:val="16"/>
                <w:szCs w:val="16"/>
                <w:b w:val="1"/>
                <w:bCs w:val="1"/>
                <w:color w:val="auto"/>
              </w:rPr>
              <w:t>Shareholders’</w:t>
            </w:r>
          </w:p>
        </w:tc>
      </w:tr>
      <w:tr>
        <w:trPr>
          <w:trHeight w:val="228"/>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Capital</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320" w:type="dxa"/>
            <w:vAlign w:val="bottom"/>
            <w:tcBorders>
              <w:bottom w:val="single" w:sz="8" w:color="auto"/>
            </w:tcBorders>
          </w:tcPr>
          <w:p>
            <w:pPr>
              <w:jc w:val="center"/>
              <w:ind w:left="26"/>
              <w:spacing w:after="0"/>
              <w:rPr>
                <w:sz w:val="20"/>
                <w:szCs w:val="20"/>
                <w:color w:val="auto"/>
              </w:rPr>
            </w:pPr>
            <w:r>
              <w:rPr>
                <w:rFonts w:ascii="Arial" w:cs="Arial" w:eastAsia="Arial" w:hAnsi="Arial"/>
                <w:sz w:val="16"/>
                <w:szCs w:val="16"/>
                <w:b w:val="1"/>
                <w:bCs w:val="1"/>
                <w:color w:val="auto"/>
              </w:rPr>
              <w:t>Investment</w:t>
            </w:r>
          </w:p>
        </w:tc>
      </w:tr>
      <w:tr>
        <w:trPr>
          <w:trHeight w:val="204"/>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244,865,658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14,691,939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801,388,454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6"/>
              <w:spacing w:after="0"/>
              <w:rPr>
                <w:sz w:val="20"/>
                <w:szCs w:val="20"/>
                <w:color w:val="auto"/>
              </w:rPr>
            </w:pPr>
            <w:r>
              <w:rPr>
                <w:rFonts w:ascii="Arial" w:cs="Arial" w:eastAsia="Arial" w:hAnsi="Arial"/>
                <w:sz w:val="14"/>
                <w:szCs w:val="14"/>
                <w:color w:val="auto"/>
              </w:rPr>
              <w:t>1,018,310,446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214,794</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$ 1,834,605,633</w:t>
            </w:r>
          </w:p>
        </w:tc>
      </w:tr>
      <w:tr>
        <w:trPr>
          <w:trHeight w:val="446"/>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746,112</w:t>
            </w:r>
          </w:p>
        </w:tc>
        <w:tc>
          <w:tcPr>
            <w:tcW w:w="280" w:type="dxa"/>
            <w:vAlign w:val="bottom"/>
          </w:tcPr>
          <w:p>
            <w:pPr>
              <w:spacing w:after="0"/>
              <w:rPr>
                <w:sz w:val="24"/>
                <w:szCs w:val="24"/>
                <w:color w:val="auto"/>
              </w:rPr>
            </w:pP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44,767</w:t>
            </w:r>
          </w:p>
        </w:tc>
        <w:tc>
          <w:tcPr>
            <w:tcW w:w="280" w:type="dxa"/>
            <w:vAlign w:val="bottom"/>
          </w:tcPr>
          <w:p>
            <w:pPr>
              <w:spacing w:after="0"/>
              <w:rPr>
                <w:sz w:val="24"/>
                <w:szCs w:val="24"/>
                <w:color w:val="auto"/>
              </w:rPr>
            </w:pP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8,310,437</w:t>
            </w:r>
          </w:p>
        </w:tc>
        <w:tc>
          <w:tcPr>
            <w:tcW w:w="280" w:type="dxa"/>
            <w:vAlign w:val="bottom"/>
          </w:tcPr>
          <w:p>
            <w:pPr>
              <w:spacing w:after="0"/>
              <w:rPr>
                <w:sz w:val="24"/>
                <w:szCs w:val="24"/>
                <w:color w:val="auto"/>
              </w:rPr>
            </w:pPr>
          </w:p>
        </w:tc>
        <w:tc>
          <w:tcPr>
            <w:tcW w:w="112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8,355,204</w:t>
            </w:r>
          </w:p>
        </w:tc>
      </w:tr>
      <w:tr>
        <w:trPr>
          <w:trHeight w:val="432"/>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163,718</w:t>
            </w:r>
          </w:p>
        </w:tc>
        <w:tc>
          <w:tcPr>
            <w:tcW w:w="280" w:type="dxa"/>
            <w:vAlign w:val="bottom"/>
          </w:tcPr>
          <w:p>
            <w:pPr>
              <w:spacing w:after="0"/>
              <w:rPr>
                <w:sz w:val="24"/>
                <w:szCs w:val="24"/>
                <w:color w:val="auto"/>
              </w:rPr>
            </w:pP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9,823</w:t>
            </w:r>
          </w:p>
        </w:tc>
        <w:tc>
          <w:tcPr>
            <w:tcW w:w="280" w:type="dxa"/>
            <w:vAlign w:val="bottom"/>
          </w:tcPr>
          <w:p>
            <w:pPr>
              <w:spacing w:after="0"/>
              <w:rPr>
                <w:sz w:val="24"/>
                <w:szCs w:val="24"/>
                <w:color w:val="auto"/>
              </w:rPr>
            </w:pP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3,549,406</w:t>
            </w:r>
          </w:p>
        </w:tc>
        <w:tc>
          <w:tcPr>
            <w:tcW w:w="280" w:type="dxa"/>
            <w:vAlign w:val="bottom"/>
          </w:tcPr>
          <w:p>
            <w:pPr>
              <w:spacing w:after="0"/>
              <w:rPr>
                <w:sz w:val="24"/>
                <w:szCs w:val="24"/>
                <w:color w:val="auto"/>
              </w:rPr>
            </w:pPr>
          </w:p>
        </w:tc>
        <w:tc>
          <w:tcPr>
            <w:tcW w:w="112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3,559,229</w:t>
            </w:r>
          </w:p>
        </w:tc>
      </w:tr>
      <w:tr>
        <w:trPr>
          <w:trHeight w:val="621"/>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5,430,583</w:t>
            </w:r>
          </w:p>
        </w:tc>
        <w:tc>
          <w:tcPr>
            <w:tcW w:w="280" w:type="dxa"/>
            <w:vAlign w:val="bottom"/>
          </w:tcPr>
          <w:p>
            <w:pPr>
              <w:spacing w:after="0"/>
              <w:rPr>
                <w:sz w:val="24"/>
                <w:szCs w:val="24"/>
                <w:color w:val="auto"/>
              </w:rPr>
            </w:pPr>
          </w:p>
        </w:tc>
        <w:tc>
          <w:tcPr>
            <w:tcW w:w="112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5,430,583</w:t>
            </w:r>
          </w:p>
        </w:tc>
      </w:tr>
      <w:tr>
        <w:trPr>
          <w:trHeight w:val="243"/>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(29,493,653)</w:t>
            </w:r>
          </w:p>
        </w:tc>
        <w:tc>
          <w:tcPr>
            <w:tcW w:w="240" w:type="dxa"/>
            <w:vAlign w:val="bottom"/>
          </w:tcPr>
          <w:p>
            <w:pPr>
              <w:spacing w:after="0"/>
              <w:rPr>
                <w:sz w:val="21"/>
                <w:szCs w:val="21"/>
                <w:color w:val="auto"/>
              </w:rPr>
            </w:pP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(29,493,653)</w:t>
            </w:r>
          </w:p>
        </w:tc>
      </w:tr>
      <w:tr>
        <w:trPr>
          <w:trHeight w:val="243"/>
        </w:trPr>
        <w:tc>
          <w:tcPr>
            <w:tcW w:w="114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(2,374,033)</w:t>
            </w:r>
          </w:p>
        </w:tc>
        <w:tc>
          <w:tcPr>
            <w:tcW w:w="240" w:type="dxa"/>
            <w:vAlign w:val="bottom"/>
          </w:tcPr>
          <w:p>
            <w:pPr>
              <w:spacing w:after="0"/>
              <w:rPr>
                <w:sz w:val="21"/>
                <w:szCs w:val="21"/>
                <w:color w:val="auto"/>
              </w:rPr>
            </w:pPr>
          </w:p>
        </w:tc>
        <w:tc>
          <w:tcPr>
            <w:tcW w:w="128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(2,374,033)</w:t>
            </w:r>
          </w:p>
        </w:tc>
      </w:tr>
      <w:tr>
        <w:trPr>
          <w:trHeight w:val="249"/>
        </w:trPr>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2,524,450</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2,524,450</w:t>
            </w:r>
          </w:p>
        </w:tc>
      </w:tr>
      <w:tr>
        <w:trPr>
          <w:trHeight w:val="209"/>
        </w:trPr>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245,775,488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14,746,529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818,678,880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986,442,760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color w:val="auto"/>
              </w:rPr>
              <w:t>2,739,244</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$ 1,822,607,413</w:t>
            </w:r>
          </w:p>
        </w:tc>
      </w:tr>
      <w:tr>
        <w:trPr>
          <w:trHeight w:val="27"/>
        </w:trPr>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-1739265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-1311275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-642620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-334010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-16510</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00"/>
            <w:col w:w="7960"/>
          </w:cols>
          <w:pgMar w:left="340" w:top="1413" w:right="3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2019</w:t>
      </w:r>
    </w:p>
    <w:p>
      <w:pPr>
        <w:spacing w:after="0" w:line="5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($0.115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JUNE 30, 2019</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jc w:val="right"/>
              <w:ind w:right="128"/>
              <w:spacing w:after="0"/>
              <w:rPr>
                <w:sz w:val="20"/>
                <w:szCs w:val="20"/>
                <w:color w:val="auto"/>
              </w:rPr>
            </w:pPr>
            <w:r>
              <w:rPr>
                <w:rFonts w:ascii="Arial" w:cs="Arial" w:eastAsia="Arial" w:hAnsi="Arial"/>
                <w:sz w:val="14"/>
                <w:szCs w:val="14"/>
                <w:color w:val="auto"/>
              </w:rPr>
              <w:t>255,584,345</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15,335,061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748,641,461</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$ 1,093,373,960</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(275,734)</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$ 1,857,074,748</w:t>
            </w:r>
          </w:p>
        </w:tc>
      </w:tr>
      <w:tr>
        <w:trPr>
          <w:trHeight w:val="445"/>
        </w:trPr>
        <w:tc>
          <w:tcPr>
            <w:tcW w:w="1160" w:type="dxa"/>
            <w:vAlign w:val="bottom"/>
          </w:tcPr>
          <w:p>
            <w:pPr>
              <w:jc w:val="right"/>
              <w:ind w:right="128"/>
              <w:spacing w:after="0"/>
              <w:rPr>
                <w:sz w:val="20"/>
                <w:szCs w:val="20"/>
                <w:color w:val="auto"/>
              </w:rPr>
            </w:pPr>
            <w:r>
              <w:rPr>
                <w:rFonts w:ascii="Arial" w:cs="Arial" w:eastAsia="Arial" w:hAnsi="Arial"/>
                <w:sz w:val="14"/>
                <w:szCs w:val="14"/>
                <w:color w:val="auto"/>
              </w:rPr>
              <w:t>2,269,483</w:t>
            </w:r>
          </w:p>
        </w:tc>
        <w:tc>
          <w:tcPr>
            <w:tcW w:w="30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136,170</w:t>
            </w:r>
          </w:p>
        </w:tc>
        <w:tc>
          <w:tcPr>
            <w:tcW w:w="28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31,284,090</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31,420,260</w:t>
            </w:r>
          </w:p>
        </w:tc>
      </w:tr>
      <w:tr>
        <w:trPr>
          <w:trHeight w:val="243"/>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(3,074,709)</w:t>
            </w:r>
          </w:p>
        </w:tc>
        <w:tc>
          <w:tcPr>
            <w:tcW w:w="300" w:type="dxa"/>
            <w:vAlign w:val="bottom"/>
          </w:tcPr>
          <w:p>
            <w:pPr>
              <w:spacing w:after="0"/>
              <w:rPr>
                <w:sz w:val="21"/>
                <w:szCs w:val="21"/>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(184,483)</w:t>
            </w:r>
          </w:p>
        </w:tc>
        <w:tc>
          <w:tcPr>
            <w:tcW w:w="280" w:type="dxa"/>
            <w:vAlign w:val="bottom"/>
          </w:tcPr>
          <w:p>
            <w:pPr>
              <w:spacing w:after="0"/>
              <w:rPr>
                <w:sz w:val="21"/>
                <w:szCs w:val="21"/>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(7,963,499)</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(61,723,161)</w:t>
            </w:r>
          </w:p>
        </w:tc>
        <w:tc>
          <w:tcPr>
            <w:tcW w:w="48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(69,871,143)</w:t>
            </w:r>
          </w:p>
        </w:tc>
      </w:tr>
      <w:tr>
        <w:trPr>
          <w:trHeight w:val="621"/>
        </w:trPr>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5,276,201</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5,276,201</w:t>
            </w:r>
          </w:p>
        </w:tc>
      </w:tr>
      <w:tr>
        <w:trPr>
          <w:trHeight w:val="243"/>
        </w:trPr>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(29,299,410)</w:t>
            </w:r>
          </w:p>
        </w:tc>
        <w:tc>
          <w:tcPr>
            <w:tcW w:w="48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(29,299,410)</w:t>
            </w:r>
          </w:p>
        </w:tc>
      </w:tr>
      <w:tr>
        <w:trPr>
          <w:trHeight w:val="243"/>
        </w:trPr>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108,958,625</w:t>
            </w:r>
          </w:p>
        </w:tc>
        <w:tc>
          <w:tcPr>
            <w:tcW w:w="48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108,958,625</w:t>
            </w:r>
          </w:p>
        </w:tc>
      </w:tr>
      <w:tr>
        <w:trPr>
          <w:trHeight w:val="249"/>
        </w:trPr>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774,955</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774,955</w:t>
            </w:r>
          </w:p>
        </w:tc>
      </w:tr>
      <w:tr>
        <w:trPr>
          <w:trHeight w:val="209"/>
        </w:trPr>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254,779,119</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15,286,748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777,238,253</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$ 1,111,310,014</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499,221</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$ 1,904,334,236</w:t>
            </w:r>
          </w:p>
        </w:tc>
      </w:tr>
      <w:tr>
        <w:trPr>
          <w:trHeight w:val="27"/>
        </w:trPr>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-1464945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-1036320</wp:posOffset>
            </wp:positionV>
            <wp:extent cx="713232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-488315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-179070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00"/>
            <w:col w:w="7960"/>
          </w:cols>
          <w:pgMar w:left="34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type w:val="continuous"/>
        </w:sectPr>
      </w:pPr>
    </w:p>
    <w:bookmarkStart w:id="6" w:name="page7"/>
    <w:bookmarkEnd w:id="6"/>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2020 and 2019</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5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Issuance of common stock related to acquisitions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JUNE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300" w:type="dxa"/>
            <w:vAlign w:val="bottom"/>
          </w:tcPr>
          <w:p>
            <w:pPr>
              <w:spacing w:after="0"/>
              <w:rPr>
                <w:sz w:val="14"/>
                <w:szCs w:val="14"/>
                <w:color w:val="auto"/>
              </w:rPr>
            </w:pPr>
          </w:p>
        </w:tc>
      </w:tr>
      <w:tr>
        <w:trPr>
          <w:trHeight w:val="162"/>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4"/>
                <w:szCs w:val="14"/>
                <w:color w:val="auto"/>
              </w:rPr>
            </w:pPr>
          </w:p>
        </w:tc>
        <w:tc>
          <w:tcPr>
            <w:tcW w:w="96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rPr>
              <w:t>Shareholders’</w:t>
            </w:r>
          </w:p>
        </w:tc>
      </w:tr>
      <w:tr>
        <w:trPr>
          <w:trHeight w:val="190"/>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Income (Loss)</w:t>
            </w: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rPr>
              <w:t>Investment</w:t>
            </w:r>
          </w:p>
        </w:tc>
      </w:tr>
      <w:tr>
        <w:trPr>
          <w:trHeight w:val="243"/>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251,277,515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15,076,651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807,928,139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1,116,372,133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(1,289,103)</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$ 1,938,087,820</w:t>
            </w:r>
          </w:p>
        </w:tc>
      </w:tr>
      <w:tr>
        <w:trPr>
          <w:trHeight w:val="432"/>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1,353,287</w:t>
            </w:r>
          </w:p>
        </w:tc>
        <w:tc>
          <w:tcPr>
            <w:tcW w:w="2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81,198</w:t>
            </w:r>
          </w:p>
        </w:tc>
        <w:tc>
          <w:tcPr>
            <w:tcW w:w="2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15,629,494</w:t>
            </w:r>
          </w:p>
        </w:tc>
        <w:tc>
          <w:tcPr>
            <w:tcW w:w="24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15,710,692</w:t>
            </w:r>
          </w:p>
        </w:tc>
      </w:tr>
      <w:tr>
        <w:trPr>
          <w:trHeight w:val="432"/>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163,718</w:t>
            </w:r>
          </w:p>
        </w:tc>
        <w:tc>
          <w:tcPr>
            <w:tcW w:w="2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9,823</w:t>
            </w:r>
          </w:p>
        </w:tc>
        <w:tc>
          <w:tcPr>
            <w:tcW w:w="2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3,549,406</w:t>
            </w:r>
          </w:p>
        </w:tc>
        <w:tc>
          <w:tcPr>
            <w:tcW w:w="24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3,559,229</w:t>
            </w:r>
          </w:p>
        </w:tc>
      </w:tr>
      <w:tr>
        <w:trPr>
          <w:trHeight w:val="243"/>
        </w:trPr>
        <w:tc>
          <w:tcPr>
            <w:tcW w:w="1100" w:type="dxa"/>
            <w:vAlign w:val="bottom"/>
          </w:tcPr>
          <w:p>
            <w:pPr>
              <w:jc w:val="right"/>
              <w:ind w:right="88"/>
              <w:spacing w:after="0"/>
              <w:rPr>
                <w:sz w:val="20"/>
                <w:szCs w:val="20"/>
                <w:color w:val="auto"/>
              </w:rPr>
            </w:pPr>
            <w:r>
              <w:rPr>
                <w:rFonts w:ascii="Arial" w:cs="Arial" w:eastAsia="Arial" w:hAnsi="Arial"/>
                <w:sz w:val="14"/>
                <w:szCs w:val="14"/>
                <w:color w:val="auto"/>
              </w:rPr>
              <w:t>(7,019,032)</w:t>
            </w:r>
          </w:p>
        </w:tc>
        <w:tc>
          <w:tcPr>
            <w:tcW w:w="28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(421,143)</w:t>
            </w:r>
          </w:p>
        </w:tc>
        <w:tc>
          <w:tcPr>
            <w:tcW w:w="28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(20,214,812)</w:t>
            </w:r>
          </w:p>
        </w:tc>
        <w:tc>
          <w:tcPr>
            <w:tcW w:w="24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(158,183,629)</w:t>
            </w:r>
          </w:p>
        </w:tc>
        <w:tc>
          <w:tcPr>
            <w:tcW w:w="220" w:type="dxa"/>
            <w:vAlign w:val="bottom"/>
          </w:tcPr>
          <w:p>
            <w:pPr>
              <w:spacing w:after="0"/>
              <w:rPr>
                <w:sz w:val="21"/>
                <w:szCs w:val="21"/>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(178,819,584)</w:t>
            </w:r>
          </w:p>
        </w:tc>
      </w:tr>
      <w:tr>
        <w:trPr>
          <w:trHeight w:val="621"/>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11,786,653</w:t>
            </w:r>
          </w:p>
        </w:tc>
        <w:tc>
          <w:tcPr>
            <w:tcW w:w="24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11,786,653</w:t>
            </w:r>
          </w:p>
        </w:tc>
      </w:tr>
      <w:tr>
        <w:trPr>
          <w:trHeight w:val="243"/>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(58,877,512)</w:t>
            </w:r>
          </w:p>
        </w:tc>
        <w:tc>
          <w:tcPr>
            <w:tcW w:w="220" w:type="dxa"/>
            <w:vAlign w:val="bottom"/>
          </w:tcPr>
          <w:p>
            <w:pPr>
              <w:spacing w:after="0"/>
              <w:rPr>
                <w:sz w:val="21"/>
                <w:szCs w:val="21"/>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(58,877,512)</w:t>
            </w:r>
          </w:p>
        </w:tc>
      </w:tr>
      <w:tr>
        <w:trPr>
          <w:trHeight w:val="243"/>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87,131,768</w:t>
            </w:r>
          </w:p>
        </w:tc>
        <w:tc>
          <w:tcPr>
            <w:tcW w:w="220" w:type="dxa"/>
            <w:vAlign w:val="bottom"/>
          </w:tcPr>
          <w:p>
            <w:pPr>
              <w:spacing w:after="0"/>
              <w:rPr>
                <w:sz w:val="21"/>
                <w:szCs w:val="21"/>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87,131,768</w:t>
            </w:r>
          </w:p>
        </w:tc>
      </w:tr>
      <w:tr>
        <w:trPr>
          <w:trHeight w:val="249"/>
        </w:trPr>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4,028,347</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4,028,347</w:t>
            </w:r>
          </w:p>
        </w:tc>
      </w:tr>
      <w:tr>
        <w:trPr>
          <w:trHeight w:val="209"/>
        </w:trPr>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245,775,488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14,746,529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818,678,880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986,442,760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2,739,244</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$ 1,822,607,413</w:t>
            </w:r>
          </w:p>
        </w:tc>
      </w:tr>
      <w:tr>
        <w:trPr>
          <w:trHeight w:val="27"/>
        </w:trPr>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-1894205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-1465580</wp:posOffset>
            </wp:positionV>
            <wp:extent cx="711517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7432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-1036955</wp:posOffset>
            </wp:positionV>
            <wp:extent cx="711517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39433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-488315</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-179705</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154305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80"/>
            <w:col w:w="7780"/>
          </w:cols>
          <w:pgMar w:left="360" w:top="1440" w:right="3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2019</w:t>
      </w:r>
    </w:p>
    <w:p>
      <w:pPr>
        <w:spacing w:after="0" w:line="5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($0.23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JUNE 30, 2019</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259,328,613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15,559,717</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745,324,144</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$ 1,102,468,137</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(1,600,338)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$ 1,861,751,660</w:t>
            </w:r>
          </w:p>
        </w:tc>
      </w:tr>
      <w:tr>
        <w:trPr>
          <w:trHeight w:val="432"/>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3,250,153</w:t>
            </w:r>
          </w:p>
        </w:tc>
        <w:tc>
          <w:tcPr>
            <w:tcW w:w="2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195,010</w:t>
            </w:r>
          </w:p>
        </w:tc>
        <w:tc>
          <w:tcPr>
            <w:tcW w:w="30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41,739,804</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41,934,814</w:t>
            </w:r>
          </w:p>
        </w:tc>
      </w:tr>
      <w:tr>
        <w:trPr>
          <w:trHeight w:val="243"/>
        </w:trPr>
        <w:tc>
          <w:tcPr>
            <w:tcW w:w="1100" w:type="dxa"/>
            <w:vAlign w:val="bottom"/>
          </w:tcPr>
          <w:p>
            <w:pPr>
              <w:jc w:val="right"/>
              <w:ind w:right="88"/>
              <w:spacing w:after="0"/>
              <w:rPr>
                <w:sz w:val="20"/>
                <w:szCs w:val="20"/>
                <w:color w:val="auto"/>
              </w:rPr>
            </w:pPr>
            <w:r>
              <w:rPr>
                <w:rFonts w:ascii="Arial" w:cs="Arial" w:eastAsia="Arial" w:hAnsi="Arial"/>
                <w:sz w:val="14"/>
                <w:szCs w:val="14"/>
                <w:color w:val="auto"/>
              </w:rPr>
              <w:t>(7,799,647)</w:t>
            </w:r>
          </w:p>
        </w:tc>
        <w:tc>
          <w:tcPr>
            <w:tcW w:w="28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(467,979)</w:t>
            </w:r>
          </w:p>
        </w:tc>
        <w:tc>
          <w:tcPr>
            <w:tcW w:w="30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(19,964,843)</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(145,705,549)</w:t>
            </w:r>
          </w:p>
        </w:tc>
        <w:tc>
          <w:tcPr>
            <w:tcW w:w="34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(166,138,371)</w:t>
            </w:r>
          </w:p>
        </w:tc>
      </w:tr>
      <w:tr>
        <w:trPr>
          <w:trHeight w:val="621"/>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10,139,148</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10,139,148</w:t>
            </w:r>
          </w:p>
        </w:tc>
      </w:tr>
      <w:tr>
        <w:trPr>
          <w:trHeight w:val="243"/>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(58,691,610)</w:t>
            </w:r>
          </w:p>
        </w:tc>
        <w:tc>
          <w:tcPr>
            <w:tcW w:w="34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(58,691,610)</w:t>
            </w:r>
          </w:p>
        </w:tc>
      </w:tr>
      <w:tr>
        <w:trPr>
          <w:trHeight w:val="243"/>
        </w:trPr>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213,239,036</w:t>
            </w:r>
          </w:p>
        </w:tc>
        <w:tc>
          <w:tcPr>
            <w:tcW w:w="34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213,239,036</w:t>
            </w:r>
          </w:p>
        </w:tc>
      </w:tr>
      <w:tr>
        <w:trPr>
          <w:trHeight w:val="249"/>
        </w:trPr>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2,099,560</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2,099,558</w:t>
            </w:r>
          </w:p>
        </w:tc>
      </w:tr>
      <w:tr>
        <w:trPr>
          <w:trHeight w:val="210"/>
        </w:trPr>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254,779,119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15,286,748</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777,238,253</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$ 1,111,310,014</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499,221</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$ 1,904,334,236</w:t>
            </w:r>
          </w:p>
        </w:tc>
      </w:tr>
      <w:tr>
        <w:trPr>
          <w:trHeight w:val="26"/>
        </w:trPr>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-1190625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-642620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-334010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80"/>
            <w:col w:w="778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left="340" w:right="2340"/>
        <w:spacing w:after="0" w:line="400"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87,131,768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213,239,036</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53,437,698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53,296,388</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(155,229)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(95,658)</w:t>
            </w: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88,357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340,070</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(1,023,683)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(218,981)</w:t>
            </w:r>
          </w:p>
        </w:tc>
      </w:tr>
      <w:tr>
        <w:trPr>
          <w:trHeight w:val="263"/>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72,871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(2,176,462)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196,133</w:t>
            </w:r>
          </w:p>
        </w:tc>
      </w:tr>
      <w:tr>
        <w:trPr>
          <w:trHeight w:val="235"/>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15,960,362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10,139,148</w:t>
            </w:r>
          </w:p>
        </w:tc>
      </w:tr>
      <w:tr>
        <w:trPr>
          <w:trHeight w:val="250"/>
        </w:trPr>
        <w:tc>
          <w:tcPr>
            <w:tcW w:w="732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64,981,864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(12,888,533)</w:t>
            </w:r>
          </w:p>
        </w:tc>
      </w:tr>
      <w:tr>
        <w:trPr>
          <w:trHeight w:val="250"/>
        </w:trPr>
        <w:tc>
          <w:tcPr>
            <w:tcW w:w="732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(10,710,548)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187,136</w:t>
            </w:r>
          </w:p>
        </w:tc>
      </w:tr>
      <w:tr>
        <w:trPr>
          <w:trHeight w:val="26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14,230,026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(2,311,576)</w:t>
            </w:r>
          </w:p>
        </w:tc>
      </w:tr>
      <w:tr>
        <w:trPr>
          <w:trHeight w:val="250"/>
        </w:trPr>
        <w:tc>
          <w:tcPr>
            <w:tcW w:w="732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(37,452,944)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(2,769,229)</w:t>
            </w:r>
          </w:p>
        </w:tc>
      </w:tr>
      <w:tr>
        <w:trPr>
          <w:trHeight w:val="257"/>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3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6,068,104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14,353,360</w:t>
            </w:r>
          </w:p>
        </w:tc>
      </w:tr>
      <w:tr>
        <w:trPr>
          <w:trHeight w:val="250"/>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190,452,184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273,467,294</w:t>
            </w:r>
          </w:p>
        </w:tc>
      </w:tr>
      <w:tr>
        <w:trPr>
          <w:trHeight w:val="162"/>
        </w:trPr>
        <w:tc>
          <w:tcPr>
            <w:tcW w:w="7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32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5,607,634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28,845,319</w:t>
            </w:r>
          </w:p>
        </w:tc>
      </w:tr>
      <w:tr>
        <w:trPr>
          <w:trHeight w:val="26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90,017,368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9,714,000</w:t>
            </w:r>
          </w:p>
        </w:tc>
      </w:tr>
      <w:tr>
        <w:trPr>
          <w:trHeight w:val="250"/>
        </w:trPr>
        <w:tc>
          <w:tcPr>
            <w:tcW w:w="732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(52,650,769)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(40,298,297)</w:t>
            </w: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(28,828,066)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(45,504,667)</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200,475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227,738</w:t>
            </w: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(7,031,827)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Decrease in other assets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(3,886,518)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(1,022,057)</w:t>
            </w:r>
          </w:p>
        </w:tc>
      </w:tr>
      <w:tr>
        <w:trPr>
          <w:trHeight w:val="250"/>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3,428,297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(48,037,964)</w:t>
            </w:r>
          </w:p>
        </w:tc>
      </w:tr>
      <w:tr>
        <w:trPr>
          <w:trHeight w:val="149"/>
        </w:trPr>
        <w:tc>
          <w:tcPr>
            <w:tcW w:w="7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5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borrowings on Credit Agreement</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75,000,000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15,710,692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41,934,814</w:t>
            </w:r>
          </w:p>
        </w:tc>
      </w:tr>
      <w:tr>
        <w:trPr>
          <w:trHeight w:val="250"/>
        </w:trPr>
        <w:tc>
          <w:tcPr>
            <w:tcW w:w="732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(58,281,727)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(57,918,158)</w:t>
            </w:r>
          </w:p>
        </w:tc>
      </w:tr>
      <w:tr>
        <w:trPr>
          <w:trHeight w:val="25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(178,819,584)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(166,138,372)</w:t>
            </w:r>
          </w:p>
        </w:tc>
      </w:tr>
      <w:tr>
        <w:trPr>
          <w:trHeight w:val="250"/>
        </w:trPr>
        <w:tc>
          <w:tcPr>
            <w:tcW w:w="732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(146,390,619)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(182,121,716)</w:t>
            </w:r>
          </w:p>
        </w:tc>
      </w:tr>
      <w:tr>
        <w:trPr>
          <w:trHeight w:val="135"/>
        </w:trPr>
        <w:tc>
          <w:tcPr>
            <w:tcW w:w="7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47,489,862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43,307,614</w:t>
            </w:r>
          </w:p>
        </w:tc>
      </w:tr>
      <w:tr>
        <w:trPr>
          <w:trHeight w:val="155"/>
        </w:trPr>
        <w:tc>
          <w:tcPr>
            <w:tcW w:w="73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r>
      <w:tr>
        <w:trPr>
          <w:trHeight w:val="24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296,321,622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217,025,278</w:t>
            </w:r>
          </w:p>
        </w:tc>
      </w:tr>
      <w:tr>
        <w:trPr>
          <w:trHeight w:val="135"/>
        </w:trPr>
        <w:tc>
          <w:tcPr>
            <w:tcW w:w="7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343,811,484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260,332,892</w:t>
            </w:r>
          </w:p>
        </w:tc>
      </w:tr>
      <w:tr>
        <w:trPr>
          <w:trHeight w:val="27"/>
        </w:trPr>
        <w:tc>
          <w:tcPr>
            <w:tcW w:w="7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2019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2020, and the results of operations and cash flows for the interim periods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3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w:t>
      </w:r>
      <w:r>
        <w:rPr>
          <w:rFonts w:ascii="Arial" w:cs="Arial" w:eastAsia="Arial" w:hAnsi="Arial"/>
          <w:sz w:val="18"/>
          <w:szCs w:val="18"/>
          <w:color w:val="auto"/>
        </w:rPr>
        <w:t>s. This guidance must be adopted using a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transition method through a cumulative-effect adjustment to retained earnings in the period of adoption. Based on the insignificant impact of this ASU on the Company's financial statements, a cumulative-effect adjustment to retained earnings was not deemed necessary. The standard requires a change in the measurement approach for credit losses on 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It also modifies the impairment model for available-for-sale debt securities and provides a simplified accounting model for purchased financial assets with credit deterioration since their origination. The adoption of this standard did not have a material impact on the Company's consolidated balance sheet, consolidated income statement, or consolidated statement of cash flows.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52" w:lineRule="exact"/>
        <w:rPr>
          <w:sz w:val="20"/>
          <w:szCs w:val="20"/>
          <w:color w:val="auto"/>
        </w:rPr>
      </w:pPr>
    </w:p>
    <w:p>
      <w:pPr>
        <w:jc w:val="both"/>
        <w:ind w:left="660"/>
        <w:spacing w:after="0" w:line="237" w:lineRule="auto"/>
        <w:rPr>
          <w:rFonts w:ascii="Arial" w:cs="Arial" w:eastAsia="Arial" w:hAnsi="Arial"/>
          <w:sz w:val="18"/>
          <w:szCs w:val="18"/>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and recorded an additional $1.7 million in Goodwill during the second quarter of 2020 as part of the acquisition of Vaporsens. See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Vaporsens transaction. The carrying value of Goodwill as of June 30, 2020 and December 31, 2019 was $309.0 million and $307.4 million, respectively.</w:t>
      </w:r>
    </w:p>
    <w:p>
      <w:pPr>
        <w:spacing w:after="0" w:line="200" w:lineRule="exact"/>
        <w:rPr>
          <w:sz w:val="20"/>
          <w:szCs w:val="20"/>
          <w:color w:val="auto"/>
        </w:rPr>
      </w:pPr>
    </w:p>
    <w:p>
      <w:pPr>
        <w:spacing w:after="0" w:line="315" w:lineRule="exact"/>
        <w:rPr>
          <w:sz w:val="20"/>
          <w:szCs w:val="20"/>
          <w:color w:val="auto"/>
        </w:rPr>
      </w:pPr>
    </w:p>
    <w:tbl>
      <w:tblPr>
        <w:tblLayout w:type="fixed"/>
        <w:tblInd w:w="3180" w:type="dxa"/>
        <w:tblCellMar>
          <w:top w:w="0" w:type="dxa"/>
          <w:left w:w="0" w:type="dxa"/>
          <w:bottom w:w="0" w:type="dxa"/>
          <w:right w:w="0" w:type="dxa"/>
        </w:tblCellMar>
      </w:tblPr>
      <w:tr>
        <w:trPr>
          <w:trHeight w:val="213"/>
        </w:trPr>
        <w:tc>
          <w:tcPr>
            <w:tcW w:w="3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Carrying Amount</w:t>
            </w:r>
          </w:p>
        </w:tc>
      </w:tr>
      <w:tr>
        <w:trPr>
          <w:trHeight w:val="246"/>
        </w:trPr>
        <w:tc>
          <w:tcPr>
            <w:tcW w:w="346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307,365,845</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1,667,177</w:t>
            </w: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21"/>
                <w:szCs w:val="21"/>
                <w:color w:val="auto"/>
              </w:rPr>
            </w:pP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5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8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309,033,022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was considered in the most recently completed quarter, but did not indicate the need for interim impairment testing.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Gross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37,859,912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(23,591,325)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14,268,587</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Vaporsens Technology License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279,113</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(31,357)</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247,756</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7"/>
        </w:trPr>
        <w:tc>
          <w:tcPr>
            <w:tcW w:w="4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40"/>
              <w:spacing w:after="0" w:line="26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52,000,000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6"/>
        </w:trPr>
        <w:tc>
          <w:tcPr>
            <w:tcW w:w="408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180,000,000</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(101,250,000)</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78,750,000</w:t>
            </w:r>
          </w:p>
        </w:tc>
        <w:tc>
          <w:tcPr>
            <w:tcW w:w="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43,000,000</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(29,025,000)</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50"/>
        </w:trPr>
        <w:tc>
          <w:tcPr>
            <w:tcW w:w="4080" w:type="dxa"/>
            <w:vAlign w:val="bottom"/>
          </w:tcPr>
          <w:p>
            <w:pPr>
              <w:ind w:left="22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96,000,000</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11,000,000</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60" w:type="dxa"/>
            <w:vAlign w:val="bottom"/>
            <w:tcBorders>
              <w:bottom w:val="single" w:sz="8" w:color="auto"/>
            </w:tcBorders>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382,000,000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(130,275,000)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251,725,000</w:t>
            </w:r>
          </w:p>
        </w:tc>
        <w:tc>
          <w:tcPr>
            <w:tcW w:w="6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420,139,025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(153,897,682)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266,241,343</w:t>
            </w:r>
          </w:p>
        </w:tc>
        <w:tc>
          <w:tcPr>
            <w:tcW w:w="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As of December 31, 2019:</w:t>
            </w: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24"/>
                <w:szCs w:val="2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5"/>
        </w:trPr>
        <w:tc>
          <w:tcPr>
            <w:tcW w:w="40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37,328,963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(22,491,010)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14,837,953</w:t>
            </w: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52,000,000</w:t>
            </w:r>
          </w:p>
        </w:tc>
        <w:tc>
          <w:tcPr>
            <w:tcW w:w="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(93,750,000)</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86,250,000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408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3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(26,875,000)</w:t>
            </w:r>
          </w:p>
        </w:tc>
        <w:tc>
          <w:tcPr>
            <w:tcW w:w="24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16,125,000</w:t>
            </w:r>
          </w:p>
        </w:tc>
        <w:tc>
          <w:tcPr>
            <w:tcW w:w="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96,000,000</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371,000,000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(120,625,000)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250,375,000</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408,328,963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(143,116,010)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265,212,953</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Amortization expense on patents and intangible assets was approximately $5.6 million and $11.2 million during the three and six months ended June 30, 2020, compared to approximately $5.6 million and $11.2 million for the same periods ended June 30, 2019.</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ended December 31, 2020 and 2021 to be approximately $22 million annually, for the year ended</w:t>
      </w: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December 31, 2022 to be approximately $21 million, for the year ended December 31, 2023 to be approximately $19 million, and for the year ended December 31, 2024 to be approximately $16 million.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4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2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4"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approximately $8.7 million and $9.0 million as of June 30, 2020 and December 31, 2019, respectively. These investments are classified within Long-Term Investments in the consolidated balance sheet.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2020 and December 31, 2019:</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343,811,484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343,811,484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1,023,558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1,023,558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18,465,053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18,465,053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43,412,712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43,412,712</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4,292,331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4,292,331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2,821,510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2,821,510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Backed Securities</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42,140,999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42,140,999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4,173,150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4,173,150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21,101,912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21,101,912</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617,226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617,226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94,430,839</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94,430,839</w:t>
            </w:r>
          </w:p>
        </w:tc>
        <w:tc>
          <w:tcPr>
            <w:tcW w:w="1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576,290,774</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351,829,702</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224,461,072</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296,321,622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296,321,622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50,099,795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50,099,795</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29,219,685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29,219,685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58,432,823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58,432,823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2,631,750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2,631,750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25,791,029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25,791,029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3,557,798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3,557,798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22,815,998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22,815,998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Governmental Securities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6,088,190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6,088,190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72,638,690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72,638,690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567,597,380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352,610,965</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214,986,415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June 30, 2020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3"/>
        </w:trPr>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37"/>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23,558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1,023,558</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18,328,367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138,975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18,465,053</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43,146,665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266,047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43,412,712</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4,256,184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36,147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4,292,331</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2,821,510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2,821,510</w:t>
            </w: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41,140,592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1,032,218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42,140,999</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4,006,912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166,238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4,173,150</w:t>
            </w:r>
          </w:p>
        </w:tc>
      </w:tr>
      <w:tr>
        <w:trPr>
          <w:trHeight w:val="250"/>
        </w:trPr>
        <w:tc>
          <w:tcPr>
            <w:tcW w:w="33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20,230,114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871,798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21,101,912</w:t>
            </w:r>
          </w:p>
        </w:tc>
      </w:tr>
      <w:tr>
        <w:trPr>
          <w:trHeight w:val="263"/>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614,995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617,226</w:t>
            </w:r>
          </w:p>
        </w:tc>
      </w:tr>
      <w:tr>
        <w:trPr>
          <w:trHeight w:val="250"/>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89,744,967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4,707,257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(21,385)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94,430,839</w:t>
            </w:r>
          </w:p>
        </w:tc>
      </w:tr>
      <w:tr>
        <w:trPr>
          <w:trHeight w:val="281"/>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225,290,306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7,244,469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(55,485)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232,479,290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 Value</w:t>
            </w:r>
          </w:p>
        </w:tc>
      </w:tr>
      <w:tr>
        <w:trPr>
          <w:trHeight w:val="21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50,099,795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50,099,795</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29,025,624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194,061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29,219,685</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58,343,911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99,917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58,432,823</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2,631,750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2,631,750</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25,971,156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25,791,029</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3,557,798</w:t>
            </w:r>
          </w:p>
        </w:tc>
      </w:tr>
      <w:tr>
        <w:trPr>
          <w:trHeight w:val="263"/>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22,306,130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509,868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22,815,998</w:t>
            </w:r>
          </w:p>
        </w:tc>
      </w:tr>
      <w:tr>
        <w:trPr>
          <w:trHeight w:val="250"/>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6,012,705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75,485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6,088,190</w:t>
            </w:r>
          </w:p>
        </w:tc>
      </w:tr>
      <w:tr>
        <w:trPr>
          <w:trHeight w:val="25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71,997,996</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1,036,116</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(395,422)</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72,638,690</w:t>
            </w: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269,889,067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1,974,255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(587,564)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271,275,758</w:t>
            </w:r>
          </w:p>
        </w:tc>
      </w:tr>
      <w:tr>
        <w:trPr>
          <w:trHeight w:val="21"/>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June 30, 2020,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7"/>
                <w:szCs w:val="17"/>
                <w:color w:val="auto"/>
              </w:rPr>
            </w:pP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55,485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18,860,975</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4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w:t>
            </w:r>
          </w:p>
        </w:tc>
      </w:tr>
      <w:tr>
        <w:trPr>
          <w:trHeight w:val="275"/>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55,485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18,860,975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2019,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90,721,081</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8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60" w:type="dxa"/>
            <w:vAlign w:val="bottom"/>
          </w:tcPr>
          <w:p>
            <w:pPr>
              <w:jc w:val="right"/>
              <w:ind w:right="55"/>
              <w:spacing w:after="0"/>
              <w:rPr>
                <w:sz w:val="20"/>
                <w:szCs w:val="20"/>
                <w:color w:val="auto"/>
              </w:rPr>
            </w:pPr>
            <w:r>
              <w:rPr>
                <w:rFonts w:ascii="Arial" w:cs="Arial" w:eastAsia="Arial" w:hAnsi="Arial"/>
                <w:sz w:val="18"/>
                <w:szCs w:val="18"/>
                <w:color w:val="auto"/>
              </w:rPr>
              <w:t>—</w:t>
            </w:r>
          </w:p>
        </w:tc>
      </w:tr>
      <w:tr>
        <w:trPr>
          <w:trHeight w:val="275"/>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587,564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90,721,081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w:t>
      </w:r>
      <w:r>
        <w:rPr>
          <w:rFonts w:ascii="Arial" w:cs="Arial" w:eastAsia="Arial" w:hAnsi="Arial"/>
          <w:sz w:val="18"/>
          <w:szCs w:val="18"/>
          <w:color w:val="auto"/>
        </w:rPr>
        <w:t>s. The guidance modifies the impairment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the amortized cost basis has been recovered.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June 30, 2020 have contractual maturities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67,193,654</w:t>
            </w: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4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46,324,201</w:t>
            </w:r>
          </w:p>
        </w:tc>
      </w:tr>
      <w:tr>
        <w:trPr>
          <w:trHeight w:val="25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116,139,925</w:t>
            </w:r>
          </w:p>
        </w:tc>
      </w:tr>
      <w:tr>
        <w:trPr>
          <w:trHeight w:val="250"/>
        </w:trPr>
        <w:tc>
          <w:tcPr>
            <w:tcW w:w="79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229,657,780</w:t>
            </w:r>
          </w:p>
        </w:tc>
      </w:tr>
      <w:tr>
        <w:trPr>
          <w:trHeight w:val="27"/>
        </w:trPr>
        <w:tc>
          <w:tcPr>
            <w:tcW w:w="7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81915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7"/>
                <w:szCs w:val="17"/>
                <w:color w:val="auto"/>
              </w:rPr>
            </w:pPr>
          </w:p>
        </w:tc>
        <w:tc>
          <w:tcPr>
            <w:tcW w:w="152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179,537,716</w:t>
            </w:r>
          </w:p>
        </w:tc>
        <w:tc>
          <w:tcPr>
            <w:tcW w:w="120" w:type="dxa"/>
            <w:vAlign w:val="bottom"/>
            <w:tcBorders>
              <w:top w:val="single" w:sz="8" w:color="BFE4FF"/>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164,974,553</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560" w:type="dxa"/>
            <w:vAlign w:val="bottom"/>
          </w:tcPr>
          <w:p>
            <w:pPr>
              <w:jc w:val="right"/>
              <w:ind w:right="54"/>
              <w:spacing w:after="0"/>
              <w:rPr>
                <w:sz w:val="20"/>
                <w:szCs w:val="20"/>
                <w:color w:val="auto"/>
              </w:rPr>
            </w:pPr>
            <w:r>
              <w:rPr>
                <w:rFonts w:ascii="Arial" w:cs="Arial" w:eastAsia="Arial" w:hAnsi="Arial"/>
                <w:sz w:val="18"/>
                <w:szCs w:val="18"/>
                <w:color w:val="auto"/>
              </w:rPr>
              <w:t>34,708,883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33,069,255</w:t>
            </w:r>
          </w:p>
        </w:tc>
      </w:tr>
      <w:tr>
        <w:trPr>
          <w:trHeight w:val="26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45,481,590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50,898,047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259,728,189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248,941,855</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(loss) per share is computed by dividing net income allocated to common shareholders by the weighted average number of common shares outstanding for the period. In applying the two-class method, net income (loss) is allocated to both common shares and participating securities based on their respective weighted average shares outstanding for the period. For a period of net loss, net loss is not allocated to participating securities.</w:t>
      </w:r>
    </w:p>
    <w:p>
      <w:pPr>
        <w:spacing w:after="0" w:line="234"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(loss) per common share under the two-class method for the three and six months ended June 30, 2020 and June 30, 2019, respectively:</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(2,374,033)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108,958,625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87,131,768</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213,239,036</w:t>
            </w: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Dividends and undistributed</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earnings allocated to participating</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439,327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1,256,243</w:t>
            </w:r>
          </w:p>
        </w:tc>
        <w:tc>
          <w:tcPr>
            <w:tcW w:w="5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1,245,275</w:t>
            </w:r>
          </w:p>
        </w:tc>
        <w:tc>
          <w:tcPr>
            <w:tcW w:w="2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2,348,020</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8"/>
                <w:szCs w:val="18"/>
                <w:color w:val="auto"/>
              </w:rPr>
              <w:t>Net (Loss) Income available to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(2,813,360)</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107,702,382</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52"/>
              <w:spacing w:after="0"/>
              <w:rPr>
                <w:sz w:val="20"/>
                <w:szCs w:val="20"/>
                <w:color w:val="auto"/>
              </w:rPr>
            </w:pPr>
            <w:r>
              <w:rPr>
                <w:rFonts w:ascii="Arial" w:cs="Arial" w:eastAsia="Arial" w:hAnsi="Arial"/>
                <w:sz w:val="18"/>
                <w:szCs w:val="18"/>
                <w:color w:val="auto"/>
              </w:rPr>
              <w:t>85,886,493</w:t>
            </w:r>
          </w:p>
        </w:tc>
        <w:tc>
          <w:tcPr>
            <w:tcW w:w="2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1"/>
              <w:spacing w:after="0"/>
              <w:rPr>
                <w:sz w:val="20"/>
                <w:szCs w:val="20"/>
                <w:color w:val="auto"/>
              </w:rPr>
            </w:pPr>
            <w:r>
              <w:rPr>
                <w:rFonts w:ascii="Arial" w:cs="Arial" w:eastAsia="Arial" w:hAnsi="Arial"/>
                <w:sz w:val="18"/>
                <w:szCs w:val="18"/>
                <w:color w:val="auto"/>
              </w:rPr>
              <w:t>210,891,016</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3" w:lineRule="exact"/>
              <w:rPr>
                <w:sz w:val="20"/>
                <w:szCs w:val="20"/>
                <w:color w:val="auto"/>
              </w:rPr>
            </w:pPr>
            <w:r>
              <w:rPr>
                <w:rFonts w:ascii="Arial" w:cs="Arial" w:eastAsia="Arial" w:hAnsi="Arial"/>
                <w:sz w:val="18"/>
                <w:szCs w:val="18"/>
                <w:color w:val="auto"/>
              </w:rPr>
              <w:t>shareholders</w:t>
            </w: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241,684,323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255,219,868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243,983,276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256,350,600</w:t>
            </w: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per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94"/>
        </w:trPr>
        <w:tc>
          <w:tcPr>
            <w:tcW w:w="3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Allocation of Net (Loss) Income used in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20"/>
              <w:spacing w:after="0"/>
              <w:rPr>
                <w:sz w:val="20"/>
                <w:szCs w:val="20"/>
                <w:color w:val="auto"/>
              </w:rPr>
            </w:pPr>
            <w:r>
              <w:rPr>
                <w:rFonts w:ascii="Arial" w:cs="Arial" w:eastAsia="Arial" w:hAnsi="Arial"/>
                <w:sz w:val="18"/>
                <w:szCs w:val="18"/>
                <w:color w:val="auto"/>
              </w:rPr>
              <w:t>basic computation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(2,813,360)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107,702,382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   $</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85,886,493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210,891,016</w:t>
            </w: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Reallocation of undistributed earnings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4,848</w:t>
            </w:r>
          </w:p>
        </w:tc>
        <w:tc>
          <w:tcPr>
            <w:tcW w:w="5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8"/>
                <w:szCs w:val="18"/>
                <w:color w:val="auto"/>
              </w:rPr>
              <w:t>Net (Loss) Income available to common</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20"/>
              <w:spacing w:after="0"/>
              <w:rPr>
                <w:sz w:val="20"/>
                <w:szCs w:val="20"/>
                <w:color w:val="auto"/>
              </w:rPr>
            </w:pPr>
            <w:r>
              <w:rPr>
                <w:rFonts w:ascii="Arial" w:cs="Arial" w:eastAsia="Arial" w:hAnsi="Arial"/>
                <w:sz w:val="18"/>
                <w:szCs w:val="18"/>
                <w:color w:val="auto"/>
              </w:rPr>
              <w:t>shareholders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(2,813,360)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107,707,230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85,888,190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210,899,858</w:t>
            </w:r>
          </w:p>
        </w:tc>
        <w:tc>
          <w:tcPr>
            <w:tcW w:w="0" w:type="dxa"/>
            <w:vAlign w:val="bottom"/>
          </w:tcPr>
          <w:p>
            <w:pPr>
              <w:spacing w:after="0"/>
              <w:rPr>
                <w:sz w:val="1"/>
                <w:szCs w:val="1"/>
                <w:color w:val="auto"/>
              </w:rPr>
            </w:pPr>
          </w:p>
        </w:tc>
      </w:tr>
      <w:tr>
        <w:trPr>
          <w:trHeight w:val="101"/>
        </w:trPr>
        <w:tc>
          <w:tcPr>
            <w:tcW w:w="3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Number of shares used in basic</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220"/>
              <w:spacing w:after="0"/>
              <w:rPr>
                <w:sz w:val="20"/>
                <w:szCs w:val="20"/>
                <w:color w:val="auto"/>
              </w:rPr>
            </w:pPr>
            <w:r>
              <w:rPr>
                <w:rFonts w:ascii="Arial" w:cs="Arial" w:eastAsia="Arial" w:hAnsi="Arial"/>
                <w:sz w:val="18"/>
                <w:szCs w:val="18"/>
                <w:color w:val="auto"/>
              </w:rPr>
              <w:t>computation</w:t>
            </w: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241,684,323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255,219,868</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243,983,276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256,350,600</w:t>
            </w: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weighted average dilutive</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equivalents</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1,359,753</w:t>
            </w:r>
          </w:p>
        </w:tc>
        <w:tc>
          <w:tcPr>
            <w:tcW w:w="5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1,085,380</w:t>
            </w:r>
          </w:p>
        </w:tc>
        <w:tc>
          <w:tcPr>
            <w:tcW w:w="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1,344,285</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Pr>
          <w:p>
            <w:pPr>
              <w:spacing w:after="0"/>
              <w:rPr>
                <w:sz w:val="18"/>
                <w:szCs w:val="18"/>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8"/>
                <w:szCs w:val="18"/>
                <w:color w:val="auto"/>
              </w:rPr>
              <w:t>241,684,323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FAAC16"/>
              </w:rPr>
              <w:t>0</w:t>
            </w:r>
          </w:p>
        </w:tc>
        <w:tc>
          <w:tcPr>
            <w:tcW w:w="180" w:type="dxa"/>
            <w:vAlign w:val="bottom"/>
          </w:tcPr>
          <w:p>
            <w:pPr>
              <w:spacing w:after="0"/>
              <w:rPr>
                <w:sz w:val="18"/>
                <w:szCs w:val="18"/>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256,579,621</w:t>
            </w: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8"/>
                <w:szCs w:val="18"/>
                <w:color w:val="auto"/>
              </w:rPr>
              <w:t>245,068,656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restart"/>
          </w:tcPr>
          <w:p>
            <w:pPr>
              <w:jc w:val="right"/>
              <w:ind w:right="51"/>
              <w:spacing w:after="0"/>
              <w:rPr>
                <w:sz w:val="20"/>
                <w:szCs w:val="20"/>
                <w:color w:val="auto"/>
              </w:rPr>
            </w:pPr>
            <w:r>
              <w:rPr>
                <w:rFonts w:ascii="Arial" w:cs="Arial" w:eastAsia="Arial" w:hAnsi="Arial"/>
                <w:sz w:val="18"/>
                <w:szCs w:val="18"/>
                <w:color w:val="auto"/>
              </w:rPr>
              <w:t>257,694,885</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line="203" w:lineRule="exact"/>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Arial" w:cs="Arial" w:eastAsia="Arial" w:hAnsi="Arial"/>
                <w:sz w:val="18"/>
                <w:szCs w:val="18"/>
                <w:color w:val="auto"/>
              </w:rPr>
              <w:t>Net (Loss)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55"/>
        </w:trPr>
        <w:tc>
          <w:tcPr>
            <w:tcW w:w="3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diluted average common shares outstanding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1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1,636,661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1,013,332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428,948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1,011,948</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June 30, 2020,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2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including those made to non-officers in the first quarter of 2019, remain outstanding in accordance with their terms and are governed by the Prior Plans as applicable.</w:t>
      </w:r>
    </w:p>
    <w:p>
      <w:pPr>
        <w:spacing w:after="0" w:line="138"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2019, for additional information related to the Prior Plans.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Company recognized total compensation expense for share-based payments of $9,641,353 and $15,960,362 for three and six months ended June 30, 2020, respectively, which included approximately $4,173,710 in severance expense during the second quarter 2020. The Company recognized compensation expense for share-based payments of $5,200,045 and $9,986,839 for the three and six months ended June 30, 2019, respectively. A portion of the compensation cost for share based payment awards is capitalized as part of inventory.</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74"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2019 Omnibus Incentive Plan covers 45,000,000 shares of common stock. The purpose of the 2019 Omnibus Incentive Plan is to attract and retain employees, officers, and directors of the Company and its subsidiaries and to motivate and provide such persons incentives and rewards for performance. As of June 30, 2020, 8,458,942 shares (net of shares from canceled/expired options) have been issued under the 2019 Omnibus Plan, which includes stock options (at a set conversion rate), restricted shares, and performance share awards.</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2020, there was $6,882,606 of unearned compensation cost associated with stock options granted under the 2019 Omnibus Incentive Plan and the Employee Stock Option Plan, which is expected to be recognized over the remaining vesting periods.</w:t>
      </w:r>
    </w:p>
    <w:p>
      <w:pPr>
        <w:spacing w:after="0" w:line="123" w:lineRule="exact"/>
        <w:rPr>
          <w:sz w:val="20"/>
          <w:szCs w:val="20"/>
          <w:color w:val="auto"/>
        </w:rPr>
      </w:pPr>
    </w:p>
    <w:p>
      <w:pPr>
        <w:ind w:left="4" w:right="740"/>
        <w:spacing w:after="0" w:line="261"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ectPr>
          <w:pgSz w:w="11900" w:h="16838" w:orient="portrait"/>
          <w:cols w:equalWidth="0" w:num="1">
            <w:col w:w="10584"/>
          </w:cols>
          <w:pgMar w:left="976"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ind w:left="24"/>
        <w:spacing w:after="0" w:line="232" w:lineRule="auto"/>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ind w:left="24"/>
        <w:spacing w:after="0" w:line="233"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spacing w:after="0" w:line="1" w:lineRule="exact"/>
        <w:rPr>
          <w:sz w:val="20"/>
          <w:szCs w:val="20"/>
          <w:color w:val="auto"/>
        </w:rPr>
      </w:pPr>
    </w:p>
    <w:p>
      <w:pPr>
        <w:ind w:left="24" w:right="40"/>
        <w:spacing w:after="0" w:line="238"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Weighted-avg. grant date fair value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28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43"/>
        </w:trPr>
        <w:tc>
          <w:tcPr>
            <w:tcW w:w="154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56"/>
        </w:trPr>
        <w:tc>
          <w:tcPr>
            <w:tcW w:w="1540" w:type="dxa"/>
            <w:vAlign w:val="bottom"/>
          </w:tcPr>
          <w:p>
            <w:pPr>
              <w:jc w:val="right"/>
              <w:spacing w:after="0"/>
              <w:rPr>
                <w:sz w:val="20"/>
                <w:szCs w:val="20"/>
                <w:color w:val="auto"/>
              </w:rPr>
            </w:pPr>
            <w:r>
              <w:rPr>
                <w:rFonts w:ascii="Arial" w:cs="Arial" w:eastAsia="Arial" w:hAnsi="Arial"/>
                <w:sz w:val="18"/>
                <w:szCs w:val="18"/>
                <w:color w:val="auto"/>
              </w:rPr>
              <w:t>27.91 %</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23.71 %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27.21 %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23.64 %</w:t>
            </w:r>
          </w:p>
        </w:tc>
      </w:tr>
      <w:tr>
        <w:trPr>
          <w:trHeight w:val="257"/>
        </w:trPr>
        <w:tc>
          <w:tcPr>
            <w:tcW w:w="1540" w:type="dxa"/>
            <w:vAlign w:val="bottom"/>
          </w:tcPr>
          <w:p>
            <w:pPr>
              <w:jc w:val="right"/>
              <w:spacing w:after="0"/>
              <w:rPr>
                <w:sz w:val="20"/>
                <w:szCs w:val="20"/>
                <w:color w:val="auto"/>
              </w:rPr>
            </w:pPr>
            <w:r>
              <w:rPr>
                <w:rFonts w:ascii="Arial" w:cs="Arial" w:eastAsia="Arial" w:hAnsi="Arial"/>
                <w:sz w:val="18"/>
                <w:szCs w:val="18"/>
                <w:color w:val="auto"/>
              </w:rPr>
              <w:t>0.29 %</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0.33 %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56"/>
        </w:trPr>
        <w:tc>
          <w:tcPr>
            <w:tcW w:w="15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57"/>
        </w:trPr>
        <w:tc>
          <w:tcPr>
            <w:tcW w:w="15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-814070</wp:posOffset>
            </wp:positionV>
            <wp:extent cx="63607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60795" cy="17145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-479425</wp:posOffset>
            </wp:positionV>
            <wp:extent cx="63607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60795" cy="16319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-153670</wp:posOffset>
            </wp:positionV>
            <wp:extent cx="63607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60795" cy="16319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864" w:space="720"/>
            <w:col w:w="7000"/>
          </w:cols>
          <w:pgMar w:left="976" w:top="360" w:right="339" w:bottom="1440" w:gutter="0" w:footer="0" w:header="0"/>
          <w:type w:val="continuous"/>
        </w:sectPr>
      </w:pPr>
    </w:p>
    <w:p>
      <w:pPr>
        <w:ind w:left="324" w:hanging="324"/>
        <w:spacing w:after="0"/>
        <w:tabs>
          <w:tab w:leader="none" w:pos="32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04"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1"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2020, the Company had unearned stock-based compensation of $43,352,020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and six months ended June 30, 2020 was $ 7,580,492 and $11,905,749, respectively, which included $ 4,148,477 of severance related expense for the second quarter of 2020. Amortization expense from restricted stock grants for the three and six months ended June 30, 2019 was $3,274,411 and $6,046,175, respectively.</w:t>
      </w:r>
    </w:p>
    <w:p>
      <w:pPr>
        <w:sectPr>
          <w:pgSz w:w="11900" w:h="16838" w:orient="portrait"/>
          <w:cols w:equalWidth="0" w:num="1">
            <w:col w:w="10584"/>
          </w:cols>
          <w:pgMar w:left="976"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of June 30, 2020, the Company had unearned stock-based compensation of $4,932,401 associated with these performance share grants. The unearned stock-based compensation related to these grants is being amortized to compensation expense over the applicable performance periods. Amortization expense from performance share grants in the three and six months ended June 30, 2020 was $563,783 and $957,560, respectively. No amortization expense for performance share grants was incurred in 2019, as no such awards were issued and outstanding.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7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June 30, 2020, the Company has issued 1,269,603 shares under this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229"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3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5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2"/>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2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(3,076,679)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(1,375,888)</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(2,384,589)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(1,674,887)</w:t>
            </w:r>
          </w:p>
        </w:tc>
        <w:tc>
          <w:tcPr>
            <w:tcW w:w="0" w:type="dxa"/>
            <w:vAlign w:val="bottom"/>
          </w:tcPr>
          <w:p>
            <w:pPr>
              <w:spacing w:after="0"/>
              <w:rPr>
                <w:sz w:val="1"/>
                <w:szCs w:val="1"/>
                <w:color w:val="auto"/>
              </w:rPr>
            </w:pPr>
          </w:p>
        </w:tc>
      </w:tr>
      <w:tr>
        <w:trPr>
          <w:trHeight w:val="263"/>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136,627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(475,686)</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(555,463)</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(176,687)</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136,627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(475,686)</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(555,463)</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(176,687)</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(2,940,052)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(1,851,574)</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(2,940,052)</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(1,851,574)</w:t>
            </w: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rPr>
                <w:sz w:val="22"/>
                <w:szCs w:val="22"/>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3,291,473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1,100,154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1,095,486</w:t>
            </w:r>
          </w:p>
        </w:tc>
        <w:tc>
          <w:tcPr>
            <w:tcW w:w="2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74,549</w:t>
            </w:r>
          </w:p>
        </w:tc>
        <w:tc>
          <w:tcPr>
            <w:tcW w:w="0" w:type="dxa"/>
            <w:vAlign w:val="bottom"/>
          </w:tcPr>
          <w:p>
            <w:pPr>
              <w:spacing w:after="0"/>
              <w:rPr>
                <w:sz w:val="1"/>
                <w:szCs w:val="1"/>
                <w:color w:val="auto"/>
              </w:rPr>
            </w:pPr>
          </w:p>
        </w:tc>
      </w:tr>
      <w:tr>
        <w:trPr>
          <w:trHeight w:val="256"/>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3,109,755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1,353,661</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5,334,951</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2,449,241</w:t>
            </w:r>
          </w:p>
        </w:tc>
        <w:tc>
          <w:tcPr>
            <w:tcW w:w="0" w:type="dxa"/>
            <w:vAlign w:val="bottom"/>
          </w:tcPr>
          <w:p>
            <w:pPr>
              <w:spacing w:after="0"/>
              <w:rPr>
                <w:sz w:val="1"/>
                <w:szCs w:val="1"/>
                <w:color w:val="auto"/>
              </w:rPr>
            </w:pPr>
          </w:p>
        </w:tc>
      </w:tr>
      <w:tr>
        <w:trPr>
          <w:trHeight w:val="188"/>
        </w:trPr>
        <w:tc>
          <w:tcPr>
            <w:tcW w:w="5220" w:type="dxa"/>
            <w:vAlign w:val="bottom"/>
          </w:tcPr>
          <w:p>
            <w:pPr>
              <w:ind w:left="24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1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(721,932)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(103,020)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(751,141)</w:t>
            </w:r>
          </w:p>
        </w:tc>
        <w:tc>
          <w:tcPr>
            <w:tcW w:w="220" w:type="dxa"/>
            <w:vAlign w:val="bottom"/>
          </w:tcPr>
          <w:p>
            <w:pPr>
              <w:spacing w:after="0"/>
              <w:rPr>
                <w:sz w:val="16"/>
                <w:szCs w:val="16"/>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(172,995)</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2,387,823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1,250,641</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4,583,810</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2,276,246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5,679,296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2,350,795</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5,679,296</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2,350,795</w:t>
            </w:r>
          </w:p>
        </w:tc>
        <w:tc>
          <w:tcPr>
            <w:tcW w:w="0" w:type="dxa"/>
            <w:vAlign w:val="bottom"/>
          </w:tcPr>
          <w:p>
            <w:pPr>
              <w:spacing w:after="0"/>
              <w:rPr>
                <w:sz w:val="1"/>
                <w:szCs w:val="1"/>
                <w:color w:val="auto"/>
              </w:rPr>
            </w:pPr>
          </w:p>
        </w:tc>
      </w:tr>
      <w:tr>
        <w:trPr>
          <w:trHeight w:val="88"/>
        </w:trPr>
        <w:tc>
          <w:tcPr>
            <w:tcW w:w="5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2,739,244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499,221</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2,739,244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499,221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six months ended June 30, 2020 and 2019.</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r>
      <w:tr>
        <w:trPr>
          <w:trHeight w:val="189"/>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3840" w:type="dxa"/>
            <w:vAlign w:val="bottom"/>
            <w:gridSpan w:val="9"/>
          </w:tcPr>
          <w:p>
            <w:pPr>
              <w:jc w:val="right"/>
              <w:ind w:right="559"/>
              <w:spacing w:after="0"/>
              <w:rPr>
                <w:sz w:val="20"/>
                <w:szCs w:val="20"/>
                <w:color w:val="auto"/>
              </w:rPr>
            </w:pPr>
            <w:r>
              <w:rPr>
                <w:rFonts w:ascii="Arial" w:cs="Arial" w:eastAsia="Arial" w:hAnsi="Arial"/>
                <w:sz w:val="16"/>
                <w:szCs w:val="16"/>
                <w:b w:val="1"/>
                <w:bCs w:val="1"/>
                <w:color w:val="auto"/>
              </w:rPr>
              <w:t>Amounts Reclassified from Other</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Statement of Consolidated</w:t>
            </w:r>
          </w:p>
        </w:tc>
      </w:tr>
      <w:tr>
        <w:trPr>
          <w:trHeight w:val="228"/>
        </w:trPr>
        <w:tc>
          <w:tcPr>
            <w:tcW w:w="4020" w:type="dxa"/>
            <w:vAlign w:val="bottom"/>
            <w:gridSpan w:val="2"/>
          </w:tcPr>
          <w:p>
            <w:pPr>
              <w:ind w:left="1160"/>
              <w:spacing w:after="0"/>
              <w:rPr>
                <w:sz w:val="20"/>
                <w:szCs w:val="20"/>
                <w:color w:val="auto"/>
              </w:rPr>
            </w:pPr>
            <w:r>
              <w:rPr>
                <w:rFonts w:ascii="Arial" w:cs="Arial" w:eastAsia="Arial" w:hAnsi="Arial"/>
                <w:sz w:val="16"/>
                <w:szCs w:val="16"/>
                <w:b w:val="1"/>
                <w:bCs w:val="1"/>
                <w:color w:val="auto"/>
              </w:rPr>
              <w:t>Income Components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Income</w:t>
            </w:r>
          </w:p>
        </w:tc>
      </w:tr>
      <w:tr>
        <w:trPr>
          <w:trHeight w:val="203"/>
        </w:trPr>
        <w:tc>
          <w:tcPr>
            <w:tcW w:w="3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900" w:type="dxa"/>
            <w:vAlign w:val="bottom"/>
            <w:tcBorders>
              <w:top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w:t>
            </w:r>
          </w:p>
        </w:tc>
        <w:tc>
          <w:tcPr>
            <w:tcW w:w="10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r>
      <w:tr>
        <w:trPr>
          <w:trHeight w:val="189"/>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96"/>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820" w:type="dxa"/>
            <w:vAlign w:val="bottom"/>
          </w:tcPr>
          <w:p>
            <w:pPr>
              <w:jc w:val="right"/>
              <w:ind w:right="143"/>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5"/>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w:t>
            </w: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229"/>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Realized gain on sale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4"/>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of securities</w:t>
            </w:r>
          </w:p>
        </w:tc>
        <w:tc>
          <w:tcPr>
            <w:tcW w:w="800" w:type="dxa"/>
            <w:vAlign w:val="bottom"/>
          </w:tcPr>
          <w:p>
            <w:pPr>
              <w:ind w:left="20"/>
              <w:spacing w:after="0"/>
              <w:rPr>
                <w:sz w:val="20"/>
                <w:szCs w:val="20"/>
                <w:color w:val="auto"/>
              </w:rPr>
            </w:pPr>
            <w:r>
              <w:rPr>
                <w:rFonts w:ascii="Arial" w:cs="Arial" w:eastAsia="Arial" w:hAnsi="Arial"/>
                <w:sz w:val="16"/>
                <w:szCs w:val="16"/>
                <w:color w:val="auto"/>
              </w:rPr>
              <w:t>$ 913,838</w:t>
            </w: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$ 130,405</w:t>
            </w:r>
          </w:p>
        </w:tc>
        <w:tc>
          <w:tcPr>
            <w:tcW w:w="10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$ 950,812</w:t>
            </w:r>
          </w:p>
        </w:tc>
        <w:tc>
          <w:tcPr>
            <w:tcW w:w="1080" w:type="dxa"/>
            <w:vAlign w:val="bottom"/>
            <w:gridSpan w:val="3"/>
          </w:tcPr>
          <w:p>
            <w:pPr>
              <w:jc w:val="right"/>
              <w:ind w:right="59"/>
              <w:spacing w:after="0"/>
              <w:rPr>
                <w:sz w:val="20"/>
                <w:szCs w:val="20"/>
                <w:color w:val="auto"/>
              </w:rPr>
            </w:pPr>
            <w:r>
              <w:rPr>
                <w:rFonts w:ascii="Arial" w:cs="Arial" w:eastAsia="Arial" w:hAnsi="Arial"/>
                <w:sz w:val="16"/>
                <w:szCs w:val="16"/>
                <w:color w:val="auto"/>
              </w:rPr>
              <w:t>$ 218,981</w:t>
            </w:r>
          </w:p>
        </w:tc>
        <w:tc>
          <w:tcPr>
            <w:tcW w:w="1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Investment income</w:t>
            </w:r>
          </w:p>
        </w:tc>
      </w:tr>
      <w:tr>
        <w:trPr>
          <w:trHeight w:val="257"/>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(191,906)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(27,385)</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(199,671)</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(45,986)</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800" w:type="dxa"/>
            <w:vAlign w:val="bottom"/>
          </w:tcPr>
          <w:p>
            <w:pPr>
              <w:ind w:left="20"/>
              <w:spacing w:after="0"/>
              <w:rPr>
                <w:sz w:val="20"/>
                <w:szCs w:val="20"/>
                <w:color w:val="auto"/>
              </w:rPr>
            </w:pPr>
            <w:r>
              <w:rPr>
                <w:rFonts w:ascii="Arial" w:cs="Arial" w:eastAsia="Arial" w:hAnsi="Arial"/>
                <w:sz w:val="16"/>
                <w:szCs w:val="16"/>
                <w:color w:val="auto"/>
              </w:rPr>
              <w:t>$ 721,932</w:t>
            </w: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$ 103,020</w:t>
            </w:r>
          </w:p>
        </w:tc>
        <w:tc>
          <w:tcPr>
            <w:tcW w:w="10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$ 751,141</w:t>
            </w:r>
          </w:p>
        </w:tc>
        <w:tc>
          <w:tcPr>
            <w:tcW w:w="1080" w:type="dxa"/>
            <w:vAlign w:val="bottom"/>
            <w:gridSpan w:val="3"/>
          </w:tcPr>
          <w:p>
            <w:pPr>
              <w:jc w:val="right"/>
              <w:ind w:right="59"/>
              <w:spacing w:after="0"/>
              <w:rPr>
                <w:sz w:val="20"/>
                <w:szCs w:val="20"/>
                <w:color w:val="auto"/>
              </w:rPr>
            </w:pPr>
            <w:r>
              <w:rPr>
                <w:rFonts w:ascii="Arial" w:cs="Arial" w:eastAsia="Arial" w:hAnsi="Arial"/>
                <w:sz w:val="16"/>
                <w:szCs w:val="16"/>
                <w:color w:val="auto"/>
              </w:rPr>
              <w:t>$ 172,995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w:t>
      </w:r>
    </w:p>
    <w:p>
      <w:pPr>
        <w:spacing w:after="0" w:line="23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June 30, 2020, there was an outstanding balance of $75 million on the Revolver. In the next twelve months, the Company has the ability and intent to repay the full outstanding balance using cash; therefore, this balance has been classified as a current liability. The Revolver expires on October 15, 2023.</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6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As of June 30, 2020, the borrowing rate on its Revolver is derived from the one month LIBOR, and based on the Company's leverage ratio as of June 30, 2020, the interest rate on its borrowings is equal to 1.06%. During the three and six months ended June 30, 2020, interest expense was $0.3 million and $0.4 million respectively, which was recorded with the "Other income (loss), net" section of the </w:t>
      </w:r>
      <w:hyperlink w:anchor="page3">
        <w:r>
          <w:rPr>
            <w:rFonts w:ascii="Arial" w:cs="Arial" w:eastAsia="Arial" w:hAnsi="Arial"/>
            <w:sz w:val="18"/>
            <w:szCs w:val="18"/>
            <w:u w:val="single" w:color="auto"/>
            <w:color w:val="auto"/>
          </w:rPr>
          <w:t>Unaudited Consolidated Statements of Income</w:t>
        </w:r>
      </w:hyperlink>
      <w:r>
        <w:rPr>
          <w:rFonts w:ascii="Arial" w:cs="Arial" w:eastAsia="Arial" w:hAnsi="Arial"/>
          <w:sz w:val="18"/>
          <w:szCs w:val="18"/>
          <w:color w:val="auto"/>
        </w:rPr>
        <w:t>. Based on loan balances as of June 30, 2020, a one percent increase in the Company's borrowing rate would increase net interest expense paid by the Company on its borrowings by approximately $0.8 million dollars on an annual basis.</w:t>
      </w:r>
    </w:p>
    <w:p>
      <w:pPr>
        <w:spacing w:after="0" w:line="23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the Company is in compliance with its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52" w:lineRule="exact"/>
        <w:rPr>
          <w:sz w:val="20"/>
          <w:szCs w:val="20"/>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decrease in common stock during the six months ended June 30, 2020, was primarily due to the repurchases of 7.0 million shares, partially offset by the issuance of 1.4 million shares of the Company’s common stock under the Company’s stock-based compensation plans and the issuance of 0.1 million shares of the Company's common stock as part of the acquisition of Vaporsens (see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The total net decrease was 5.5 million shares.</w:t>
      </w:r>
    </w:p>
    <w:p>
      <w:pPr>
        <w:spacing w:after="0" w:line="23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2020. As such, the Company recorded a cash dividend of $ 0.120 per share during the second quarter of 2020 as compared to a cash dividend of $0.115 per share during the second quarter of 2019. The second quarter 2020 dividend of $29.5 million was declared on June 9, 2020, and was paid on July 22, 2020.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Segment Reporting</w:t>
      </w:r>
    </w:p>
    <w:p>
      <w:pPr>
        <w:spacing w:after="0" w:line="252" w:lineRule="exact"/>
        <w:rPr>
          <w:sz w:val="20"/>
          <w:szCs w:val="20"/>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During the second quarter of 2020, the Company also acquired Vaporsens, which specializes in nanofiber chemical sensing research and development, which was also combined in the "Other" segment, as shown below. Further information in regards to the Vaporsens transaction is included in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310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0"/>
        </w:trPr>
        <w:tc>
          <w:tcPr>
            <w:tcW w:w="254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222,067,846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456,625,064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661,923,434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912,423,707</w:t>
            </w:r>
          </w:p>
        </w:tc>
      </w:tr>
      <w:tr>
        <w:trPr>
          <w:trHeight w:val="257"/>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7,857,710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12,086,290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21,763,847</w:t>
            </w:r>
          </w:p>
        </w:tc>
        <w:tc>
          <w:tcPr>
            <w:tcW w:w="4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24,876,644</w:t>
            </w:r>
          </w:p>
        </w:tc>
      </w:tr>
      <w:tr>
        <w:trPr>
          <w:trHeight w:val="257"/>
        </w:trPr>
        <w:tc>
          <w:tcPr>
            <w:tcW w:w="25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229,925,556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468,711,354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683,687,281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937,300,351</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0"/>
        </w:trPr>
        <w:tc>
          <w:tcPr>
            <w:tcW w:w="254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(6,054,235)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124,295,223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94,721,308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241,247,925</w:t>
            </w:r>
          </w:p>
        </w:tc>
      </w:tr>
      <w:tr>
        <w:trPr>
          <w:trHeight w:val="257"/>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(684,021)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3,609,743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3,567,602</w:t>
            </w:r>
          </w:p>
        </w:tc>
        <w:tc>
          <w:tcPr>
            <w:tcW w:w="4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8,253,373</w:t>
            </w:r>
          </w:p>
        </w:tc>
      </w:tr>
      <w:tr>
        <w:trPr>
          <w:trHeight w:val="257"/>
        </w:trPr>
        <w:tc>
          <w:tcPr>
            <w:tcW w:w="25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(6,738,256)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127,904,966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98,288,910</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249,501,298</w:t>
            </w:r>
          </w:p>
        </w:tc>
      </w:tr>
      <w:tr>
        <w:trPr>
          <w:trHeight w:val="20"/>
        </w:trPr>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58" w:lineRule="exact"/>
        <w:rPr>
          <w:sz w:val="20"/>
          <w:szCs w:val="20"/>
          <w:color w:val="auto"/>
        </w:rPr>
      </w:pPr>
    </w:p>
    <w:p>
      <w:pPr>
        <w:jc w:val="both"/>
        <w:ind w:left="660"/>
        <w:spacing w:after="0" w:line="223" w:lineRule="exact"/>
        <w:rPr>
          <w:sz w:val="20"/>
          <w:szCs w:val="20"/>
          <w:color w:val="auto"/>
        </w:rPr>
      </w:pPr>
      <w:r>
        <w:rPr>
          <w:rFonts w:ascii="Arial" w:cs="Arial" w:eastAsia="Arial" w:hAnsi="Arial"/>
          <w:sz w:val="18"/>
          <w:szCs w:val="18"/>
          <w:color w:val="auto"/>
        </w:rPr>
        <w:t xml:space="preserve">The effective tax rate was 15.7% in the six months ended June 30, 2020 compared to 16.4% for the same period in 2019. Generally, effective tax rates for these periods differ from statutory federal income tax rates, due to provisions for state and local income taxes, permanent tax differences, and the foreign-derived intangible income tax deduction and research and development tax credits. </w:t>
      </w:r>
      <w:r>
        <w:rPr>
          <w:rFonts w:ascii="MS PGothic" w:cs="MS PGothic" w:eastAsia="MS PGothic" w:hAnsi="MS PGothic"/>
          <w:sz w:val="18"/>
          <w:szCs w:val="18"/>
          <w:color w:val="auto"/>
        </w:rPr>
        <w:t> </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six month periods ended June 30, 2020 and June 30, 2019:</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w:t>
            </w:r>
          </w:p>
        </w:tc>
      </w:tr>
      <w:tr>
        <w:trPr>
          <w:trHeight w:val="202"/>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7"/>
                <w:szCs w:val="17"/>
                <w:color w:val="auto"/>
              </w:rPr>
            </w:pPr>
          </w:p>
        </w:tc>
        <w:tc>
          <w:tcPr>
            <w:tcW w:w="164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 2019</w:t>
            </w:r>
          </w:p>
        </w:tc>
        <w:tc>
          <w:tcPr>
            <w:tcW w:w="380" w:type="dxa"/>
            <w:vAlign w:val="bottom"/>
          </w:tcPr>
          <w:p>
            <w:pPr>
              <w:spacing w:after="0"/>
              <w:rPr>
                <w:sz w:val="17"/>
                <w:szCs w:val="17"/>
                <w:color w:val="auto"/>
              </w:rPr>
            </w:pPr>
          </w:p>
        </w:tc>
        <w:tc>
          <w:tcPr>
            <w:tcW w:w="1420" w:type="dxa"/>
            <w:vAlign w:val="bottom"/>
          </w:tcPr>
          <w:p>
            <w:pPr>
              <w:jc w:val="right"/>
              <w:ind w:right="532"/>
              <w:spacing w:after="0"/>
              <w:rPr>
                <w:sz w:val="20"/>
                <w:szCs w:val="20"/>
                <w:color w:val="auto"/>
              </w:rPr>
            </w:pPr>
            <w:r>
              <w:rPr>
                <w:rFonts w:ascii="Arial" w:cs="Arial" w:eastAsia="Arial" w:hAnsi="Arial"/>
                <w:sz w:val="14"/>
                <w:szCs w:val="14"/>
                <w:b w:val="1"/>
                <w:bCs w:val="1"/>
                <w:color w:val="auto"/>
              </w:rPr>
              <w:t>30, 2020</w:t>
            </w:r>
          </w:p>
        </w:tc>
        <w:tc>
          <w:tcPr>
            <w:tcW w:w="380" w:type="dxa"/>
            <w:vAlign w:val="bottom"/>
          </w:tcPr>
          <w:p>
            <w:pPr>
              <w:spacing w:after="0"/>
              <w:rPr>
                <w:sz w:val="17"/>
                <w:szCs w:val="17"/>
                <w:color w:val="auto"/>
              </w:rPr>
            </w:pPr>
          </w:p>
        </w:tc>
        <w:tc>
          <w:tcPr>
            <w:tcW w:w="1420" w:type="dxa"/>
            <w:vAlign w:val="bottom"/>
          </w:tcPr>
          <w:p>
            <w:pPr>
              <w:jc w:val="right"/>
              <w:ind w:right="532"/>
              <w:spacing w:after="0"/>
              <w:rPr>
                <w:sz w:val="20"/>
                <w:szCs w:val="20"/>
                <w:color w:val="auto"/>
              </w:rPr>
            </w:pPr>
            <w:r>
              <w:rPr>
                <w:rFonts w:ascii="Arial" w:cs="Arial" w:eastAsia="Arial" w:hAnsi="Arial"/>
                <w:sz w:val="14"/>
                <w:szCs w:val="14"/>
                <w:b w:val="1"/>
                <w:bCs w:val="1"/>
                <w:color w:val="auto"/>
              </w:rPr>
              <w:t>30, 2019</w:t>
            </w:r>
          </w:p>
        </w:tc>
      </w:tr>
      <w:tr>
        <w:trPr>
          <w:trHeight w:val="250"/>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16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57"/>
        </w:trPr>
        <w:tc>
          <w:tcPr>
            <w:tcW w:w="2540" w:type="dxa"/>
            <w:vAlign w:val="bottom"/>
          </w:tcPr>
          <w:p>
            <w:pPr>
              <w:ind w:left="120"/>
              <w:spacing w:after="0"/>
              <w:rPr>
                <w:sz w:val="20"/>
                <w:szCs w:val="20"/>
                <w:color w:val="auto"/>
              </w:rPr>
            </w:pPr>
            <w:r>
              <w:rPr>
                <w:rFonts w:ascii="Arial" w:cs="Arial" w:eastAsia="Arial" w:hAnsi="Arial"/>
                <w:sz w:val="18"/>
                <w:szCs w:val="18"/>
                <w:color w:val="auto"/>
              </w:rPr>
              <w:t>U.S.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55,849,461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144,547,946</w:t>
            </w:r>
          </w:p>
        </w:tc>
        <w:tc>
          <w:tcPr>
            <w:tcW w:w="14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191,431,379</w:t>
            </w:r>
          </w:p>
        </w:tc>
        <w:tc>
          <w:tcPr>
            <w:tcW w:w="380" w:type="dxa"/>
            <w:vAlign w:val="bottom"/>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285,931,010</w:t>
            </w:r>
          </w:p>
        </w:tc>
      </w:tr>
      <w:tr>
        <w:trPr>
          <w:trHeight w:val="256"/>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23,866,009</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73,151,692</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96,651,733</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151,601,619</w:t>
            </w:r>
          </w:p>
        </w:tc>
      </w:tr>
      <w:tr>
        <w:trPr>
          <w:trHeight w:val="250"/>
        </w:trPr>
        <w:tc>
          <w:tcPr>
            <w:tcW w:w="2540" w:type="dxa"/>
            <w:vAlign w:val="bottom"/>
          </w:tcPr>
          <w:p>
            <w:pPr>
              <w:ind w:left="12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37,333,947</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55,722,292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88,470,880</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112,055,986</w:t>
            </w:r>
          </w:p>
        </w:tc>
      </w:tr>
      <w:tr>
        <w:trPr>
          <w:trHeight w:val="263"/>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13,589,601</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42,178,705</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59,540,082</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86,589,093</w:t>
            </w:r>
          </w:p>
        </w:tc>
      </w:tr>
      <w:tr>
        <w:trPr>
          <w:trHeight w:val="250"/>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91,428,828</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141,024,429</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225,829,360</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276,245,999</w:t>
            </w:r>
          </w:p>
        </w:tc>
      </w:tr>
      <w:tr>
        <w:trPr>
          <w:trHeight w:val="257"/>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222,067,846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456,625,064</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661,923,434</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912,423,707</w:t>
            </w:r>
          </w:p>
        </w:tc>
      </w:tr>
      <w:tr>
        <w:trPr>
          <w:trHeight w:val="25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7,857,710</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12,086,290</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21,763,847</w:t>
            </w: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24,876,644</w:t>
            </w:r>
          </w:p>
        </w:tc>
      </w:tr>
      <w:tr>
        <w:trPr>
          <w:trHeight w:val="281"/>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229,925,556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468,711,354</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683,687,281</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937,300,351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31"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2020 and June 30, 2019:</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56"/>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210,600,540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413,429,267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611,685,854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822,400,934</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11,467,306</w:t>
            </w: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43,195,797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50,237,580</w:t>
            </w: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90,022,773</w:t>
            </w: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222,067,846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456,625,064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661,923,434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912,423,707</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2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Fire Protection Products</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4,837,540</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6,359,266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11,006,291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12,211,499</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Windows Products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3,020,170</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5,727,024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10,757,557</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12,665,145</w:t>
            </w:r>
          </w:p>
        </w:tc>
        <w:tc>
          <w:tcPr>
            <w:tcW w:w="0" w:type="dxa"/>
            <w:vAlign w:val="bottom"/>
          </w:tcPr>
          <w:p>
            <w:pPr>
              <w:spacing w:after="0"/>
              <w:rPr>
                <w:sz w:val="1"/>
                <w:szCs w:val="1"/>
                <w:color w:val="auto"/>
              </w:rPr>
            </w:pPr>
          </w:p>
        </w:tc>
      </w:tr>
      <w:tr>
        <w:trPr>
          <w:trHeight w:val="28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7,857,710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12,086,290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21,763,848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24,876,644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62407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40780" cy="163195"/>
                    </a:xfrm>
                    <a:prstGeom prst="rect">
                      <a:avLst/>
                    </a:prstGeom>
                    <a:noFill/>
                  </pic:spPr>
                </pic:pic>
              </a:graphicData>
            </a:graphic>
          </wp:anchor>
        </w:drawing>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(15) Leases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June 30, 2020 was 2 years, with a weighted average discount rate of 1.4%.</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June 30,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177800</wp:posOffset>
            </wp:positionV>
            <wp:extent cx="615505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5055" cy="137160"/>
                    </a:xfrm>
                    <a:prstGeom prst="rect">
                      <a:avLst/>
                    </a:prstGeom>
                    <a:noFill/>
                  </pic:spPr>
                </pic:pic>
              </a:graphicData>
            </a:graphic>
          </wp:anchor>
        </w:drawing>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1550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(excluding the six months ended June 30, 2020)</w:t>
            </w:r>
          </w:p>
        </w:tc>
        <w:tc>
          <w:tcPr>
            <w:tcW w:w="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616,477</w:t>
            </w: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931,848</w:t>
            </w:r>
          </w:p>
        </w:tc>
      </w:tr>
      <w:tr>
        <w:trPr>
          <w:trHeight w:val="26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617,178</w:t>
            </w: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209,525</w:t>
            </w:r>
          </w:p>
        </w:tc>
      </w:tr>
      <w:tr>
        <w:trPr>
          <w:trHeight w:val="26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12,555</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2,697</w:t>
            </w:r>
          </w:p>
        </w:tc>
      </w:tr>
      <w:tr>
        <w:trPr>
          <w:trHeight w:val="257"/>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2,390,280</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(25,703)</w:t>
            </w:r>
          </w:p>
        </w:tc>
      </w:tr>
      <w:tr>
        <w:trPr>
          <w:trHeight w:val="250"/>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2,364,577</w:t>
            </w:r>
          </w:p>
        </w:tc>
      </w:tr>
      <w:tr>
        <w:trPr>
          <w:trHeight w:val="621"/>
        </w:trPr>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1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June 30, 2020</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56"/>
        </w:trPr>
        <w:tc>
          <w:tcPr>
            <w:tcW w:w="7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1,105,254</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1,259,323</w:t>
            </w:r>
          </w:p>
        </w:tc>
      </w:tr>
      <w:tr>
        <w:trPr>
          <w:trHeight w:val="250"/>
        </w:trPr>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2,364,577</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(16) Acquisition of Vaporsens, Inc</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April 3, 2020, the Company acquired Vaporsens, Inc (“Vaporsens”) for $10.6 million in a stock purchase deal, which was in addition to the previous $3.0 million equity investment by the Company in Vaporsens. The Company funded the acquisition with $7.1 million in cash payments, with the remaining $3.5 million of consideration paid with restricted common stock of the Company. Vaporsens specializes in nanofiber chemical sensing research and development, which the Company anticipates using to complement and expand its product offerings. Vaporsens is now a 100% owned subsidiary of the Company, and will be classified within the “Other” segment.</w:t>
      </w:r>
    </w:p>
    <w:p>
      <w:pPr>
        <w:spacing w:after="0" w:line="23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or earnings of the business of Vaporsens which were included in the the Company’s consolidated statement of income and comprehensive income for the quarter or year to date periods ended June 30, 2020.</w:t>
      </w:r>
    </w:p>
    <w:p>
      <w:pPr>
        <w:spacing w:after="0" w:line="23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 April 3, 2020. The valuation process is not complete and the final determination of the fair values may result in further adjustments to the values presented below:</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74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Fair Value</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435,722</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Personal Property</w:t>
            </w:r>
          </w:p>
        </w:tc>
        <w:tc>
          <w:tcPr>
            <w:tcW w:w="44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562,840</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44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245,335</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In-Process R&amp;D</w:t>
            </w:r>
          </w:p>
        </w:tc>
        <w:tc>
          <w:tcPr>
            <w:tcW w:w="440" w:type="dxa"/>
            <w:vAlign w:val="bottom"/>
          </w:tcPr>
          <w:p>
            <w:pPr>
              <w:spacing w:after="0"/>
              <w:rPr>
                <w:sz w:val="21"/>
                <w:szCs w:val="21"/>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11,000,000</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1,667,177</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13,911,074</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255,522</w:t>
            </w:r>
          </w:p>
        </w:tc>
      </w:tr>
      <w:tr>
        <w:trPr>
          <w:trHeight w:val="25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4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36,552</w:t>
            </w: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292,074</w:t>
            </w:r>
          </w:p>
        </w:tc>
      </w:tr>
      <w:tr>
        <w:trPr>
          <w:trHeight w:val="256"/>
        </w:trPr>
        <w:tc>
          <w:tcPr>
            <w:tcW w:w="7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13,619,000</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allocation of the purchase price above is considered preliminary and was based upon valuation information available and estimates and assumptions made as of June 30, 2020.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end of calendar year 2020.</w:t>
      </w:r>
    </w:p>
    <w:p>
      <w:pPr>
        <w:spacing w:after="0" w:line="23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Through June 30, 2020, the Company has incurred acquisition-related costs of approximately $550,000, which has been expensed as incurred in the "Selling, general &amp; administrative" section of its Condensed Consolidated Income Statement.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jc w:val="both"/>
        <w:ind w:left="660"/>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The following discussion includes adjusted gross profit ("Adjusted Gross Profit"), adjusted gross margin ("Adjusted Gross Margin"), adjusted operating expenses ("Adjusted Operating Expenses"), adjusted engineering, research and development expenses ("Adjusted E, R &amp; D Expenses"), adjusted selling, general and administrative expenses ("Adjusted S, G &amp; A Expenses"), adjusted operating (loss) income ("Adjusted Operating Income"), adjusted net (loss) income ("Adjusted Net Income"), and adjusted earnings </w:t>
      </w:r>
      <w:hyperlink w:anchor="page24">
        <w:r>
          <w:rPr>
            <w:rFonts w:ascii="Arial" w:cs="Arial" w:eastAsia="Arial" w:hAnsi="Arial"/>
            <w:sz w:val="18"/>
            <w:szCs w:val="18"/>
            <w:color w:val="auto"/>
          </w:rPr>
          <w:t xml:space="preserve">per diluted shares ("Adjusted Earnings per Diluted Share"), which are non-GAAP measures. See section </w:t>
        </w:r>
        <w:r>
          <w:rPr>
            <w:rFonts w:ascii="Arial" w:cs="Arial" w:eastAsia="Arial" w:hAnsi="Arial"/>
            <w:sz w:val="18"/>
            <w:szCs w:val="18"/>
            <w:u w:val="single" w:color="auto"/>
            <w:color w:val="0000FF"/>
          </w:rPr>
          <w:t>Non-GAAP Financial</w:t>
        </w:r>
      </w:hyperlink>
      <w:r>
        <w:rPr>
          <w:rFonts w:ascii="Arial" w:cs="Arial" w:eastAsia="Arial" w:hAnsi="Arial"/>
          <w:sz w:val="18"/>
          <w:szCs w:val="18"/>
          <w:color w:val="auto"/>
        </w:rPr>
        <w:t xml:space="preserve"> </w:t>
      </w:r>
      <w:hyperlink w:anchor="page24">
        <w:r>
          <w:rPr>
            <w:rFonts w:ascii="Arial" w:cs="Arial" w:eastAsia="Arial" w:hAnsi="Arial"/>
            <w:sz w:val="18"/>
            <w:szCs w:val="18"/>
            <w:u w:val="single" w:color="auto"/>
            <w:color w:val="0000FF"/>
          </w:rPr>
          <w:t>Measures</w:t>
        </w:r>
        <w:r>
          <w:rPr>
            <w:rFonts w:ascii="Arial" w:cs="Arial" w:eastAsia="Arial" w:hAnsi="Arial"/>
            <w:sz w:val="18"/>
            <w:szCs w:val="18"/>
            <w:color w:val="0000FF"/>
          </w:rPr>
          <w:t xml:space="preserve"> </w:t>
        </w:r>
        <w:r>
          <w:rPr>
            <w:rFonts w:ascii="Arial" w:cs="Arial" w:eastAsia="Arial" w:hAnsi="Arial"/>
            <w:sz w:val="18"/>
            <w:szCs w:val="18"/>
            <w:color w:val="000000"/>
          </w:rPr>
          <w:t>for the GAAP measure, definitions of these terms, and reconciliations between the non-GAAP measure and the GAAP</w:t>
        </w:r>
      </w:hyperlink>
      <w:r>
        <w:rPr>
          <w:rFonts w:ascii="Arial" w:cs="Arial" w:eastAsia="Arial" w:hAnsi="Arial"/>
          <w:sz w:val="18"/>
          <w:szCs w:val="18"/>
          <w:color w:val="0000FF"/>
        </w:rPr>
        <w:t xml:space="preserve"> </w:t>
      </w:r>
      <w:r>
        <w:rPr>
          <w:rFonts w:ascii="Arial" w:cs="Arial" w:eastAsia="Arial" w:hAnsi="Arial"/>
          <w:sz w:val="18"/>
          <w:szCs w:val="18"/>
          <w:color w:val="000000"/>
        </w:rPr>
        <w:t>measure, as well as a discussion of why the Company believes this non-GAAP information is useful to investors and how management uses such non-GAAP information.</w:t>
      </w:r>
    </w:p>
    <w:p>
      <w:pPr>
        <w:spacing w:after="0" w:line="38"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u w:val="single" w:color="auto"/>
          <w:color w:val="auto"/>
        </w:rPr>
        <w:t> </w:t>
      </w:r>
      <w:r>
        <w:rPr>
          <w:rFonts w:ascii="Arial" w:cs="Arial" w:eastAsia="Arial" w:hAnsi="Arial"/>
          <w:sz w:val="18"/>
          <w:szCs w:val="18"/>
          <w:b w:val="1"/>
          <w:bCs w:val="1"/>
          <w:u w:val="single" w:color="auto"/>
          <w:color w:val="auto"/>
        </w:rPr>
        <w:t>SECOND QUARTER 2020 VERSUS SECOND QUARTER 2019</w:t>
      </w:r>
    </w:p>
    <w:p>
      <w:pPr>
        <w:spacing w:after="0" w:line="172"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2020 decreased by $238.8 million or 51%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11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Automotive net sales for the second quarter of 2020 decreased 51% to $222.1 million, compared with automotive net sales of $456.6 million in the second quarter of 2019. This quarter over quarter decline in automotive net sales was driven primarily by a 51% quarter over quarter decrease in automotive mirror unit shipments. The 51% decrease in automotive mirror unit shipments in the second quarter of 2020 to 5.3 million units compared with 10.8 million units in the second quarter of 2019, was driven primarily by a 51% quarter over quarter decrease in interior auto-dimming mirror unit shipments as a result of the overall 45% quarter over quarter decrease in global light vehicle production, and the more severe decreases in Europe (62% quarter over quarter decrease) and North America (69% quarter over quarter decrease), stemming from the COVID-19 pandemic.</w:t>
      </w:r>
    </w:p>
    <w:p>
      <w:pPr>
        <w:spacing w:after="0" w:line="234" w:lineRule="exact"/>
        <w:rPr>
          <w:sz w:val="20"/>
          <w:szCs w:val="20"/>
          <w:color w:val="auto"/>
        </w:rPr>
      </w:pPr>
    </w:p>
    <w:p>
      <w:pPr>
        <w:ind w:left="660" w:right="220"/>
        <w:spacing w:after="0" w:line="261"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2020, and 2019 </w:t>
      </w:r>
      <w:r>
        <w:rPr>
          <w:rFonts w:ascii="Arial" w:cs="Arial" w:eastAsia="Arial" w:hAnsi="Arial"/>
          <w:sz w:val="18"/>
          <w:szCs w:val="18"/>
          <w:i w:val="1"/>
          <w:iCs w:val="1"/>
          <w:color w:val="auto"/>
        </w:rPr>
        <w:t>(in thousands).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600" w:type="dxa"/>
            <w:vAlign w:val="bottom"/>
          </w:tcPr>
          <w:p>
            <w:pPr>
              <w:spacing w:after="0"/>
              <w:rPr>
                <w:sz w:val="17"/>
                <w:szCs w:val="17"/>
                <w:color w:val="auto"/>
              </w:rPr>
            </w:pPr>
          </w:p>
        </w:tc>
        <w:tc>
          <w:tcPr>
            <w:tcW w:w="32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36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 Change</w:t>
            </w: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(64)%</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2,806</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4,433</w:t>
            </w:r>
          </w:p>
        </w:tc>
        <w:tc>
          <w:tcPr>
            <w:tcW w:w="9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(37)%</w:t>
            </w:r>
          </w:p>
        </w:tc>
      </w:tr>
      <w:tr>
        <w:trPr>
          <w:trHeight w:val="25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(66)%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1,689</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2,549</w:t>
            </w:r>
          </w:p>
        </w:tc>
        <w:tc>
          <w:tcPr>
            <w:tcW w:w="9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(34)%</w:t>
            </w:r>
          </w:p>
        </w:tc>
      </w:tr>
      <w:tr>
        <w:trPr>
          <w:trHeight w:val="257"/>
        </w:trPr>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(65)%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4,495</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6,981</w:t>
            </w:r>
          </w:p>
        </w:tc>
        <w:tc>
          <w:tcPr>
            <w:tcW w:w="9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(36)%</w:t>
            </w:r>
          </w:p>
        </w:tc>
      </w:tr>
      <w:tr>
        <w:trPr>
          <w:trHeight w:val="270"/>
        </w:trPr>
        <w:tc>
          <w:tcPr>
            <w:tcW w:w="3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(45)%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7,948</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10,596</w:t>
            </w:r>
          </w:p>
        </w:tc>
        <w:tc>
          <w:tcPr>
            <w:tcW w:w="9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(25)%</w:t>
            </w:r>
          </w:p>
        </w:tc>
      </w:tr>
      <w:tr>
        <w:trPr>
          <w:trHeight w:val="25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(44)%</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3,211</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3,924</w:t>
            </w:r>
          </w:p>
        </w:tc>
        <w:tc>
          <w:tcPr>
            <w:tcW w:w="9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(18)%</w:t>
            </w:r>
          </w:p>
        </w:tc>
      </w:tr>
      <w:tr>
        <w:trPr>
          <w:trHeight w:val="257"/>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7,293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(45)%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11,159</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14,520</w:t>
            </w:r>
          </w:p>
        </w:tc>
        <w:tc>
          <w:tcPr>
            <w:tcW w:w="9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(23)%</w:t>
            </w:r>
          </w:p>
        </w:tc>
      </w:tr>
      <w:tr>
        <w:trPr>
          <w:trHeight w:val="270"/>
        </w:trPr>
        <w:tc>
          <w:tcPr>
            <w:tcW w:w="3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7,545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(51)%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10,754</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15,028</w:t>
            </w:r>
          </w:p>
        </w:tc>
        <w:tc>
          <w:tcPr>
            <w:tcW w:w="9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(28)%</w:t>
            </w:r>
          </w:p>
        </w:tc>
      </w:tr>
      <w:tr>
        <w:trPr>
          <w:trHeight w:val="25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(52)%</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4,900</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6,473</w:t>
            </w:r>
          </w:p>
        </w:tc>
        <w:tc>
          <w:tcPr>
            <w:tcW w:w="9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(24)%</w:t>
            </w:r>
          </w:p>
        </w:tc>
      </w:tr>
      <w:tr>
        <w:trPr>
          <w:trHeight w:val="282"/>
        </w:trPr>
        <w:tc>
          <w:tcPr>
            <w:tcW w:w="3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(51)%</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15,654</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21,501</w:t>
            </w:r>
          </w:p>
        </w:tc>
        <w:tc>
          <w:tcPr>
            <w:tcW w:w="98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(27)%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7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Other net sales were $7.9 million in the second quarter of 2020, a decrease of 35%, compared to $ 12.1 million in the second quarter of 2019. This decrease is in large part attributable to a 47% quarter over quarter decline in variable dimmable aircraft windows sales, which decreased to $3.0 million in the second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3" w:name="page24"/>
    <w:bookmarkEnd w:id="23"/>
    <w:p>
      <w:pPr>
        <w:jc w:val="both"/>
        <w:ind w:right="20"/>
        <w:spacing w:after="0" w:line="261" w:lineRule="auto"/>
        <w:rPr>
          <w:sz w:val="20"/>
          <w:szCs w:val="20"/>
          <w:color w:val="auto"/>
        </w:rPr>
      </w:pPr>
      <w:r>
        <w:rPr>
          <w:rFonts w:ascii="Arial" w:cs="Arial" w:eastAsia="Arial" w:hAnsi="Arial"/>
          <w:sz w:val="18"/>
          <w:szCs w:val="18"/>
          <w:color w:val="auto"/>
        </w:rPr>
        <w:t>quarter of 2020 from $5.7 million in the second quarter of 2019. Fire protection sales decreased by 24% in the second quarter of 2020 to $4.8 million, compared to $6.4 million in the second quarter of 2019.</w:t>
      </w:r>
    </w:p>
    <w:p>
      <w:pPr>
        <w:spacing w:after="0" w:line="207"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80.9% in the second quarter of 2020 versus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62.3% in the second quarter of 2019. The quarter over quarter net decrease in the gross profit margin was primarily the result of lost sales and manufacturing inefficiencies due to the COVID-19 pandemic and the related shutdowns, severance related costs of $3.9 million, and annual customer price reductions. On a quarter over quarter basis, the lost sales and manufacturing inefficiencies due to the COVID-19 pandemic and the related shutdowns had a negative impact of approximately 14% - 15%, and the above-referenced severance related costs and annual price reductions each independently had a negative impact of approximately 150 - 200 basis points on gross profit margin. Purchasing cost reductions and product mix improvements independently had a positive impact of approximately 150 - 200 basis points on gross profit margin on a quarter over quarter basis. When adjusted for the expenses related to severance, the Adjusted Gross Margin for the quarter was 20.8%. (See </w:t>
      </w:r>
      <w:hyperlink w:anchor="page24">
        <w:r>
          <w:rPr>
            <w:rFonts w:ascii="Arial" w:cs="Arial" w:eastAsia="Arial" w:hAnsi="Arial"/>
            <w:sz w:val="18"/>
            <w:szCs w:val="18"/>
            <w:u w:val="single" w:color="auto"/>
            <w:color w:val="0000FF"/>
          </w:rPr>
          <w:t>Non-GAAP Financial Measures</w:t>
        </w:r>
      </w:hyperlink>
      <w:r>
        <w:rPr>
          <w:rFonts w:ascii="Arial" w:cs="Arial" w:eastAsia="Arial" w:hAnsi="Arial"/>
          <w:sz w:val="18"/>
          <w:szCs w:val="18"/>
          <w:color w:val="auto"/>
        </w:rPr>
        <w:t>).</w:t>
      </w:r>
    </w:p>
    <w:p>
      <w:pPr>
        <w:spacing w:after="0" w:line="215" w:lineRule="exact"/>
        <w:rPr>
          <w:sz w:val="20"/>
          <w:szCs w:val="20"/>
          <w:color w:val="auto"/>
        </w:rPr>
      </w:pPr>
    </w:p>
    <w:p>
      <w:pPr>
        <w:jc w:val="both"/>
        <w:spacing w:after="0" w:line="258" w:lineRule="auto"/>
        <w:rPr>
          <w:rFonts w:ascii="Arial" w:cs="Arial" w:eastAsia="Arial" w:hAnsi="Arial"/>
          <w:sz w:val="18"/>
          <w:szCs w:val="18"/>
          <w:color w:val="0000FF"/>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second quarter of 2020 increased by 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$0.6 million when compared with the second quarter of 2019, primarily due to severance related costs of $3.3 million, which was partially offset by reductions in wages and discretionary spending. When excluding such severance related costs, Adjusted E, R &amp; D </w:t>
      </w:r>
      <w:hyperlink w:anchor="page24">
        <w:r>
          <w:rPr>
            <w:rFonts w:ascii="Arial" w:cs="Arial" w:eastAsia="Arial" w:hAnsi="Arial"/>
            <w:sz w:val="18"/>
            <w:szCs w:val="18"/>
            <w:color w:val="auto"/>
          </w:rPr>
          <w:t xml:space="preserve">Expenses for the second quarter of 2020 would have decreased by 9% when compared with the second quarter of 2019. (See </w:t>
        </w:r>
        <w:r>
          <w:rPr>
            <w:rFonts w:ascii="Arial" w:cs="Arial" w:eastAsia="Arial" w:hAnsi="Arial"/>
            <w:sz w:val="18"/>
            <w:szCs w:val="18"/>
            <w:u w:val="single" w:color="auto"/>
            <w:color w:val="0000FF"/>
          </w:rPr>
          <w:t>Non-</w:t>
        </w:r>
      </w:hyperlink>
      <w:hyperlink w:anchor="page24">
        <w:r>
          <w:rPr>
            <w:rFonts w:ascii="Arial" w:cs="Arial" w:eastAsia="Arial" w:hAnsi="Arial"/>
            <w:sz w:val="18"/>
            <w:szCs w:val="18"/>
            <w:u w:val="single" w:color="auto"/>
            <w:color w:val="0000FF"/>
          </w:rPr>
          <w:t>GAAP Financial Measures</w:t>
        </w:r>
        <w:r>
          <w:rPr>
            <w:rFonts w:ascii="Arial" w:cs="Arial" w:eastAsia="Arial" w:hAnsi="Arial"/>
            <w:sz w:val="18"/>
            <w:szCs w:val="18"/>
            <w:color w:val="000000"/>
          </w:rPr>
          <w:t>).</w:t>
        </w:r>
      </w:hyperlink>
    </w:p>
    <w:p>
      <w:pPr>
        <w:spacing w:after="0" w:line="228"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Selling, general and administrative ("S, G &amp; A") expenses increased by 7% or $1.4 million for the second quarter of 2020 compared to the second quarter of 2019. S, G &amp; A expenses were at 9% of net sales in the second quarter of 2020, up from 4% of net sales in the second quarter of 2019. S, G, &amp; A expenses increased on a quarter over quarter basis primarily due to severance related costs of $1.6 million, which was partially offset by reductions in wages and discretionary spending. When excluding the severance related costs, Adjusted S, G &amp; A Expenses for the second quarter of 2020 would have decreased by 1% when compared with the second quarter of 2019. (See </w:t>
      </w:r>
      <w:hyperlink w:anchor="page24">
        <w:r>
          <w:rPr>
            <w:rFonts w:ascii="Arial" w:cs="Arial" w:eastAsia="Arial" w:hAnsi="Arial"/>
            <w:sz w:val="18"/>
            <w:szCs w:val="18"/>
            <w:u w:val="single" w:color="auto"/>
            <w:color w:val="0000FF"/>
          </w:rPr>
          <w:t>Non-GAAP Financial Measures</w:t>
        </w:r>
      </w:hyperlink>
      <w:r>
        <w:rPr>
          <w:rFonts w:ascii="Arial" w:cs="Arial" w:eastAsia="Arial" w:hAnsi="Arial"/>
          <w:sz w:val="18"/>
          <w:szCs w:val="18"/>
          <w:color w:val="auto"/>
        </w:rPr>
        <w:t>).</w:t>
      </w:r>
    </w:p>
    <w:p>
      <w:pPr>
        <w:spacing w:after="0" w:line="23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Total operating expenses were $50.7 million in the second quarter of 2020, which increased by 4% or $2.1 million, from $48.6 million in the second quarter of 2019. When excluding severance expenses, Adjusted Operating Expenses in the second quarter of 2020 were down 6% when compared with operating expenses in the second quarter of 2019. (See </w:t>
      </w:r>
      <w:hyperlink w:anchor="page24">
        <w:r>
          <w:rPr>
            <w:rFonts w:ascii="Arial" w:cs="Arial" w:eastAsia="Arial" w:hAnsi="Arial"/>
            <w:sz w:val="18"/>
            <w:szCs w:val="18"/>
            <w:u w:val="single" w:color="auto"/>
            <w:color w:val="0000FF"/>
          </w:rPr>
          <w:t>Non-GAAP Financial Measures</w:t>
        </w:r>
      </w:hyperlink>
      <w:r>
        <w:rPr>
          <w:rFonts w:ascii="Arial" w:cs="Arial" w:eastAsia="Arial" w:hAnsi="Arial"/>
          <w:sz w:val="18"/>
          <w:szCs w:val="18"/>
          <w:color w:val="auto"/>
        </w:rPr>
        <w:t>). The decrease in Adjusted Operating Expense was primarily driven by reductions in wages and discretionary spending.</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2020 increased by $0.5 million when compared with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recognized a tax benefit of $1.5 million in the second quarter of 2020 compared to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$16.3 million and a 16.4% effective tax rate for same quarter of 2019.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99" w:lineRule="exact"/>
        <w:rPr>
          <w:sz w:val="20"/>
          <w:szCs w:val="20"/>
          <w:color w:val="auto"/>
        </w:rPr>
      </w:pPr>
    </w:p>
    <w:p>
      <w:pPr>
        <w:jc w:val="both"/>
        <w:spacing w:after="0" w:line="266"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Net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loss for the second quarter of 2020 was $2.4 million, down from a net income of $109.0 million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quarter of 2019. Adjusted Net Income was $4.6 million during the second quarter of 2020, when adjusting for the impact of the severance related costs, net of tax. (See </w:t>
      </w:r>
      <w:hyperlink w:anchor="page24">
        <w:r>
          <w:rPr>
            <w:rFonts w:ascii="Arial" w:cs="Arial" w:eastAsia="Arial" w:hAnsi="Arial"/>
            <w:sz w:val="18"/>
            <w:szCs w:val="18"/>
            <w:u w:val="single" w:color="auto"/>
            <w:color w:val="0000FF"/>
          </w:rPr>
          <w:t>Non-GAAP Financial Measures</w:t>
        </w:r>
      </w:hyperlink>
      <w:r>
        <w:rPr>
          <w:rFonts w:ascii="Arial" w:cs="Arial" w:eastAsia="Arial" w:hAnsi="Arial"/>
          <w:sz w:val="18"/>
          <w:szCs w:val="18"/>
          <w:color w:val="auto"/>
        </w:rPr>
        <w:t>).</w:t>
      </w:r>
    </w:p>
    <w:p>
      <w:pPr>
        <w:spacing w:after="0" w:line="122"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Earnings (Loss)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a loss per diluted share for the second quarter of 2020 of $0.01 which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earnings per diluted share of $0.42 for the second quarter of 2019, primarily as a result of the COVID-19 pandemic and the related shutdowns. Adjusted Earnings per Diluted Share were $0.02 per share for the second quarter of 2020, when adjusting for the impact of the severance related costs. (See </w:t>
      </w:r>
      <w:hyperlink w:anchor="page24">
        <w:r>
          <w:rPr>
            <w:rFonts w:ascii="Arial" w:cs="Arial" w:eastAsia="Arial" w:hAnsi="Arial"/>
            <w:sz w:val="18"/>
            <w:szCs w:val="18"/>
            <w:u w:val="single" w:color="auto"/>
            <w:color w:val="0000FF"/>
          </w:rPr>
          <w:t>Non-GAAP Financial Measures</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7" w:lineRule="exact"/>
        <w:rPr>
          <w:sz w:val="20"/>
          <w:szCs w:val="20"/>
          <w:color w:val="auto"/>
        </w:rPr>
      </w:pPr>
    </w:p>
    <w:p>
      <w:pPr>
        <w:jc w:val="both"/>
        <w:spacing w:after="0" w:line="216" w:lineRule="exact"/>
        <w:rPr>
          <w:sz w:val="20"/>
          <w:szCs w:val="20"/>
          <w:color w:val="auto"/>
        </w:rPr>
      </w:pPr>
      <w:r>
        <w:rPr>
          <w:rFonts w:ascii="MS PGothic" w:cs="MS PGothic" w:eastAsia="MS PGothic" w:hAnsi="MS PGothic"/>
          <w:sz w:val="18"/>
          <w:szCs w:val="18"/>
          <w:color w:val="auto"/>
        </w:rPr>
        <w:t> </w:t>
      </w:r>
      <w:r>
        <w:rPr>
          <w:rFonts w:ascii="Arial" w:cs="Arial" w:eastAsia="Arial" w:hAnsi="Arial"/>
          <w:sz w:val="18"/>
          <w:szCs w:val="18"/>
          <w:color w:val="auto"/>
        </w:rPr>
        <w:t>The financial information for the three months (above) and six months (below) ended June 30, 2020, is provided in accordance with Generally Accepted Accounting Principles ("GAAP"). Still, the Company believes that it is useful for the three months ended June 30, 2020 to provide non-GAAP: Adjusted Gross Profit, Adjusted Gross Margin, Adjusted Operating Expenses, Adjusted E, R &amp; D Expenses, Adjusted S, G &amp; A Expenses, Adjusted Operating Income, Adjusted Net Income; and Adjusted Earnings per Diluted Share with the adjustments set forth in the "Reconciliation of Non-GAAP Measures" table below. This non-GAAP financial information allows investors to evaluate current performance in the Company's core business in relation to historical performance by excluding the impact of certain COVID-19 related severance expenses.</w:t>
      </w:r>
    </w:p>
    <w:p>
      <w:pPr>
        <w:spacing w:after="0" w:line="3" w:lineRule="exact"/>
        <w:rPr>
          <w:sz w:val="20"/>
          <w:szCs w:val="20"/>
          <w:color w:val="auto"/>
        </w:rPr>
      </w:pPr>
    </w:p>
    <w:p>
      <w:pPr>
        <w:jc w:val="both"/>
        <w:ind w:firstLine="648"/>
        <w:spacing w:after="0" w:line="217" w:lineRule="exact"/>
        <w:rPr>
          <w:sz w:val="20"/>
          <w:szCs w:val="20"/>
          <w:color w:val="auto"/>
        </w:rPr>
      </w:pPr>
      <w:r>
        <w:rPr>
          <w:rFonts w:ascii="MS PGothic" w:cs="MS PGothic" w:eastAsia="MS PGothic" w:hAnsi="MS PGothic"/>
          <w:sz w:val="18"/>
          <w:szCs w:val="18"/>
          <w:color w:val="auto"/>
        </w:rPr>
        <w:t> </w:t>
      </w:r>
      <w:r>
        <w:rPr>
          <w:rFonts w:ascii="Arial" w:cs="Arial" w:eastAsia="Arial" w:hAnsi="Arial"/>
          <w:sz w:val="18"/>
          <w:szCs w:val="18"/>
          <w:color w:val="auto"/>
        </w:rPr>
        <w:t>Management uses such non-GAAP information internally to help assess performance in the current period versus prior periods in the Company's core business. A reconciliation of the Adjusted Gross Profit, Adjusted Gross Margin, Adjusted Operating Expenses, Adjusted E, R &amp; D Expenses, Adjusted S, G &amp; A Expenses, Adjusted Operating Income, Adjusted Net Income, and Adjusted Earnings per Diluted Share is provided in the attached "Reconciliation of non-GAAP Measures" table below. Like all non-GAAP financial measures, these non-GAAP measures are intended to supplement, not to replace, GAAP measures. All non-GAAP financial measures are subject to inherent limitations because not all of the expenses required by GAAP are included.</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presented Adjusted Gross Profit, Adjusted Gross Margin, Adjusted Operating Expenses, Adjusted E, R &amp; D Expenses, Adjusted S, G &amp; A Expenses, and Adjusted Operating Income as supplemental measures of the Company's performance. Current quarter Adjusted Gross Profit, Adjusted Operating Expenses, Adjusted E, R &amp; D Expenses, Adjusted S, G &amp; A Expenses, and Adjusted Operating Income exclude certain severance related costs set forth in the table below. Current quarter Adjusted Gross Margin is defined as Adjusted Gross Profit divided by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5" w:name="page26"/>
    <w:bookmarkEnd w:id="25"/>
    <w:p>
      <w:pPr>
        <w:ind w:left="3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50621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6210" cy="163195"/>
                    </a:xfrm>
                    <a:prstGeom prst="rect">
                      <a:avLst/>
                    </a:prstGeom>
                    <a:noFill/>
                  </pic:spPr>
                </pic:pic>
              </a:graphicData>
            </a:graphic>
          </wp:anchor>
        </w:drawing>
        <w:t>Reconcilliation of Non-GAAP Measures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gridSpan w:val="5"/>
            <w:shd w:val="clear" w:color="auto" w:fill="CCEEFF"/>
          </w:tcPr>
          <w:p>
            <w:pPr>
              <w:jc w:val="right"/>
              <w:ind w:right="65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shd w:val="clear" w:color="auto" w:fill="CCEEFF"/>
          </w:tcPr>
          <w:p>
            <w:pPr>
              <w:spacing w:after="0"/>
              <w:rPr>
                <w:sz w:val="18"/>
                <w:szCs w:val="18"/>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r>
      <w:tr>
        <w:trPr>
          <w:trHeight w:val="135"/>
        </w:trPr>
        <w:tc>
          <w:tcPr>
            <w:tcW w:w="6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Gross Profit - GAAP</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43,944,808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176,537,604</w:t>
            </w:r>
          </w:p>
        </w:tc>
        <w:tc>
          <w:tcPr>
            <w:tcW w:w="220" w:type="dxa"/>
            <w:vAlign w:val="bottom"/>
          </w:tcPr>
          <w:p>
            <w:pPr>
              <w:spacing w:after="0"/>
              <w:rPr>
                <w:sz w:val="21"/>
                <w:szCs w:val="21"/>
                <w:color w:val="auto"/>
              </w:rPr>
            </w:pP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Related Costs</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3,927,906</w:t>
            </w:r>
          </w:p>
        </w:tc>
        <w:tc>
          <w:tcPr>
            <w:tcW w:w="180" w:type="dxa"/>
            <w:vAlign w:val="bottom"/>
            <w:tcBorders>
              <w:bottom w:val="single" w:sz="8" w:color="auto"/>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r>
      <w:tr>
        <w:trPr>
          <w:trHeight w:val="256"/>
        </w:trPr>
        <w:tc>
          <w:tcPr>
            <w:tcW w:w="6320" w:type="dxa"/>
            <w:vAlign w:val="bottom"/>
          </w:tcPr>
          <w:p>
            <w:pPr>
              <w:ind w:left="20"/>
              <w:spacing w:after="0"/>
              <w:rPr>
                <w:sz w:val="20"/>
                <w:szCs w:val="20"/>
                <w:color w:val="auto"/>
              </w:rPr>
            </w:pPr>
            <w:r>
              <w:rPr>
                <w:rFonts w:ascii="Arial" w:cs="Arial" w:eastAsia="Arial" w:hAnsi="Arial"/>
                <w:sz w:val="18"/>
                <w:szCs w:val="18"/>
                <w:color w:val="auto"/>
              </w:rPr>
              <w:t>Adjusted Gross Profit - (Non-GAAP)</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47,872,714</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176,537,604</w:t>
            </w:r>
          </w:p>
        </w:tc>
        <w:tc>
          <w:tcPr>
            <w:tcW w:w="220" w:type="dxa"/>
            <w:vAlign w:val="bottom"/>
          </w:tcPr>
          <w:p>
            <w:pPr>
              <w:spacing w:after="0"/>
              <w:rPr>
                <w:sz w:val="22"/>
                <w:szCs w:val="22"/>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Gross Margin - GAAP</w:t>
            </w:r>
          </w:p>
        </w:tc>
        <w:tc>
          <w:tcPr>
            <w:tcW w:w="46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37.7 %</w:t>
            </w: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Margin - (Non-GAAP)</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 R &amp; D Expenses - 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28,992,968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28,359,343</w:t>
            </w:r>
          </w:p>
        </w:tc>
        <w:tc>
          <w:tcPr>
            <w:tcW w:w="220" w:type="dxa"/>
            <w:vAlign w:val="bottom"/>
            <w:shd w:val="clear" w:color="auto" w:fill="CCEEFF"/>
          </w:tcPr>
          <w:p>
            <w:pPr>
              <w:spacing w:after="0"/>
              <w:rPr>
                <w:sz w:val="22"/>
                <w:szCs w:val="22"/>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Severance Related Costs</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(3,311,839)</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r>
      <w:tr>
        <w:trPr>
          <w:trHeight w:val="27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 R &amp; D Expenses - (Non-GAAP)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25,681,129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28,359,343</w:t>
            </w:r>
          </w:p>
        </w:tc>
        <w:tc>
          <w:tcPr>
            <w:tcW w:w="220" w:type="dxa"/>
            <w:vAlign w:val="bottom"/>
            <w:shd w:val="clear" w:color="auto" w:fill="CCEEFF"/>
          </w:tcPr>
          <w:p>
            <w:pPr>
              <w:spacing w:after="0"/>
              <w:rPr>
                <w:sz w:val="24"/>
                <w:szCs w:val="24"/>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G &amp; A Expenses - 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21,690,096</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20,273,295</w:t>
            </w:r>
          </w:p>
        </w:tc>
        <w:tc>
          <w:tcPr>
            <w:tcW w:w="220" w:type="dxa"/>
            <w:vAlign w:val="bottom"/>
            <w:shd w:val="clear" w:color="auto" w:fill="CCEEFF"/>
          </w:tcPr>
          <w:p>
            <w:pPr>
              <w:spacing w:after="0"/>
              <w:rPr>
                <w:sz w:val="22"/>
                <w:szCs w:val="22"/>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Severance Related Costs</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(1,593,610)</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r>
      <w:tr>
        <w:trPr>
          <w:trHeight w:val="27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S, G &amp; A Expenses - (Non-GAAP)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20,096,486</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20,273,295</w:t>
            </w:r>
          </w:p>
        </w:tc>
        <w:tc>
          <w:tcPr>
            <w:tcW w:w="220" w:type="dxa"/>
            <w:vAlign w:val="bottom"/>
            <w:shd w:val="clear" w:color="auto" w:fill="CCEEFF"/>
          </w:tcPr>
          <w:p>
            <w:pPr>
              <w:spacing w:after="0"/>
              <w:rPr>
                <w:sz w:val="24"/>
                <w:szCs w:val="24"/>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50,683,064</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48,632,638</w:t>
            </w:r>
          </w:p>
        </w:tc>
        <w:tc>
          <w:tcPr>
            <w:tcW w:w="220" w:type="dxa"/>
            <w:vAlign w:val="bottom"/>
            <w:shd w:val="clear" w:color="auto" w:fill="CCEEFF"/>
          </w:tcPr>
          <w:p>
            <w:pPr>
              <w:spacing w:after="0"/>
              <w:rPr>
                <w:sz w:val="22"/>
                <w:szCs w:val="22"/>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Severance Related Costs</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(4,905,449)</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r>
      <w:tr>
        <w:trPr>
          <w:trHeight w:val="27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 - (Non-GAAP)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45,777,615</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48,632,638</w:t>
            </w:r>
          </w:p>
        </w:tc>
        <w:tc>
          <w:tcPr>
            <w:tcW w:w="220" w:type="dxa"/>
            <w:vAlign w:val="bottom"/>
            <w:shd w:val="clear" w:color="auto" w:fill="CCEEFF"/>
          </w:tcPr>
          <w:p>
            <w:pPr>
              <w:spacing w:after="0"/>
              <w:rPr>
                <w:sz w:val="24"/>
                <w:szCs w:val="24"/>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0"/>
        </w:trPr>
        <w:tc>
          <w:tcPr>
            <w:tcW w:w="6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Operating (Loss) Income - GAAP</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(6,738,256)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127,904,966</w:t>
            </w:r>
          </w:p>
        </w:tc>
        <w:tc>
          <w:tcPr>
            <w:tcW w:w="220" w:type="dxa"/>
            <w:vAlign w:val="bottom"/>
          </w:tcPr>
          <w:p>
            <w:pPr>
              <w:spacing w:after="0"/>
              <w:rPr>
                <w:sz w:val="21"/>
                <w:szCs w:val="21"/>
                <w:color w:val="auto"/>
              </w:rPr>
            </w:pP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Related Costs - Overhead</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3,927,906</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r>
      <w:tr>
        <w:trPr>
          <w:trHeight w:val="25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Severance Related Costs - Operating</w:t>
            </w: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4,905,449</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r>
      <w:tr>
        <w:trPr>
          <w:trHeight w:val="27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 (Non-GAAP)</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2,095,099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127,904,966</w:t>
            </w:r>
          </w:p>
        </w:tc>
        <w:tc>
          <w:tcPr>
            <w:tcW w:w="220" w:type="dxa"/>
            <w:vAlign w:val="bottom"/>
            <w:shd w:val="clear" w:color="auto" w:fill="CCEEFF"/>
          </w:tcPr>
          <w:p>
            <w:pPr>
              <w:spacing w:after="0"/>
              <w:rPr>
                <w:sz w:val="24"/>
                <w:szCs w:val="24"/>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u w:val="single" w:color="auto"/>
          <w:color w:val="auto"/>
        </w:rPr>
        <w:t>Adjusted Net Income and Adjusted Earnings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Net Income and Adjusted Earnings per Diluted Share are</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as supplemental measures of the Company's performance for the reasons set forth above. Adjusted Net Income is defined as Net (Loss) Income adjusted for severance related costs during the second quarter of 2020. Adjusted Earnings per Diluted Share is defined as Adjusted Net Income divided by weighted 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t>Reconcilliation of Non-GAAP Measures (continued)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320" w:type="dxa"/>
            <w:vAlign w:val="bottom"/>
          </w:tcPr>
          <w:p>
            <w:pPr>
              <w:spacing w:after="0"/>
              <w:rPr>
                <w:sz w:val="17"/>
                <w:szCs w:val="17"/>
                <w:color w:val="auto"/>
              </w:rPr>
            </w:pPr>
          </w:p>
        </w:tc>
      </w:tr>
      <w:tr>
        <w:trPr>
          <w:trHeight w:val="216"/>
        </w:trPr>
        <w:tc>
          <w:tcPr>
            <w:tcW w:w="7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Three Months Ended June 30,</w:t>
            </w:r>
          </w:p>
        </w:tc>
      </w:tr>
      <w:tr>
        <w:trPr>
          <w:trHeight w:val="210"/>
        </w:trPr>
        <w:tc>
          <w:tcPr>
            <w:tcW w:w="7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134"/>
        </w:trPr>
        <w:tc>
          <w:tcPr>
            <w:tcW w:w="7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50"/>
        </w:trPr>
        <w:tc>
          <w:tcPr>
            <w:tcW w:w="7480" w:type="dxa"/>
            <w:vAlign w:val="bottom"/>
          </w:tcPr>
          <w:p>
            <w:pPr>
              <w:ind w:left="20"/>
              <w:spacing w:after="0"/>
              <w:rPr>
                <w:sz w:val="20"/>
                <w:szCs w:val="20"/>
                <w:color w:val="auto"/>
              </w:rPr>
            </w:pPr>
            <w:r>
              <w:rPr>
                <w:rFonts w:ascii="Arial" w:cs="Arial" w:eastAsia="Arial" w:hAnsi="Arial"/>
                <w:sz w:val="18"/>
                <w:szCs w:val="18"/>
                <w:color w:val="auto"/>
              </w:rPr>
              <w:t>Net (Loss) Income - GAAP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(2,374,033)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$108,958,625</w:t>
            </w:r>
          </w:p>
        </w:tc>
      </w:tr>
      <w:tr>
        <w:trPr>
          <w:trHeight w:val="263"/>
        </w:trPr>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related costs</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8,833,355</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7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 Impact of Adjusting Items (at effective tax rate of 21% in each period)</w:t>
            </w:r>
          </w:p>
        </w:tc>
        <w:tc>
          <w:tcPr>
            <w:tcW w:w="3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(1,855,005)</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8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 - (Non-GAAP)</w:t>
            </w:r>
          </w:p>
        </w:tc>
        <w:tc>
          <w:tcPr>
            <w:tcW w:w="3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$4,604,317</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$108,958,625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0"/>
        </w:trPr>
        <w:tc>
          <w:tcPr>
            <w:tcW w:w="748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0.42</w:t>
            </w:r>
          </w:p>
        </w:tc>
      </w:tr>
      <w:tr>
        <w:trPr>
          <w:trHeight w:val="263"/>
        </w:trPr>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0.42</w:t>
            </w:r>
          </w:p>
        </w:tc>
      </w:tr>
      <w:tr>
        <w:trPr>
          <w:trHeight w:val="270"/>
        </w:trPr>
        <w:tc>
          <w:tcPr>
            <w:tcW w:w="7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0"/>
        </w:trPr>
        <w:tc>
          <w:tcPr>
            <w:tcW w:w="748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0.42</w:t>
            </w:r>
          </w:p>
        </w:tc>
      </w:tr>
      <w:tr>
        <w:trPr>
          <w:trHeight w:val="263"/>
        </w:trPr>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0.42</w:t>
            </w:r>
          </w:p>
        </w:tc>
      </w:tr>
      <w:tr>
        <w:trPr>
          <w:trHeight w:val="270"/>
        </w:trPr>
        <w:tc>
          <w:tcPr>
            <w:tcW w:w="7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48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241,684,323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255,219,868</w:t>
            </w:r>
          </w:p>
        </w:tc>
      </w:tr>
      <w:tr>
        <w:trPr>
          <w:trHeight w:val="263"/>
        </w:trPr>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242,545,795</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256,579,622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8" w:lineRule="exact"/>
        <w:rPr>
          <w:sz w:val="20"/>
          <w:szCs w:val="20"/>
          <w:color w:val="auto"/>
        </w:rPr>
      </w:pPr>
    </w:p>
    <w:p>
      <w:pPr>
        <w:ind w:left="140" w:right="40" w:hanging="6"/>
        <w:spacing w:after="0" w:line="219" w:lineRule="auto"/>
        <w:tabs>
          <w:tab w:leader="none" w:pos="274" w:val="left"/>
        </w:tabs>
        <w:numPr>
          <w:ilvl w:val="0"/>
          <w:numId w:val="5"/>
        </w:numPr>
        <w:rPr>
          <w:rFonts w:ascii="Arial" w:cs="Arial" w:eastAsia="Arial" w:hAnsi="Arial"/>
          <w:sz w:val="8"/>
          <w:szCs w:val="8"/>
          <w:color w:val="auto"/>
        </w:rPr>
      </w:pPr>
      <w:r>
        <w:rPr>
          <w:rFonts w:ascii="Arial" w:cs="Arial" w:eastAsia="Arial" w:hAnsi="Arial"/>
          <w:sz w:val="13"/>
          <w:szCs w:val="13"/>
          <w:color w:val="auto"/>
        </w:rPr>
        <w:t>Earnings Per Share and Adjusted Earnings Per Share for the three months ended June 30, 2019 has been adjusted to exclude the portion of net (loss) income allocated to participating securities as a result of share-based payment awards.</w:t>
      </w: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SIX MONTHS ENDED JUNE 30, 2020 VERSUS SIX MONTHS ENDED JUNE 30, 2019</w:t>
      </w:r>
    </w:p>
    <w:p>
      <w:pPr>
        <w:spacing w:after="0" w:line="14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2020 decreased by $253.6 million or 27%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w:t>
      </w:r>
    </w:p>
    <w:p>
      <w:pPr>
        <w:spacing w:after="0" w:line="1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Automotive net sales for the first six months of 2020 were $661.9 million, down 27% compared with automotive net sales of $912.4 million for the first six months of 2019, driven by a 27% period over period decrease in automotive mirror unit shipments. North American automotive mirror shipments in the six months ended June 30, 2020 decreased 36% to 4.5 million units compared with the same period in 2019, primarily due to a period over period decrease of 36% for North American unit shipments of the Company's auto-dimming mirrors.</w:t>
      </w:r>
    </w:p>
    <w:p>
      <w:pPr>
        <w:spacing w:after="0" w:line="120" w:lineRule="exact"/>
        <w:rPr>
          <w:sz w:val="20"/>
          <w:szCs w:val="20"/>
          <w:color w:val="auto"/>
        </w:rPr>
      </w:pPr>
    </w:p>
    <w:p>
      <w:pPr>
        <w:jc w:val="both"/>
        <w:ind w:left="660"/>
        <w:spacing w:after="0" w:line="218" w:lineRule="exact"/>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70.7% for the first six months of 2020,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63.1% in the same period last year. The period over period decrease in the gross profit margin was primarily the result of the Company's inability to leverage fixed overhead as a result of COVID-19 related shutdowns and decreases in demand and annual customer price reductions, which were partially offset by improvements in product mix related to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purchasing cost reductions. On a period over period basis, the inability to leverage fixed overhead had a negative impact of approximately 6% - 7%, and annual customer price reductions had a negative impact of approximately 150 - 200 basis points, on gross margin. Purchasing cost reductions and product mix improvements each independently had a positive impact on gross margin on a period over period basis of approximately 50 - 100 basis points.</w:t>
      </w:r>
      <w:r>
        <w:rPr>
          <w:rFonts w:ascii="MS PGothic" w:cs="MS PGothic" w:eastAsia="MS PGothic" w:hAnsi="MS PGothic"/>
          <w:sz w:val="18"/>
          <w:szCs w:val="18"/>
          <w:color w:val="auto"/>
        </w:rPr>
        <w:t> </w:t>
      </w:r>
    </w:p>
    <w:p>
      <w:pPr>
        <w:spacing w:after="0" w:line="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2020 increased 4% or $2.2 million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primarily due to severance related costs and increased staffing levels related to development and launch of new business.</w:t>
      </w:r>
    </w:p>
    <w:p>
      <w:pPr>
        <w:spacing w:after="0" w:line="134"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S, G &amp; A expenses for the first six months of 2020 increased 8% or $ 3.4 million when compared with the same period last year, primarily due to severance related costs, increases in staffing levels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other resources associated with mitigation of the impacts of the global COVID-19 pandemic, and increased legal and professional fees associated with an acquisition of new technology described in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six months ended June 30, 2020 decreased by $0.6 million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primarily due to lower period over period investment income compared to the first six months of 2019.</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15.7% for the six months ended June 30, 2020 compared to 16.4%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quarter of 2019.</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2020 decreased by $126.1 million or 59% to $87.1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$213.2 million in the same period last year, due to the lower net sales and the corresponding decrease in gross margin, as well as the increases in operating expenses described above.</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six months ended June 30, 2020 of $0.35 which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earnings per diluted share of $0.82 for the six months ended June 30, 2019, primarily as a result of the COVID-19 pandemic and the related shutdowns as explained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6"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Company's cash and cash equivalents as of June 30, 2020 were $343.8 million, which increased $47.5 million compared to $296.3 million as of December 31, 2019. The increase was primarily due to cash flows from operations and the draw-down of $ 75 million on the Company's line of credit during the first quarter of 2020 (as described in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which was partially offset by share repurchases, dividend payments and capital expenditures during the six months ended June 30, 2020.</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June 30, 2020 were $70.0 million, down from $140.4 million as of December 31, 2019, and Long-term investments were $171.1 million as of June 30, 2020, compared to $139.9 million as of December 31, 2019. Changes in the investment balances were primarily driven by changes in fixed income investment maturities within the investment portfolio.</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as of June 30, 2020 decreased approximately $64.8 million compared to December 31, 2019, primarily due to the decrease in sales during the most recently completed quarter. As of June 30, 2020, all of the Company's material tier one and OEM customers continue to be in good standing.</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as of June 30, 2020 were $259.7 million, compared to $248.9 million as of December 31, 2019, primarily due to increases in raw materials on hand to meet forecasted demand. Throughout 2020, the Company's purchasing and supply chain teams have had to manage through supply chain stresses, which have included managing rolling shutdowns in the Company's supplier base, managing run-out situations on certain components, working through the second quarter order reductions, and now preparing for a ramp up for the second half of 2020.</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Accounts payable as of June 30, 2020 decreased approximately $37.4 million to $60.2 million when compared to December 31, 2019, primarily driven by lower purchases from suppliers in the quarter, lower levels of capital expenditures and less discretionary spending during the quarter.</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Accrued liabilities as of June 30, 2020 increased approximately $8.2 million compared to December 31, 2019, primarily due to an increase in accrued salaries and wages, accrued severance liabilities, and tax liabilities due to timing of certain wage and tax payments.</w:t>
      </w:r>
    </w:p>
    <w:p>
      <w:pPr>
        <w:spacing w:after="0" w:line="13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current portion of long-term debt as of June 30, 2020 increased $75.0 million compared to December 31, 2019 as a result of the draw-down of $75.0 million on the Company's $150 million line of credit as is further detailed in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operating activities for the six months ended June 30, 2020 decreased $83.0 million to $ 190.5 million, compared with $273.5 million during the same six month period last year, primarily due to lower net income, which was partially offset by changes in working capital.</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expenditures for the six months ended June 30, 2020 were approximately $28.8 million, compared with approximately $45.5 million for the same six month period last year, as a result of spending containment strategies.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641,695,591</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778,530,092</w:t>
            </w:r>
          </w:p>
        </w:tc>
      </w:tr>
      <w:tr>
        <w:trPr>
          <w:trHeight w:val="25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171,134,695</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139,909,323</w:t>
            </w:r>
          </w:p>
        </w:tc>
      </w:tr>
      <w:tr>
        <w:trPr>
          <w:trHeight w:val="27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812,830,286</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918,439,415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decrease in working capital as of June 30, 2020 is primarily due to share repurchases, dividend payments and capital expenditures. In order to continue to maintain flexibility and liquidity during the COVID-19 pandemic, in the first quarter of 2020 the Company drew-down $75 million on its line of credit, which is classified as short-term debt as discussed in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The Company believes it has the ability and has the intent to repay the full balance in the next twelve months.</w:t>
      </w:r>
    </w:p>
    <w:p>
      <w:pPr>
        <w:spacing w:after="0" w:line="232"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The Company did not repurchase any common stock during the most recently completed quarter as efforts were focused on preservation of capital given the unknown impact of the COVID-19 pandemic on customers and the resultant impact on the Company's operations and financial results. Provided that business begins to return to more normalized levels, the Company will consider the appropriateness of any share repurchases in the second half of 2020. Future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During the six months ended June 30, 2020, the Company repurchased 7,019,032 shares. The Company has 13,046,287 shares remaining under the plan as of June 30, 2020, as is further detailed in </w:t>
      </w:r>
      <w:hyperlink w:anchor="page40">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second quarter of 2020, the Company reported net sales of $229.9 million, which was a decrease of 51% compared to net sales of $468.7 million in the second quarter of 2019. The Company’s decrease of 51% in net sales was in comparison to global light vehicle production levels that dropped 45% for the second quarter of 2020 when compared to the second quarter of 2019. However, the light vehicle production declines were even more severe in Europe, which experienced a 62% quarter over quarter reduction, and in North America, which experienced a 69% quarter over quarter reduction. The impact of COVID-19, government enacted shutdowns of certain countries and states and the resultant economic impact lead to the most severe change in demand in a very short period of time that the Company has ever experienced. The Company's overall revenue out-performance in comparison to production declines in the Company's primary underlying markets was largely due to the relative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well as exterior electrochromic mirror units.</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Interior and exterior auto-dimming mirrors and advanced electronic features were launched on 33 new vehicles during the second quarter of 2020. Of these new launches in the second quarter of 2020, over 60% contained advanced features, which was primarily driven by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Despite challenging economic conditions created by the COVID-19 pandemic, the base inside auto-dimming mirror launches included new models in all of major markets, while advanced feature launches were led by new models for both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7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39" w:right="3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18"/>
          <w:szCs w:val="18"/>
          <w:color w:val="auto"/>
        </w:rPr>
        <w:t>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4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In the first quarter of 2020, the Company announced Aston Martin at CES, and began shipping to Mitsubishi, as OEMs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of the first quarter of 2020,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six automaker customers, which are General Motors, Subaru, Toyota, Nissan, Jaguar Land Rover, and Mitsubishi, and expects to begin shipping for Aston Martin around mid-year in 2020. As of the end of the second quarter of 2020,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46 nameplates. The second quarter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is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have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For the second half of 2020, the Company anticipates an additional 8 new vehicle nameplate launches for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 In January 2020, the Company announced a collaboration with Aston Martin to bring CMS to future Aston Martin vehicles.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8"/>
          <w:szCs w:val="18"/>
          <w:color w:val="auto"/>
        </w:rPr>
        <w:t>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4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3rd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 of the partnership. The interior mirror is the optimal location for a vehicle-integrated toll transponder and it eliminates the need to affix multiple toll tags to the windshield and</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2" w:name="page33"/>
    <w:bookmarkEnd w:id="32"/>
    <w:p>
      <w:pPr>
        <w:jc w:val="both"/>
        <w:spacing w:after="0" w:line="202" w:lineRule="auto"/>
        <w:rPr>
          <w:sz w:val="20"/>
          <w:szCs w:val="20"/>
          <w:color w:val="auto"/>
        </w:rPr>
      </w:pPr>
      <w:r>
        <w:rPr>
          <w:rFonts w:ascii="Arial" w:cs="Arial" w:eastAsia="Arial" w:hAnsi="Arial"/>
          <w:sz w:val="18"/>
          <w:szCs w:val="18"/>
          <w:color w:val="auto"/>
        </w:rPr>
        <w:t>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 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 the first quarter of 2019, the Company began its first volume shipments of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to Audi. During the second quarter of 2019, the first consumers began registering their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online to activate the device and began using the system for normal tolling use. The Company continues to monitor and assess feedback from consumers, dealers, and the OEM in order to help others understand the use case and acceptance of this product.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3 nameplates in the Audi brand of vehicles. In late June of 2020, Audi published a press release on the 2021 Audi Q5, in which they announced it will implement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as well. Over the next 18 months,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its second OEM. The launch is targeted to begin production shipments toward the end of calendar year 2020.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which recognizes automotive suppliers for superior innovation, technological advancement, and business performance.</w:t>
      </w:r>
    </w:p>
    <w:p>
      <w:pPr>
        <w:spacing w:after="0" w:line="24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3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8" w:right="339" w:bottom="1440" w:gutter="0" w:footer="0" w:header="0"/>
        </w:sectPr>
      </w:pPr>
    </w:p>
    <w:bookmarkStart w:id="33" w:name="page34"/>
    <w:bookmarkEnd w:id="33"/>
    <w:p>
      <w:pPr>
        <w:jc w:val="both"/>
        <w:spacing w:after="0" w:line="220" w:lineRule="auto"/>
        <w:rPr>
          <w:sz w:val="20"/>
          <w:szCs w:val="20"/>
          <w:color w:val="auto"/>
        </w:rPr>
      </w:pPr>
      <w:r>
        <w:rPr>
          <w:rFonts w:ascii="Arial" w:cs="Arial" w:eastAsia="Arial" w:hAnsi="Arial"/>
          <w:sz w:val="18"/>
          <w:szCs w:val="18"/>
          <w:color w:val="auto"/>
        </w:rPr>
        <w:t>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24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w:t>
      </w:r>
    </w:p>
    <w:p>
      <w:pPr>
        <w:spacing w:after="0" w:line="23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its aircraft with production starting in late 2020.</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2020, the Company will be continuing to work on the intelligent medical lighting system in preparation for clinical trials in order to assess system performance and work toward obtaining any necessary approvals. The Company estimates that it could take 18 to 24 months to complete these trials, before a system could be available for commercial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Automotive revenues represent approximately 97% - 98% of the Company's total revenue, consisting of interior and exterior electrochromic automatic-dimming rearview mirrors and automotive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forecasts for light vehicle production for the second half of 2020 are based on IHS Markit's mid-July 2020 forecasts for light vehicle production in North America, Europe, China, and Japan and Korea. The Company's forecast also takes into account the fact that many of our OEM customers continue to be impacted by the COVID-19 pandemic. Based on this information, global light vehicle production in the Company's primary regions is expected to decline 7% for the second half of 2020 and 20% for calendar year 2020 compared to 2019 as detailed below:</w:t>
      </w:r>
    </w:p>
    <w:p>
      <w:pPr>
        <w:spacing w:after="0" w:line="259"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mid-July light vehicle production forecast)</w:t>
      </w:r>
    </w:p>
    <w:p>
      <w:pPr>
        <w:spacing w:after="0" w:line="31"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Calendar</w:t>
            </w:r>
          </w:p>
        </w:tc>
        <w:tc>
          <w:tcPr>
            <w:tcW w:w="1020" w:type="dxa"/>
            <w:vAlign w:val="bottom"/>
          </w:tcPr>
          <w:p>
            <w:pPr>
              <w:spacing w:after="0"/>
              <w:rPr>
                <w:sz w:val="14"/>
                <w:szCs w:val="14"/>
                <w:color w:val="auto"/>
              </w:rPr>
            </w:pPr>
          </w:p>
        </w:tc>
      </w:tr>
      <w:tr>
        <w:trPr>
          <w:trHeight w:val="202"/>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920" w:type="dxa"/>
            <w:vAlign w:val="bottom"/>
          </w:tcPr>
          <w:p>
            <w:pPr>
              <w:jc w:val="right"/>
              <w:ind w:right="113"/>
              <w:spacing w:after="0"/>
              <w:rPr>
                <w:sz w:val="20"/>
                <w:szCs w:val="20"/>
                <w:color w:val="auto"/>
              </w:rPr>
            </w:pPr>
            <w:r>
              <w:rPr>
                <w:rFonts w:ascii="Arial" w:cs="Arial" w:eastAsia="Arial" w:hAnsi="Arial"/>
                <w:sz w:val="14"/>
                <w:szCs w:val="14"/>
                <w:b w:val="1"/>
                <w:bCs w:val="1"/>
                <w:color w:val="auto"/>
              </w:rPr>
              <w:t>2H 2020</w:t>
            </w:r>
          </w:p>
        </w:tc>
        <w:tc>
          <w:tcPr>
            <w:tcW w:w="920" w:type="dxa"/>
            <w:vAlign w:val="bottom"/>
          </w:tcPr>
          <w:p>
            <w:pPr>
              <w:jc w:val="right"/>
              <w:ind w:right="113"/>
              <w:spacing w:after="0"/>
              <w:rPr>
                <w:sz w:val="20"/>
                <w:szCs w:val="20"/>
                <w:color w:val="auto"/>
              </w:rPr>
            </w:pPr>
            <w:r>
              <w:rPr>
                <w:rFonts w:ascii="Arial" w:cs="Arial" w:eastAsia="Arial" w:hAnsi="Arial"/>
                <w:sz w:val="14"/>
                <w:szCs w:val="14"/>
                <w:b w:val="1"/>
                <w:bCs w:val="1"/>
                <w:color w:val="auto"/>
              </w:rPr>
              <w:t>2H 2019</w:t>
            </w: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rPr>
              <w:t>Year 2020</w:t>
            </w: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rPr>
              <w:t>Year 2019</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9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7.53</w:t>
            </w:r>
          </w:p>
        </w:tc>
        <w:tc>
          <w:tcPr>
            <w:tcW w:w="9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7.83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12.62</w:t>
            </w:r>
          </w:p>
        </w:tc>
        <w:tc>
          <w:tcPr>
            <w:tcW w:w="9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16.31</w:t>
            </w:r>
          </w:p>
        </w:tc>
        <w:tc>
          <w:tcPr>
            <w:tcW w:w="10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56"/>
        </w:trPr>
        <w:tc>
          <w:tcPr>
            <w:tcW w:w="388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9.05</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9.83</w:t>
            </w:r>
          </w:p>
        </w:tc>
        <w:tc>
          <w:tcPr>
            <w:tcW w:w="1020" w:type="dxa"/>
            <w:vAlign w:val="bottom"/>
          </w:tcPr>
          <w:p>
            <w:pPr>
              <w:jc w:val="right"/>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2"/>
                <w:szCs w:val="22"/>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15.85</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21.11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10.53</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13.11</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12.26</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21.52</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24.67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8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Light Vehicle Production</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34.29</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60.52</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75.20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this light vehicle production forecast and the structural changes that the Company has made over the last several months, the Company is providing guidance estimates for the second half of 2020, as opposed to only updating full year guidance. Given the magnitude of changes made in 2020, the Company believes this guidance is a more accurate representation of the new cost structure and financial performance not only for the remainder of 2020, but should also provide better visibility heading into 2021. Such guidance for the second half of 2020 reflects the Company's best estimate of the impact of the ongoing COVID-19 pandemic, as well as changes to the IHS Markit's estimates for light vehicle production for the remainder of 2020.</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the aforementioned, the Company currently estimates that top line revenue for the second half of calendar year 2020 will be between $865 and $915 million. Ongoing uncertainties remain around the impact of the COVID-19 pandemic on customer demand and restrictions on operations. COVID-19 has created unprecedented circumstances for the Company's industries, which included massive changes to production levels at its customers, which occurred in a very short time period. Beyond the impact of the COVID-19 pandemic, other ongoing uncertainties remain including: light vehicle production levels; impacts of already in place and potential additional future tariffs; impacts of regulation changes; automotive plant shutdowns; supplier part shortages;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updated net sales guidance for the second half of calendar year 2020, as well as actual results for the first six months of 2020 and anticipated product mix, the Company has estimated that the gross margin will be between 36% and 37% for the second half of calendar year 2020.</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efforts to manage the cost structure of the Company in light of the impacts of the COVID-19 pandemic, the Company is also lowering the guidance range for operating expenses, which include E, R &amp; D expenses and S, G &amp; A expenses. The Company has estimated that its operating expenses are now expected to be approximately $88 - $93 million for the second half of calendar year 2020.</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Company's renewed focus on optimizing its cost structure over the remainder of the year, the Company now anticipates that capital expenditures for the second half of calendar year 2020 will be approximately $30 - $ 40 million, the majority of which will be equipment purchases. Capital expenditures in calendar year 2020 are currently anticipated to be financed from current cash and cash equivalents on hand and cash flows from operating activities.</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8"/>
          <w:szCs w:val="18"/>
          <w:color w:val="auto"/>
        </w:rPr>
        <w:t>Based on actual results for the first six months of 2020, and expected projects in the remainder of the year, the Company now estimates that depreciation and amortization expense for the second half of calendar year 2020 will be approximately $52 - $55 million.</w:t>
      </w:r>
    </w:p>
    <w:p>
      <w:pPr>
        <w:spacing w:after="0" w:line="229" w:lineRule="exact"/>
        <w:rPr>
          <w:sz w:val="20"/>
          <w:szCs w:val="20"/>
          <w:color w:val="auto"/>
        </w:rPr>
      </w:pPr>
    </w:p>
    <w:p>
      <w:pPr>
        <w:jc w:val="both"/>
        <w:spacing w:after="0" w:line="202" w:lineRule="exact"/>
        <w:rPr>
          <w:sz w:val="20"/>
          <w:szCs w:val="20"/>
          <w:color w:val="auto"/>
        </w:rPr>
      </w:pPr>
      <w:r>
        <w:rPr>
          <w:rFonts w:ascii="Arial" w:cs="Arial" w:eastAsia="Arial" w:hAnsi="Arial"/>
          <w:sz w:val="18"/>
          <w:szCs w:val="18"/>
          <w:color w:val="auto"/>
        </w:rPr>
        <w:t xml:space="preserve">The Company estimates its effective annual tax rate for the second half of calendar year 2020 to be in the range of 17% to 19%, which reflects the anticipated lower discrete benefits from stock option exercises of the Company's employees and reduced foreign-derived intangible income tax benefits due to geographical mix changes within its customer base. </w:t>
      </w:r>
      <w:r>
        <w:rPr>
          <w:rFonts w:ascii="MS PGothic" w:cs="MS PGothic" w:eastAsia="MS PGothic" w:hAnsi="MS PGothic"/>
          <w:sz w:val="18"/>
          <w:szCs w:val="18"/>
          <w:color w:val="auto"/>
        </w:rPr>
        <w:t> </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the previously announced share repurchase plan, and provided that business begins to return to more normalized levels, the Company will consider the appropriateness of any share repurchases in the second half of 2020. This determination will take into account macroeconomic issues (including the impact of the COVID-19 pandemic), market trends, and other factors that the Company deems appropriate (including the market price of the stock, anti-dilutive effect of repurchases, and available cash). As of June 30, 2020, the Company has 13.0 million shares remaining available for repurchase under the previously announced share repurchase plan.</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based on the difficulties forecasting and the uncertainty of global light vehicle production data for 2021, the Company has withdrawn revenue guidance for 2021, until better data becomes available. Despite the fact that we are withdrawing guidance for 2021, the Company remains confident in its ability to continue to outperform its primary underlying markets.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3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oustanding debt and realized losses on the sale of fixed income investments and/or recognized losses due to impairment of available for sale securities (mark-to-market adjustments). As previously disclosed in the Company's report on Form 10-Q for the quarter ended March 31, 2020, material changes in risk factors disclosed in the Company's report on Form 10-K for the year ended December 31, 2019 are again set forth herein.</w:t>
      </w:r>
    </w:p>
    <w:p>
      <w:pPr>
        <w:spacing w:after="0" w:line="14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has been and will continue to be affected by uncertain economic conditions in North American and foreign markets that have and will continue to reduce demand for its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2020, and have concluded that as of that date, the Company's disclosure controls and procedures are effective.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2020 that materially affected, or are reasonably likely to materially affect, the Company's internal control over financial reporting.</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74"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"poised",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w:t>
      </w: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38" w:name="page39"/>
    <w:bookmarkEnd w:id="38"/>
    <w:p>
      <w:pPr>
        <w:jc w:val="both"/>
        <w:spacing w:after="0" w:line="251" w:lineRule="auto"/>
        <w:rPr>
          <w:sz w:val="20"/>
          <w:szCs w:val="20"/>
          <w:color w:val="auto"/>
        </w:rPr>
      </w:pPr>
      <w:r>
        <w:rPr>
          <w:rFonts w:ascii="Arial" w:cs="Arial" w:eastAsia="Arial" w:hAnsi="Arial"/>
          <w:sz w:val="18"/>
          <w:szCs w:val="18"/>
          <w:color w:val="auto"/>
        </w:rPr>
        <w:t>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litigations including securities litigations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Accordingly, any forward-looking statements should be read in conjunction with additional information about risks and uncertainties identified herein and under the heading "Risk Factors" in the Company's latest Form 10-K filed with the SEC, which risks now include the impacts of the COVID-19 pandemic that have affected, and will continue to affect, general economic and industry conditions, customers, suppliers, and the regulatory environment in which the Company operates. Includes content supplied by IHS Markit Light Vehicle Production Forecast (July 16, 2020) (http://www.gentex.com/ forecast-disclaimer).</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2019. There have been material changes to the risk factors previously disclosed in the Company’s report on Form 10-K for the year ended December 31, 2019, as described in Part I – Item 2 and Item 3 of this Form 10-Q, and otherwise herein, as well as the addition of the following risk factor.</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Automotive Industry and General Economic Risks</w:t>
      </w:r>
    </w:p>
    <w:p>
      <w:pPr>
        <w:spacing w:after="0" w:line="3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COVID-19 pandemic has significantly impacted worldwide economic and industry conditions and has had and will continue to have a material adverse effect on our business, financial condition, and/or results of operations. The present COVID-19 pandemic began to materially impact the Company's operations late in the first quarter of 2020 and continues to affect our business, financial condition, and/or results of operations, including governmental authorities imposing mandatory closures, work-from-home orders and social distancing protocols, as well as seeking voluntary facility closures and other restrictions. These actions materially adversely affect the Company's ability to adequately staff and maintain its operations, impair our ability to sustain existing levels of financial liquidity, and impact the Company's business, financial condition, and/or results of operations.</w:t>
      </w:r>
    </w:p>
    <w:p>
      <w:pPr>
        <w:spacing w:after="0" w:line="23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largest impact that the COVID-19 has had on our business is the reduction in unit shipments driven from global plant closures and the reduction to light vehicle production as a result, however it has also negatively impacted and may continue to negatively impact the mix of our business resulting from a decrease in sales of certain advance feature products, which typically have higher gross margins and could therefore result in lower overall margins. As we cannot predict the duration and scope of the COVID-19 pandemic, the overall negative financial impact to the Company's business, financial condition, and/or results of operations is not fully known, but is material and may last for an extended period of time.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Reference is made to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which is incorporated herein by reference.</w:t>
      </w:r>
    </w:p>
    <w:p>
      <w:pPr>
        <w:spacing w:after="0" w:line="23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On April 8, 2020, pursuant to an acquisition agreement, the shareholders of Vaporsens received 163,718 shares of the common stock of the Company as part of the acquisition of Vaporsens by the Company. The shares were issued under Section 4(a)(2) of the Securities Act of 1933, as amended. The Company believes the issuance of the foregoing restricted shares was exempt from registration as a privately negotiated, isolated, non-recurring transaction not involving any public solicitation. An appropriate legend is affixed to the stock certificates issued in such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74"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The Company did not repurchase any common stock during the most recently completed quarter for the reasons explained above.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During the six months ended June 30, 2020, the Company repurchased 7,019,032 shares (all in the first quarter of 2020). The Company has 13.0 million shares remaining under the plan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is a summary of share repurchase activity during each quarter of the six months ended June 30, 2020:</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5280" w:type="dxa"/>
            <w:vAlign w:val="bottom"/>
            <w:gridSpan w:val="3"/>
          </w:tcPr>
          <w:p>
            <w:pPr>
              <w:jc w:val="right"/>
              <w:ind w:right="1517"/>
              <w:spacing w:after="0"/>
              <w:rPr>
                <w:sz w:val="20"/>
                <w:szCs w:val="20"/>
                <w:color w:val="auto"/>
              </w:rPr>
            </w:pPr>
            <w:r>
              <w:rPr>
                <w:rFonts w:ascii="Arial" w:cs="Arial" w:eastAsia="Arial" w:hAnsi="Arial"/>
                <w:sz w:val="14"/>
                <w:szCs w:val="14"/>
                <w:b w:val="1"/>
                <w:bCs w:val="1"/>
                <w:color w:val="auto"/>
              </w:rPr>
              <w:t>Issuer Purchase of Equity Securities</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Purchased As Part of a    Maximum Number of Shares</w:t>
            </w: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400" w:type="dxa"/>
            <w:vAlign w:val="bottom"/>
            <w:vMerge w:val="continue"/>
          </w:tcPr>
          <w:p>
            <w:pPr>
              <w:spacing w:after="0"/>
              <w:rPr>
                <w:sz w:val="5"/>
                <w:szCs w:val="5"/>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 Plan or</w:t>
            </w: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35"/>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204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2020</w:t>
            </w:r>
          </w:p>
        </w:tc>
        <w:tc>
          <w:tcPr>
            <w:tcW w:w="1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20,065,319</w:t>
            </w: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February 2020</w:t>
            </w:r>
          </w:p>
        </w:tc>
        <w:tc>
          <w:tcPr>
            <w:tcW w:w="1840" w:type="dxa"/>
            <w:vAlign w:val="bottom"/>
          </w:tcPr>
          <w:p>
            <w:pPr>
              <w:jc w:val="right"/>
              <w:ind w:right="76"/>
              <w:spacing w:after="0"/>
              <w:rPr>
                <w:sz w:val="20"/>
                <w:szCs w:val="20"/>
                <w:color w:val="auto"/>
              </w:rPr>
            </w:pPr>
            <w:r>
              <w:rPr>
                <w:rFonts w:ascii="Arial" w:cs="Arial" w:eastAsia="Arial" w:hAnsi="Arial"/>
                <w:sz w:val="18"/>
                <w:szCs w:val="18"/>
                <w:color w:val="auto"/>
              </w:rPr>
              <w:t>1,945,036</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29.40</w:t>
            </w:r>
          </w:p>
        </w:tc>
        <w:tc>
          <w:tcPr>
            <w:tcW w:w="2040" w:type="dxa"/>
            <w:vAlign w:val="bottom"/>
          </w:tcPr>
          <w:p>
            <w:pPr>
              <w:jc w:val="right"/>
              <w:ind w:right="57"/>
              <w:spacing w:after="0"/>
              <w:rPr>
                <w:sz w:val="20"/>
                <w:szCs w:val="20"/>
                <w:color w:val="auto"/>
              </w:rPr>
            </w:pPr>
            <w:r>
              <w:rPr>
                <w:rFonts w:ascii="Arial" w:cs="Arial" w:eastAsia="Arial" w:hAnsi="Arial"/>
                <w:sz w:val="18"/>
                <w:szCs w:val="18"/>
                <w:color w:val="auto"/>
              </w:rPr>
              <w:t>1,945,036</w:t>
            </w:r>
          </w:p>
        </w:tc>
        <w:tc>
          <w:tcPr>
            <w:tcW w:w="2040" w:type="dxa"/>
            <w:vAlign w:val="bottom"/>
          </w:tcPr>
          <w:p>
            <w:pPr>
              <w:jc w:val="right"/>
              <w:ind w:right="55"/>
              <w:spacing w:after="0"/>
              <w:rPr>
                <w:sz w:val="20"/>
                <w:szCs w:val="20"/>
                <w:color w:val="auto"/>
              </w:rPr>
            </w:pPr>
            <w:r>
              <w:rPr>
                <w:rFonts w:ascii="Arial" w:cs="Arial" w:eastAsia="Arial" w:hAnsi="Arial"/>
                <w:sz w:val="18"/>
                <w:szCs w:val="18"/>
                <w:color w:val="auto"/>
              </w:rPr>
              <w:t>18,120,283</w:t>
            </w: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5,073,996</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23.97</w:t>
            </w:r>
          </w:p>
        </w:tc>
        <w:tc>
          <w:tcPr>
            <w:tcW w:w="2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5,073,996</w:t>
            </w:r>
          </w:p>
        </w:tc>
        <w:tc>
          <w:tcPr>
            <w:tcW w:w="2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1st Quarter 2020 Total</w:t>
            </w:r>
          </w:p>
        </w:tc>
        <w:tc>
          <w:tcPr>
            <w:tcW w:w="1840" w:type="dxa"/>
            <w:vAlign w:val="bottom"/>
          </w:tcPr>
          <w:p>
            <w:pPr>
              <w:jc w:val="right"/>
              <w:ind w:right="76"/>
              <w:spacing w:after="0"/>
              <w:rPr>
                <w:sz w:val="20"/>
                <w:szCs w:val="20"/>
                <w:color w:val="auto"/>
              </w:rPr>
            </w:pPr>
            <w:r>
              <w:rPr>
                <w:rFonts w:ascii="Arial" w:cs="Arial" w:eastAsia="Arial" w:hAnsi="Arial"/>
                <w:sz w:val="18"/>
                <w:szCs w:val="18"/>
                <w:color w:val="auto"/>
              </w:rPr>
              <w:t>7,019,032</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25.48</w:t>
            </w:r>
          </w:p>
        </w:tc>
        <w:tc>
          <w:tcPr>
            <w:tcW w:w="2040" w:type="dxa"/>
            <w:vAlign w:val="bottom"/>
          </w:tcPr>
          <w:p>
            <w:pPr>
              <w:jc w:val="right"/>
              <w:ind w:right="57"/>
              <w:spacing w:after="0"/>
              <w:rPr>
                <w:sz w:val="20"/>
                <w:szCs w:val="20"/>
                <w:color w:val="auto"/>
              </w:rPr>
            </w:pPr>
            <w:r>
              <w:rPr>
                <w:rFonts w:ascii="Arial" w:cs="Arial" w:eastAsia="Arial" w:hAnsi="Arial"/>
                <w:sz w:val="18"/>
                <w:szCs w:val="18"/>
                <w:color w:val="auto"/>
              </w:rPr>
              <w:t>7,019,032</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2nd Quarter 2020 Total</w:t>
            </w:r>
          </w:p>
        </w:tc>
        <w:tc>
          <w:tcPr>
            <w:tcW w:w="1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tcPr>
          <w:p>
            <w:pPr>
              <w:jc w:val="right"/>
              <w:ind w:right="55"/>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256"/>
        </w:trPr>
        <w:tc>
          <w:tcPr>
            <w:tcW w:w="24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20"/>
              <w:spacing w:after="0"/>
              <w:rPr>
                <w:sz w:val="20"/>
                <w:szCs w:val="20"/>
                <w:color w:val="auto"/>
              </w:rPr>
            </w:pPr>
            <w:r>
              <w:rPr>
                <w:rFonts w:ascii="Arial" w:cs="Arial" w:eastAsia="Arial" w:hAnsi="Arial"/>
                <w:sz w:val="18"/>
                <w:szCs w:val="18"/>
                <w:color w:val="auto"/>
              </w:rPr>
              <w:t>2020 Total</w:t>
            </w:r>
          </w:p>
        </w:tc>
        <w:tc>
          <w:tcPr>
            <w:tcW w:w="1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7,019,032</w:t>
            </w: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25.48</w:t>
            </w:r>
          </w:p>
        </w:tc>
        <w:tc>
          <w:tcPr>
            <w:tcW w:w="20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7,019,032</w:t>
            </w:r>
          </w:p>
        </w:tc>
        <w:tc>
          <w:tcPr>
            <w:tcW w:w="2040" w:type="dxa"/>
            <w:vAlign w:val="bottom"/>
          </w:tcPr>
          <w:p>
            <w:pPr>
              <w:jc w:val="right"/>
              <w:ind w:right="55"/>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As of June 30, 2020 the Company has repurchased 133,953,441 shares at a total cost of $2,052,406,986 under its share repurchase plan or as otherwise previously disclosed.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41">
        <w:r>
          <w:rPr>
            <w:rFonts w:ascii="Arial" w:cs="Arial" w:eastAsia="Arial" w:hAnsi="Arial"/>
            <w:sz w:val="18"/>
            <w:szCs w:val="18"/>
            <w:u w:val="single" w:color="auto"/>
            <w:color w:val="0000FF"/>
          </w:rPr>
          <w:t>42</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7, 2020</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2691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4269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23" w:lineRule="exact"/>
        <w:rPr>
          <w:sz w:val="20"/>
          <w:szCs w:val="20"/>
          <w:color w:val="auto"/>
        </w:rPr>
      </w:pPr>
    </w:p>
    <w:p>
      <w:pPr>
        <w:ind w:right="1400"/>
        <w:spacing w:after="0" w:line="227"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ectPr>
          <w:pgSz w:w="11900" w:h="16838" w:orient="portrait"/>
          <w:cols w:equalWidth="0" w:num="2">
            <w:col w:w="2740" w:space="720"/>
            <w:col w:w="778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87"/>
        </w:trPr>
        <w:tc>
          <w:tcPr>
            <w:tcW w:w="132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88" w:lineRule="exact"/>
              <w:rPr>
                <w:rFonts w:ascii="Arial" w:cs="Arial" w:eastAsia="Arial" w:hAnsi="Arial"/>
                <w:sz w:val="18"/>
                <w:szCs w:val="18"/>
                <w:color w:val="0000FF"/>
              </w:rPr>
            </w:pPr>
            <w:hyperlink w:anchor="page43">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(18 U.S.C. 1350).</w:t>
              </w:r>
            </w:hyperlink>
          </w:p>
        </w:tc>
        <w:tc>
          <w:tcPr>
            <w:tcW w:w="1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(18 U.S.C. 1350).</w:t>
              </w:r>
            </w:hyperlink>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20" w:right="300" w:hanging="1294"/>
        <w:spacing w:after="0" w:line="227" w:lineRule="auto"/>
        <w:tabs>
          <w:tab w:leader="none" w:pos="1320" w:val="left"/>
        </w:tabs>
        <w:numPr>
          <w:ilvl w:val="0"/>
          <w:numId w:val="7"/>
        </w:numPr>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Sarbanes-Oxley Act of 2002 (18 U.S.C. 1350).</w:t>
        </w:r>
      </w:hyperlink>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0"/>
        </w:trPr>
        <w:tc>
          <w:tcPr>
            <w:tcW w:w="1040" w:type="dxa"/>
            <w:vAlign w:val="bottom"/>
            <w:shd w:val="clear" w:color="auto" w:fill="CCEEFF"/>
          </w:tcPr>
          <w:p>
            <w:pPr>
              <w:spacing w:after="0"/>
              <w:rPr>
                <w:sz w:val="20"/>
                <w:szCs w:val="20"/>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6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6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92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7"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7"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5" w:lineRule="exact"/>
        <w:rPr>
          <w:sz w:val="20"/>
          <w:szCs w:val="20"/>
          <w:color w:val="auto"/>
        </w:rPr>
      </w:pPr>
    </w:p>
    <w:p>
      <w:pPr>
        <w:ind w:left="240" w:hanging="232"/>
        <w:spacing w:after="0" w:line="261" w:lineRule="auto"/>
        <w:tabs>
          <w:tab w:leader="none" w:pos="2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2020,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40" w:hanging="232"/>
        <w:spacing w:after="0" w:line="261" w:lineRule="auto"/>
        <w:tabs>
          <w:tab w:leader="none" w:pos="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2020,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2020-08-07T10:13:23Z</dcterms:created>
  <dcterms:modified xsi:type="dcterms:W3CDTF">2020-08-07T10:13:23Z</dcterms:modified>
</cp:coreProperties>
</file>