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September 30, 2025 or</w:t>
      </w:r>
    </w:p>
    <w:p>
      <w:pPr>
        <w:spacing w:after="0" w:line="289"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0"/>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o</w:t>
      </w:r>
    </w:p>
    <w:p>
      <w:pPr>
        <w:spacing w:after="0" w:line="166" w:lineRule="exact"/>
        <w:rPr>
          <w:sz w:val="24"/>
          <w:szCs w:val="24"/>
          <w:color w:val="auto"/>
        </w:rPr>
      </w:pPr>
    </w:p>
    <w:p>
      <w:pPr>
        <w:ind w:right="5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ind w:right="28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7"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67" w:lineRule="exact"/>
        <w:rPr>
          <w:sz w:val="24"/>
          <w:szCs w:val="24"/>
          <w:color w:val="auto"/>
        </w:rPr>
      </w:pPr>
    </w:p>
    <w:p>
      <w:pPr>
        <w:spacing w:after="0" w:line="161" w:lineRule="exact"/>
        <w:tabs>
          <w:tab w:leader="none" w:pos="8040" w:val="left"/>
          <w:tab w:leader="none" w:pos="840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October 24, 2025</w:t>
            </w:r>
          </w:p>
        </w:tc>
      </w:tr>
      <w:tr>
        <w:trPr>
          <w:trHeight w:val="189"/>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218,942,919</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Nine Months Ended September 30, 2025</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gridSpan w:val="3"/>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4620" w:type="dxa"/>
            <w:vAlign w:val="bottom"/>
            <w:gridSpan w:val="6"/>
          </w:tcPr>
          <w:p>
            <w:pPr>
              <w:spacing w:after="0" w:line="195" w:lineRule="exact"/>
              <w:rPr>
                <w:sz w:val="20"/>
                <w:szCs w:val="20"/>
                <w:color w:val="auto"/>
              </w:rPr>
            </w:pPr>
            <w:r>
              <w:rPr>
                <w:rFonts w:ascii="Arial" w:cs="Arial" w:eastAsia="Arial" w:hAnsi="Arial"/>
                <w:sz w:val="18"/>
                <w:szCs w:val="18"/>
                <w:color w:val="0000FF"/>
                <w:w w:val="99"/>
              </w:rPr>
              <w:t>Unaudited Condensed Consolidated Financial Statements</w:t>
            </w:r>
          </w:p>
        </w:tc>
        <w:tc>
          <w:tcPr>
            <w:tcW w:w="3420" w:type="dxa"/>
            <w:vAlign w:val="bottom"/>
            <w:gridSpan w:val="9"/>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jc w:val="center"/>
              <w:spacing w:after="0" w:line="195"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20" w:type="dxa"/>
            <w:vAlign w:val="bottom"/>
          </w:tcPr>
          <w:p>
            <w:pPr>
              <w:spacing w:after="0"/>
              <w:rPr>
                <w:sz w:val="18"/>
                <w:szCs w:val="18"/>
                <w:color w:val="auto"/>
              </w:rPr>
            </w:pPr>
          </w:p>
        </w:tc>
        <w:tc>
          <w:tcPr>
            <w:tcW w:w="342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Income</w:t>
            </w:r>
          </w:p>
        </w:tc>
        <w:tc>
          <w:tcPr>
            <w:tcW w:w="1260" w:type="dxa"/>
            <w:vAlign w:val="bottom"/>
            <w:gridSpan w:val="2"/>
          </w:tcPr>
          <w:p>
            <w:pPr>
              <w:jc w:val="center"/>
              <w:ind w:left="1069"/>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0000FF"/>
                <w:w w:val="99"/>
              </w:rPr>
              <w:t>Unaudited Condensed Consolidated Statements of Comprehensive Income</w:t>
            </w:r>
          </w:p>
        </w:tc>
        <w:tc>
          <w:tcPr>
            <w:tcW w:w="204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Shareholders' Investment</w:t>
            </w:r>
          </w:p>
        </w:tc>
        <w:tc>
          <w:tcPr>
            <w:tcW w:w="1260" w:type="dxa"/>
            <w:vAlign w:val="bottom"/>
            <w:gridSpan w:val="2"/>
          </w:tcPr>
          <w:p>
            <w:pPr>
              <w:jc w:val="center"/>
              <w:ind w:left="1069"/>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10"/>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080" w:type="dxa"/>
            <w:vAlign w:val="bottom"/>
            <w:gridSpan w:val="3"/>
          </w:tcPr>
          <w:p>
            <w:pPr>
              <w:spacing w:after="0"/>
              <w:rPr>
                <w:sz w:val="18"/>
                <w:szCs w:val="18"/>
                <w:color w:val="auto"/>
              </w:rPr>
            </w:pPr>
          </w:p>
        </w:tc>
        <w:tc>
          <w:tcPr>
            <w:tcW w:w="1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2700" w:type="dxa"/>
            <w:vAlign w:val="bottom"/>
            <w:gridSpan w:val="4"/>
          </w:tcPr>
          <w:p>
            <w:pPr>
              <w:spacing w:after="0"/>
              <w:rPr>
                <w:sz w:val="18"/>
                <w:szCs w:val="18"/>
                <w:color w:val="auto"/>
              </w:rPr>
            </w:pP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10</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35</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spacing w:after="0"/>
              <w:rPr>
                <w:sz w:val="18"/>
                <w:szCs w:val="18"/>
                <w:color w:val="auto"/>
              </w:rPr>
            </w:pP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49</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340" w:type="dxa"/>
            <w:vAlign w:val="bottom"/>
            <w:gridSpan w:val="7"/>
          </w:tcPr>
          <w:p>
            <w:pPr>
              <w:spacing w:after="0"/>
              <w:rPr>
                <w:sz w:val="18"/>
                <w:szCs w:val="18"/>
                <w:color w:val="auto"/>
              </w:rPr>
            </w:pP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49</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5"/>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II -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5" w:lineRule="exact"/>
              <w:rPr>
                <w:sz w:val="20"/>
                <w:szCs w:val="20"/>
                <w:color w:val="auto"/>
              </w:rPr>
            </w:pPr>
            <w:r>
              <w:rPr>
                <w:rFonts w:ascii="Arial" w:cs="Arial" w:eastAsia="Arial" w:hAnsi="Arial"/>
                <w:sz w:val="18"/>
                <w:szCs w:val="18"/>
                <w:color w:val="0000FF"/>
                <w:w w:val="95"/>
              </w:rPr>
              <w:t>Risk Factors</w:t>
            </w:r>
          </w:p>
        </w:tc>
        <w:tc>
          <w:tcPr>
            <w:tcW w:w="7040" w:type="dxa"/>
            <w:vAlign w:val="bottom"/>
            <w:gridSpan w:val="12"/>
          </w:tcPr>
          <w:p>
            <w:pPr>
              <w:spacing w:after="0"/>
              <w:rPr>
                <w:sz w:val="16"/>
                <w:szCs w:val="16"/>
                <w:color w:val="auto"/>
              </w:rPr>
            </w:pPr>
          </w:p>
        </w:tc>
        <w:tc>
          <w:tcPr>
            <w:tcW w:w="1480" w:type="dxa"/>
            <w:vAlign w:val="bottom"/>
            <w:gridSpan w:val="3"/>
          </w:tcPr>
          <w:p>
            <w:pPr>
              <w:jc w:val="center"/>
              <w:ind w:left="869"/>
              <w:spacing w:after="0" w:line="195" w:lineRule="exact"/>
              <w:rPr>
                <w:sz w:val="20"/>
                <w:szCs w:val="20"/>
                <w:color w:val="auto"/>
              </w:rPr>
            </w:pPr>
            <w:r>
              <w:rPr>
                <w:rFonts w:ascii="Arial" w:cs="Arial" w:eastAsia="Arial" w:hAnsi="Arial"/>
                <w:sz w:val="18"/>
                <w:szCs w:val="18"/>
                <w:color w:val="0000FF"/>
                <w:w w:val="99"/>
              </w:rPr>
              <w:t>51</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51</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3200" w:type="dxa"/>
            <w:vAlign w:val="bottom"/>
            <w:gridSpan w:val="6"/>
          </w:tcPr>
          <w:p>
            <w:pPr>
              <w:spacing w:after="0"/>
              <w:rPr>
                <w:sz w:val="18"/>
                <w:szCs w:val="18"/>
                <w:color w:val="auto"/>
              </w:rPr>
            </w:pP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52</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302FF"/>
                <w:w w:val="97"/>
              </w:rPr>
              <w:t>Signatures</w:t>
            </w:r>
          </w:p>
        </w:tc>
        <w:tc>
          <w:tcPr>
            <w:tcW w:w="7180" w:type="dxa"/>
            <w:vAlign w:val="bottom"/>
            <w:gridSpan w:val="13"/>
          </w:tcPr>
          <w:p>
            <w:pPr>
              <w:spacing w:after="0"/>
              <w:rPr>
                <w:sz w:val="18"/>
                <w:szCs w:val="18"/>
                <w:color w:val="auto"/>
              </w:rPr>
            </w:pP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52</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Exhibit Index</w:t>
            </w:r>
          </w:p>
        </w:tc>
        <w:tc>
          <w:tcPr>
            <w:tcW w:w="1480" w:type="dxa"/>
            <w:vAlign w:val="bottom"/>
            <w:gridSpan w:val="3"/>
          </w:tcPr>
          <w:p>
            <w:pPr>
              <w:jc w:val="center"/>
              <w:ind w:left="869"/>
              <w:spacing w:after="0"/>
              <w:rPr>
                <w:sz w:val="20"/>
                <w:szCs w:val="20"/>
                <w:color w:val="auto"/>
              </w:rPr>
            </w:pPr>
            <w:r>
              <w:rPr>
                <w:rFonts w:ascii="Arial" w:cs="Arial" w:eastAsia="Arial" w:hAnsi="Arial"/>
                <w:sz w:val="18"/>
                <w:szCs w:val="18"/>
                <w:color w:val="0000FF"/>
                <w:w w:val="99"/>
              </w:rPr>
              <w:t>53</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31"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7"/>
          <w:szCs w:val="17"/>
          <w:b w:val="1"/>
          <w:bCs w:val="1"/>
          <w:color w:val="auto"/>
        </w:rPr>
        <w:t>PART I —FINANCIAL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Arial" w:cs="Arial" w:eastAsia="Arial" w:hAnsi="Arial"/>
          <w:sz w:val="13"/>
          <w:szCs w:val="13"/>
          <w:color w:val="auto"/>
        </w:rPr>
        <w:t>ASSETS</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3"/>
          <w:szCs w:val="13"/>
          <w:color w:val="auto"/>
        </w:rPr>
        <w:t>CURRENT ASSETS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Cash and cash equivalents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Short-term investments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Accounts receivable, net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Inventories, net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Prepaid expenses and other</w:t>
      </w:r>
    </w:p>
    <w:p>
      <w:pPr>
        <w:spacing w:after="0" w:line="4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current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2"/>
          <w:szCs w:val="12"/>
          <w:color w:val="auto"/>
        </w:rPr>
        <w:t>PLANT AND EQUIPMENT—NET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3"/>
          <w:szCs w:val="13"/>
          <w:color w:val="auto"/>
        </w:rPr>
        <w:t>OTHER ASSETS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Goodwill</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Long-term investments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Intangible assets, net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Deferred tax asset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Patents and other assets, net</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other assets</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GENTEX CORPORATION AND SUBSIDIARIES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CONDENSED CONSOLIDATED BALANCE SHEETS</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As of September 30, 2025 and December 31, 2024</w:t>
      </w:r>
    </w:p>
    <w:p>
      <w:pPr>
        <w:spacing w:after="0" w:line="63" w:lineRule="exact"/>
        <w:rPr>
          <w:sz w:val="20"/>
          <w:szCs w:val="20"/>
          <w:color w:val="auto"/>
        </w:rPr>
      </w:pPr>
    </w:p>
    <w:tbl>
      <w:tblPr>
        <w:tblLayout w:type="fixed"/>
        <w:tblInd w:w="340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September 30, 2025 (Unaudited)</w:t>
            </w:r>
          </w:p>
        </w:tc>
        <w:tc>
          <w:tcPr>
            <w:tcW w:w="280" w:type="dxa"/>
            <w:vAlign w:val="bottom"/>
          </w:tcPr>
          <w:p>
            <w:pPr>
              <w:spacing w:after="0"/>
              <w:rPr>
                <w:sz w:val="13"/>
                <w:szCs w:val="13"/>
                <w:color w:val="auto"/>
              </w:rPr>
            </w:pPr>
          </w:p>
        </w:tc>
        <w:tc>
          <w:tcPr>
            <w:tcW w:w="1820" w:type="dxa"/>
            <w:vAlign w:val="bottom"/>
          </w:tcPr>
          <w:p>
            <w:pPr>
              <w:jc w:val="right"/>
              <w:ind w:right="437"/>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ind w:right="817"/>
              <w:spacing w:after="0"/>
              <w:rPr>
                <w:sz w:val="20"/>
                <w:szCs w:val="20"/>
                <w:color w:val="auto"/>
              </w:rPr>
            </w:pPr>
            <w:r>
              <w:rPr>
                <w:rFonts w:ascii="Arial" w:cs="Arial" w:eastAsia="Arial" w:hAnsi="Arial"/>
                <w:sz w:val="13"/>
                <w:szCs w:val="13"/>
                <w:b w:val="1"/>
                <w:bCs w:val="1"/>
                <w:color w:val="auto"/>
              </w:rPr>
              <w:t>(Note)</w:t>
            </w:r>
          </w:p>
        </w:tc>
        <w:tc>
          <w:tcPr>
            <w:tcW w:w="0" w:type="dxa"/>
            <w:vAlign w:val="bottom"/>
          </w:tcPr>
          <w:p>
            <w:pPr>
              <w:spacing w:after="0"/>
              <w:rPr>
                <w:sz w:val="1"/>
                <w:szCs w:val="1"/>
                <w:color w:val="auto"/>
              </w:rPr>
            </w:pPr>
          </w:p>
        </w:tc>
      </w:tr>
      <w:tr>
        <w:trPr>
          <w:trHeight w:val="497"/>
        </w:trPr>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178,589,422</w:t>
            </w:r>
          </w:p>
        </w:tc>
        <w:tc>
          <w:tcPr>
            <w:tcW w:w="160" w:type="dxa"/>
            <w:vAlign w:val="bottom"/>
          </w:tcPr>
          <w:p>
            <w:pPr>
              <w:spacing w:after="0"/>
              <w:rPr>
                <w:sz w:val="24"/>
                <w:szCs w:val="24"/>
                <w:color w:val="auto"/>
              </w:rPr>
            </w:pPr>
          </w:p>
        </w:tc>
        <w:tc>
          <w:tcPr>
            <w:tcW w:w="28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18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233,318,766</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4,815,376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22,304,829</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384,673,839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295,344,353</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499,243,613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436,497,445</w:t>
            </w:r>
          </w:p>
        </w:tc>
        <w:tc>
          <w:tcPr>
            <w:tcW w:w="0" w:type="dxa"/>
            <w:vAlign w:val="bottom"/>
          </w:tcPr>
          <w:p>
            <w:pPr>
              <w:spacing w:after="0"/>
              <w:rPr>
                <w:sz w:val="1"/>
                <w:szCs w:val="1"/>
                <w:color w:val="auto"/>
              </w:rPr>
            </w:pPr>
          </w:p>
        </w:tc>
      </w:tr>
      <w:tr>
        <w:trPr>
          <w:trHeight w:val="183"/>
        </w:trPr>
        <w:tc>
          <w:tcPr>
            <w:tcW w:w="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101,151,652</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49,862,777</w:t>
            </w: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1,168,473,902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1,037,328,170</w:t>
            </w:r>
          </w:p>
        </w:tc>
        <w:tc>
          <w:tcPr>
            <w:tcW w:w="0" w:type="dxa"/>
            <w:vAlign w:val="bottom"/>
          </w:tcPr>
          <w:p>
            <w:pPr>
              <w:spacing w:after="0"/>
              <w:rPr>
                <w:sz w:val="1"/>
                <w:szCs w:val="1"/>
                <w:color w:val="auto"/>
              </w:rPr>
            </w:pPr>
          </w:p>
        </w:tc>
      </w:tr>
      <w:tr>
        <w:trPr>
          <w:trHeight w:val="374"/>
        </w:trPr>
        <w:tc>
          <w:tcPr>
            <w:tcW w:w="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799,496,473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728,481,467</w:t>
            </w:r>
          </w:p>
        </w:tc>
        <w:tc>
          <w:tcPr>
            <w:tcW w:w="0" w:type="dxa"/>
            <w:vAlign w:val="bottom"/>
          </w:tcPr>
          <w:p>
            <w:pPr>
              <w:spacing w:after="0"/>
              <w:rPr>
                <w:sz w:val="1"/>
                <w:szCs w:val="1"/>
                <w:color w:val="auto"/>
              </w:rPr>
            </w:pPr>
          </w:p>
        </w:tc>
      </w:tr>
      <w:tr>
        <w:trPr>
          <w:trHeight w:val="567"/>
        </w:trPr>
        <w:tc>
          <w:tcPr>
            <w:tcW w:w="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356,913,957</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340,668,927</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247,357,706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339,604,044</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191,437,576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195,157,160</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92,660,519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53,154,832</w:t>
            </w:r>
          </w:p>
        </w:tc>
        <w:tc>
          <w:tcPr>
            <w:tcW w:w="0" w:type="dxa"/>
            <w:vAlign w:val="bottom"/>
          </w:tcPr>
          <w:p>
            <w:pPr>
              <w:spacing w:after="0"/>
              <w:rPr>
                <w:sz w:val="1"/>
                <w:szCs w:val="1"/>
                <w:color w:val="auto"/>
              </w:rPr>
            </w:pPr>
          </w:p>
        </w:tc>
      </w:tr>
      <w:tr>
        <w:trPr>
          <w:trHeight w:val="183"/>
        </w:trPr>
        <w:tc>
          <w:tcPr>
            <w:tcW w:w="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82,414,519</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66,426,375</w:t>
            </w:r>
          </w:p>
        </w:tc>
        <w:tc>
          <w:tcPr>
            <w:tcW w:w="0" w:type="dxa"/>
            <w:vAlign w:val="bottom"/>
          </w:tcPr>
          <w:p>
            <w:pPr>
              <w:spacing w:after="0"/>
              <w:rPr>
                <w:sz w:val="1"/>
                <w:szCs w:val="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970,784,277</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995,011,338</w:t>
            </w:r>
          </w:p>
        </w:tc>
        <w:tc>
          <w:tcPr>
            <w:tcW w:w="0" w:type="dxa"/>
            <w:vAlign w:val="bottom"/>
          </w:tcPr>
          <w:p>
            <w:pPr>
              <w:spacing w:after="0"/>
              <w:rPr>
                <w:sz w:val="1"/>
                <w:szCs w:val="1"/>
                <w:color w:val="auto"/>
              </w:rPr>
            </w:pPr>
          </w:p>
        </w:tc>
      </w:tr>
      <w:tr>
        <w:trPr>
          <w:trHeight w:val="169"/>
        </w:trPr>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2,938,754,652</w:t>
            </w:r>
          </w:p>
        </w:tc>
        <w:tc>
          <w:tcPr>
            <w:tcW w:w="160" w:type="dxa"/>
            <w:vAlign w:val="bottom"/>
          </w:tcPr>
          <w:p>
            <w:pPr>
              <w:spacing w:after="0"/>
              <w:rPr>
                <w:sz w:val="14"/>
                <w:szCs w:val="1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2,760,820,975</w:t>
            </w:r>
          </w:p>
        </w:tc>
        <w:tc>
          <w:tcPr>
            <w:tcW w:w="0" w:type="dxa"/>
            <w:vAlign w:val="bottom"/>
          </w:tcPr>
          <w:p>
            <w:pPr>
              <w:spacing w:after="0"/>
              <w:rPr>
                <w:sz w:val="1"/>
                <w:szCs w:val="1"/>
                <w:color w:val="auto"/>
              </w:rPr>
            </w:pPr>
          </w:p>
        </w:tc>
      </w:tr>
      <w:tr>
        <w:trPr>
          <w:trHeight w:val="25"/>
        </w:trPr>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-2416810</wp:posOffset>
            </wp:positionV>
            <wp:extent cx="7089140"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9748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-2108200</wp:posOffset>
            </wp:positionV>
            <wp:extent cx="7089140" cy="111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1176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-1885315</wp:posOffset>
            </wp:positionV>
            <wp:extent cx="7089140" cy="111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1112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-1662430</wp:posOffset>
            </wp:positionV>
            <wp:extent cx="7089140" cy="111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11112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-1439545</wp:posOffset>
            </wp:positionV>
            <wp:extent cx="708914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1200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-1190625</wp:posOffset>
            </wp:positionV>
            <wp:extent cx="7089140" cy="111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11112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-942340</wp:posOffset>
            </wp:positionV>
            <wp:extent cx="708914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11176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-719455</wp:posOffset>
            </wp:positionV>
            <wp:extent cx="7089140" cy="111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11112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-496570</wp:posOffset>
            </wp:positionV>
            <wp:extent cx="7089140"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11112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-273685</wp:posOffset>
            </wp:positionV>
            <wp:extent cx="708914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1200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40" w:space="720"/>
            <w:col w:w="7780"/>
          </w:cols>
          <w:pgMar w:left="320" w:top="931" w:right="339" w:bottom="1440" w:gutter="0" w:footer="0" w:header="0"/>
          <w:type w:val="continuous"/>
        </w:sectPr>
      </w:pPr>
    </w:p>
    <w:tbl>
      <w:tblPr>
        <w:tblLayout w:type="fixed"/>
        <w:tblInd w:w="40" w:type="dxa"/>
        <w:tblCellMar>
          <w:top w:w="0" w:type="dxa"/>
          <w:left w:w="0" w:type="dxa"/>
          <w:bottom w:w="0" w:type="dxa"/>
          <w:right w:w="0" w:type="dxa"/>
        </w:tblCellMar>
      </w:tblPr>
      <w:tr>
        <w:trPr>
          <w:trHeight w:val="169"/>
        </w:trPr>
        <w:tc>
          <w:tcPr>
            <w:tcW w:w="68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LIABILITIES AND SHAREHOLDERS’ INVESTMENT</w:t>
            </w: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21"/>
        </w:trPr>
        <w:tc>
          <w:tcPr>
            <w:tcW w:w="6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6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66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252,041,199</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168,314,912</w:t>
            </w:r>
          </w:p>
        </w:tc>
      </w:tr>
      <w:tr>
        <w:trPr>
          <w:trHeight w:val="171"/>
        </w:trPr>
        <w:tc>
          <w:tcPr>
            <w:tcW w:w="6820" w:type="dxa"/>
            <w:vAlign w:val="bottom"/>
          </w:tcPr>
          <w:p>
            <w:pPr>
              <w:ind w:left="240"/>
              <w:spacing w:after="0"/>
              <w:rPr>
                <w:sz w:val="20"/>
                <w:szCs w:val="20"/>
                <w:color w:val="auto"/>
              </w:rPr>
            </w:pPr>
            <w:r>
              <w:rPr>
                <w:rFonts w:ascii="Arial" w:cs="Arial" w:eastAsia="Arial" w:hAnsi="Arial"/>
                <w:sz w:val="13"/>
                <w:szCs w:val="13"/>
                <w:color w:val="auto"/>
              </w:rPr>
              <w:t>Short-term debt</w:t>
            </w:r>
          </w:p>
        </w:tc>
        <w:tc>
          <w:tcPr>
            <w:tcW w:w="6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4,130,859</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80"/>
        </w:trPr>
        <w:tc>
          <w:tcPr>
            <w:tcW w:w="6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liabilities</w:t>
            </w:r>
          </w:p>
        </w:tc>
        <w:tc>
          <w:tcPr>
            <w:tcW w:w="6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138,284,171</w:t>
            </w:r>
          </w:p>
        </w:tc>
        <w:tc>
          <w:tcPr>
            <w:tcW w:w="1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84,377,764</w:t>
            </w:r>
          </w:p>
        </w:tc>
      </w:tr>
      <w:tr>
        <w:trPr>
          <w:trHeight w:val="164"/>
        </w:trPr>
        <w:tc>
          <w:tcPr>
            <w:tcW w:w="6820" w:type="dxa"/>
            <w:vAlign w:val="bottom"/>
          </w:tcPr>
          <w:p>
            <w:pPr>
              <w:ind w:left="460"/>
              <w:spacing w:after="0"/>
              <w:rPr>
                <w:sz w:val="20"/>
                <w:szCs w:val="20"/>
                <w:color w:val="auto"/>
              </w:rPr>
            </w:pPr>
            <w:r>
              <w:rPr>
                <w:rFonts w:ascii="Arial" w:cs="Arial" w:eastAsia="Arial" w:hAnsi="Arial"/>
                <w:sz w:val="13"/>
                <w:szCs w:val="13"/>
                <w:color w:val="auto"/>
              </w:rPr>
              <w:t>Total current liabilities</w:t>
            </w:r>
          </w:p>
        </w:tc>
        <w:tc>
          <w:tcPr>
            <w:tcW w:w="6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394,456,229</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252,692,676</w:t>
            </w:r>
          </w:p>
        </w:tc>
      </w:tr>
      <w:tr>
        <w:trPr>
          <w:trHeight w:val="221"/>
        </w:trPr>
        <w:tc>
          <w:tcPr>
            <w:tcW w:w="6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OTHER NON-CURRENT LIABILITIES</w:t>
            </w:r>
          </w:p>
        </w:tc>
        <w:tc>
          <w:tcPr>
            <w:tcW w:w="6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45,097,267</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36,028,644</w:t>
            </w:r>
          </w:p>
        </w:tc>
      </w:tr>
      <w:tr>
        <w:trPr>
          <w:trHeight w:val="221"/>
        </w:trPr>
        <w:tc>
          <w:tcPr>
            <w:tcW w:w="6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DEFERRED INCOME TAXES</w:t>
            </w: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1,666,672</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r>
      <w:tr>
        <w:trPr>
          <w:trHeight w:val="201"/>
        </w:trPr>
        <w:tc>
          <w:tcPr>
            <w:tcW w:w="6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TOTAL LIABILITIES</w:t>
            </w:r>
          </w:p>
        </w:tc>
        <w:tc>
          <w:tcPr>
            <w:tcW w:w="6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441,220,168</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288,721,320</w:t>
            </w:r>
          </w:p>
        </w:tc>
      </w:tr>
      <w:tr>
        <w:trPr>
          <w:trHeight w:val="221"/>
        </w:trPr>
        <w:tc>
          <w:tcPr>
            <w:tcW w:w="6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REDEEMABLE NON-CONTROLLING INTEREST</w:t>
            </w:r>
          </w:p>
        </w:tc>
        <w:tc>
          <w:tcPr>
            <w:tcW w:w="6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2,319,658</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21"/>
        </w:trPr>
        <w:tc>
          <w:tcPr>
            <w:tcW w:w="6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1"/>
        </w:trPr>
        <w:tc>
          <w:tcPr>
            <w:tcW w:w="6820" w:type="dxa"/>
            <w:vAlign w:val="bottom"/>
          </w:tcPr>
          <w:p>
            <w:pPr>
              <w:ind w:left="20"/>
              <w:spacing w:after="0"/>
              <w:rPr>
                <w:sz w:val="20"/>
                <w:szCs w:val="20"/>
                <w:color w:val="auto"/>
              </w:rPr>
            </w:pPr>
            <w:r>
              <w:rPr>
                <w:rFonts w:ascii="Arial" w:cs="Arial" w:eastAsia="Arial" w:hAnsi="Arial"/>
                <w:sz w:val="13"/>
                <w:szCs w:val="13"/>
                <w:color w:val="auto"/>
              </w:rPr>
              <w:t>SHAREHOLDERS’ INVESTMENT</w:t>
            </w: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6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Common stock</w:t>
            </w: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13,137,108</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13,632,448</w:t>
            </w:r>
          </w:p>
        </w:tc>
      </w:tr>
      <w:tr>
        <w:trPr>
          <w:trHeight w:val="171"/>
        </w:trPr>
        <w:tc>
          <w:tcPr>
            <w:tcW w:w="682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1,012,857,311</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1,010,440,420</w:t>
            </w:r>
          </w:p>
        </w:tc>
      </w:tr>
      <w:tr>
        <w:trPr>
          <w:trHeight w:val="180"/>
        </w:trPr>
        <w:tc>
          <w:tcPr>
            <w:tcW w:w="6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Retained earnings</w:t>
            </w: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1,471,866,630</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1,450,287,128</w:t>
            </w:r>
          </w:p>
        </w:tc>
      </w:tr>
      <w:tr>
        <w:trPr>
          <w:trHeight w:val="171"/>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Accumulated other comprehensive loss</w:t>
            </w: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(2,646,223)</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(6,409,341)</w:t>
            </w:r>
          </w:p>
        </w:tc>
      </w:tr>
      <w:tr>
        <w:trPr>
          <w:trHeight w:val="174"/>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GENTEX CORPORATION SHAREHOLDERS' INVESTMENT</w:t>
            </w: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2,495,214,826</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2,467,950,655</w:t>
            </w:r>
          </w:p>
        </w:tc>
      </w:tr>
      <w:tr>
        <w:trPr>
          <w:trHeight w:val="171"/>
        </w:trPr>
        <w:tc>
          <w:tcPr>
            <w:tcW w:w="6820" w:type="dxa"/>
            <w:vAlign w:val="bottom"/>
          </w:tcPr>
          <w:p>
            <w:pPr>
              <w:ind w:left="240"/>
              <w:spacing w:after="0"/>
              <w:rPr>
                <w:sz w:val="20"/>
                <w:szCs w:val="20"/>
                <w:color w:val="auto"/>
              </w:rPr>
            </w:pPr>
            <w:r>
              <w:rPr>
                <w:rFonts w:ascii="Arial" w:cs="Arial" w:eastAsia="Arial" w:hAnsi="Arial"/>
                <w:sz w:val="13"/>
                <w:szCs w:val="13"/>
                <w:color w:val="auto"/>
              </w:rPr>
              <w:t>Non-controlling Interest</w:t>
            </w:r>
          </w:p>
        </w:tc>
        <w:tc>
          <w:tcPr>
            <w:tcW w:w="66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4,149,000</w:t>
            </w:r>
          </w:p>
        </w:tc>
      </w:tr>
      <w:tr>
        <w:trPr>
          <w:trHeight w:val="174"/>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SHAREHOLDERS' INVESTMENT</w:t>
            </w: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2,495,214,826</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2,472,099,655</w:t>
            </w:r>
          </w:p>
        </w:tc>
      </w:tr>
      <w:tr>
        <w:trPr>
          <w:trHeight w:val="164"/>
        </w:trPr>
        <w:tc>
          <w:tcPr>
            <w:tcW w:w="6820" w:type="dxa"/>
            <w:vAlign w:val="bottom"/>
          </w:tcPr>
          <w:p>
            <w:pPr>
              <w:ind w:left="20"/>
              <w:spacing w:after="0" w:line="146" w:lineRule="exact"/>
              <w:rPr>
                <w:sz w:val="20"/>
                <w:szCs w:val="20"/>
                <w:color w:val="auto"/>
              </w:rPr>
            </w:pPr>
            <w:r>
              <w:rPr>
                <w:rFonts w:ascii="Arial" w:cs="Arial" w:eastAsia="Arial" w:hAnsi="Arial"/>
                <w:sz w:val="13"/>
                <w:szCs w:val="13"/>
                <w:color w:val="auto"/>
              </w:rPr>
              <w:t>TOTAL LIABILITIES, REDEEMABLE NON-CONTROLLING INTEREST, AND SHAREHOLDERS' INVESTMENT</w:t>
            </w:r>
          </w:p>
        </w:tc>
        <w:tc>
          <w:tcPr>
            <w:tcW w:w="6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2,938,754,652</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2,760,820,975</w:t>
            </w:r>
          </w:p>
        </w:tc>
      </w:tr>
      <w:tr>
        <w:trPr>
          <w:trHeight w:val="25"/>
        </w:trPr>
        <w:tc>
          <w:tcPr>
            <w:tcW w:w="68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right="260"/>
        <w:spacing w:after="0" w:line="264" w:lineRule="auto"/>
        <w:rPr>
          <w:sz w:val="20"/>
          <w:szCs w:val="20"/>
          <w:color w:val="auto"/>
        </w:rPr>
      </w:pPr>
      <w:r>
        <w:rPr>
          <w:rFonts w:ascii="Arial" w:cs="Arial" w:eastAsia="Arial" w:hAnsi="Arial"/>
          <w:sz w:val="13"/>
          <w:szCs w:val="13"/>
          <w:color w:val="auto"/>
        </w:rPr>
        <w:t>Note: The condensed consolidated balance sheet at December 31, 2024 has been derived from the audited consolidated financial statements at that date, but does not include all of the inflation and footnotes required by accounting principles generally accepted in the United States for complete financial statements.</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6"/>
          <w:szCs w:val="16"/>
          <w:b w:val="1"/>
          <w:bCs w:val="1"/>
          <w:color w:val="auto"/>
        </w:rPr>
        <w:t>GENTEX CORPORATION AND SUBSIDIARIES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CONDENSED CONSOLIDATED STATEMENTS OF INCOME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For the Three and Nine Months Ended September 30, 2025 and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160" w:type="dxa"/>
            <w:vAlign w:val="bottom"/>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shd w:val="clear" w:color="auto" w:fill="CCEEFF"/>
          </w:tcPr>
          <w:p>
            <w:pPr>
              <w:spacing w:after="0"/>
              <w:rPr>
                <w:sz w:val="16"/>
                <w:szCs w:val="16"/>
                <w:color w:val="auto"/>
              </w:rPr>
            </w:pPr>
          </w:p>
        </w:tc>
        <w:tc>
          <w:tcPr>
            <w:tcW w:w="3040" w:type="dxa"/>
            <w:vAlign w:val="bottom"/>
            <w:gridSpan w:val="4"/>
            <w:shd w:val="clear" w:color="auto" w:fill="CCEEFF"/>
          </w:tcPr>
          <w:p>
            <w:pPr>
              <w:jc w:val="right"/>
              <w:ind w:right="39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655,236,055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608,525,777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1,889,867,355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1,771,676,766</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430,069,318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404,462,142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1,247,676,128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1,176,812,215</w:t>
            </w:r>
          </w:p>
        </w:tc>
        <w:tc>
          <w:tcPr>
            <w:tcW w:w="0" w:type="dxa"/>
            <w:vAlign w:val="bottom"/>
          </w:tcPr>
          <w:p>
            <w:pPr>
              <w:spacing w:after="0"/>
              <w:rPr>
                <w:sz w:val="1"/>
                <w:szCs w:val="1"/>
                <w:color w:val="auto"/>
              </w:rPr>
            </w:pPr>
          </w:p>
        </w:tc>
      </w:tr>
      <w:tr>
        <w:trPr>
          <w:trHeight w:val="209"/>
        </w:trPr>
        <w:tc>
          <w:tcPr>
            <w:tcW w:w="436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225,166,737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204,063,635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642,191,227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594,864,551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Engineering, research and development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52,634,707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48,225,968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150,030,348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134,411,948</w:t>
            </w:r>
          </w:p>
        </w:tc>
        <w:tc>
          <w:tcPr>
            <w:tcW w:w="0" w:type="dxa"/>
            <w:vAlign w:val="bottom"/>
          </w:tcPr>
          <w:p>
            <w:pPr>
              <w:spacing w:after="0"/>
              <w:rPr>
                <w:sz w:val="1"/>
                <w:szCs w:val="1"/>
                <w:color w:val="auto"/>
              </w:rPr>
            </w:pPr>
          </w:p>
        </w:tc>
      </w:tr>
      <w:tr>
        <w:trPr>
          <w:trHeight w:val="215"/>
        </w:trPr>
        <w:tc>
          <w:tcPr>
            <w:tcW w:w="4360" w:type="dxa"/>
            <w:vAlign w:val="bottom"/>
          </w:tcPr>
          <w:p>
            <w:pPr>
              <w:ind w:left="240"/>
              <w:spacing w:after="0"/>
              <w:rPr>
                <w:sz w:val="20"/>
                <w:szCs w:val="20"/>
                <w:color w:val="auto"/>
              </w:rPr>
            </w:pPr>
            <w:r>
              <w:rPr>
                <w:rFonts w:ascii="Arial" w:cs="Arial" w:eastAsia="Arial" w:hAnsi="Arial"/>
                <w:sz w:val="16"/>
                <w:szCs w:val="16"/>
                <w:color w:val="auto"/>
              </w:rPr>
              <w:t>Selling, general &amp; administrative</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49,686,902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30,109,515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128,135,262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90,494,117</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Severance expense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10,191,438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102,839,799</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78,335,483</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288,357,048</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224,906,065</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240"/>
              <w:spacing w:after="0"/>
              <w:rPr>
                <w:sz w:val="20"/>
                <w:szCs w:val="20"/>
                <w:color w:val="auto"/>
              </w:rPr>
            </w:pPr>
            <w:r>
              <w:rPr>
                <w:rFonts w:ascii="Arial" w:cs="Arial" w:eastAsia="Arial" w:hAnsi="Arial"/>
                <w:sz w:val="16"/>
                <w:szCs w:val="16"/>
                <w:color w:val="auto"/>
              </w:rPr>
              <w:t>Income from operations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122,326,938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125,728,152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353,834,179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369,958,486</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40"/>
              <w:spacing w:after="0"/>
              <w:rPr>
                <w:sz w:val="20"/>
                <w:szCs w:val="20"/>
                <w:color w:val="auto"/>
              </w:rPr>
            </w:pPr>
            <w:r>
              <w:rPr>
                <w:rFonts w:ascii="Arial" w:cs="Arial" w:eastAsia="Arial" w:hAnsi="Arial"/>
                <w:sz w:val="16"/>
                <w:szCs w:val="16"/>
                <w:color w:val="auto"/>
              </w:rPr>
              <w:t>OTHER (LOSS) INCOME</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 income, net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542,055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18,982,629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1,788,679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3,220,333</w:t>
            </w:r>
          </w:p>
        </w:tc>
        <w:tc>
          <w:tcPr>
            <w:tcW w:w="0" w:type="dxa"/>
            <w:vAlign w:val="bottom"/>
          </w:tcPr>
          <w:p>
            <w:pPr>
              <w:spacing w:after="0"/>
              <w:rPr>
                <w:sz w:val="1"/>
                <w:szCs w:val="1"/>
                <w:color w:val="auto"/>
              </w:rPr>
            </w:pPr>
          </w:p>
        </w:tc>
      </w:tr>
      <w:tr>
        <w:trPr>
          <w:trHeight w:val="215"/>
        </w:trPr>
        <w:tc>
          <w:tcPr>
            <w:tcW w:w="4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(2,298,285)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744,569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(5,954,429)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1,255,438</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(loss) income, net</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(1,756,230)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19,727,198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(4,165,750)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4,475,771</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120,570,708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145,455,350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349,668,429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374,434,257</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19,684,004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22,906,309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58,257,230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57,614,063</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100,886,704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122,549,041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291,411,199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316,820,194</w:t>
            </w:r>
          </w:p>
        </w:tc>
        <w:tc>
          <w:tcPr>
            <w:tcW w:w="0" w:type="dxa"/>
            <w:vAlign w:val="bottom"/>
          </w:tcPr>
          <w:p>
            <w:pPr>
              <w:spacing w:after="0"/>
              <w:rPr>
                <w:sz w:val="1"/>
                <w:szCs w:val="1"/>
                <w:color w:val="auto"/>
              </w:rPr>
            </w:pPr>
          </w:p>
        </w:tc>
      </w:tr>
      <w:tr>
        <w:trPr>
          <w:trHeight w:val="215"/>
        </w:trPr>
        <w:tc>
          <w:tcPr>
            <w:tcW w:w="4360" w:type="dxa"/>
            <w:vAlign w:val="bottom"/>
          </w:tcPr>
          <w:p>
            <w:pPr>
              <w:ind w:left="160"/>
              <w:spacing w:after="0"/>
              <w:rPr>
                <w:sz w:val="20"/>
                <w:szCs w:val="20"/>
                <w:color w:val="auto"/>
              </w:rPr>
            </w:pPr>
            <w:r>
              <w:rPr>
                <w:rFonts w:ascii="Arial" w:cs="Arial" w:eastAsia="Arial" w:hAnsi="Arial"/>
                <w:sz w:val="16"/>
                <w:szCs w:val="16"/>
                <w:color w:val="auto"/>
              </w:rPr>
              <w:t>Less: Net loss attributable to non-controlling interests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(81,206)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(470,340)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43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6"/>
                <w:szCs w:val="16"/>
                <w:color w:val="auto"/>
              </w:rPr>
              <w:t>NET INCOME ATTRIBUTABLE TO GENTEX</w:t>
            </w:r>
          </w:p>
        </w:tc>
        <w:tc>
          <w:tcPr>
            <w:tcW w:w="30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100,967,910</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122,549,041</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291,881,539</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316,820,194</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CORPORATION</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ind w:left="40"/>
              <w:spacing w:after="0" w:line="162" w:lineRule="exact"/>
              <w:rPr>
                <w:sz w:val="20"/>
                <w:szCs w:val="20"/>
                <w:color w:val="auto"/>
              </w:rPr>
            </w:pPr>
            <w:r>
              <w:rPr>
                <w:rFonts w:ascii="Arial" w:cs="Arial" w:eastAsia="Arial" w:hAnsi="Arial"/>
                <w:sz w:val="16"/>
                <w:szCs w:val="16"/>
                <w:color w:val="auto"/>
              </w:rPr>
              <w:t>EARNINGS PER SHARE ATTRIBUTABLE TO GENTEX</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CORPORATION: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0.54</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 per Share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09803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38" w:lineRule="exact"/>
        <w:rPr>
          <w:sz w:val="20"/>
          <w:szCs w:val="20"/>
          <w:color w:val="auto"/>
        </w:rPr>
      </w:pPr>
    </w:p>
    <w:p>
      <w:pPr>
        <w:ind w:left="180" w:hanging="149"/>
        <w:spacing w:after="0"/>
        <w:tabs>
          <w:tab w:leader="none" w:pos="1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935" w:right="339" w:bottom="1440" w:gutter="0" w:footer="0" w:header="0"/>
        </w:sectPr>
      </w:pPr>
    </w:p>
    <w:bookmarkStart w:id="4" w:name="page5"/>
    <w:bookmarkEnd w:id="4"/>
    <w:p>
      <w:pPr>
        <w:jc w:val="center"/>
        <w:ind w:right="20"/>
        <w:spacing w:after="0" w:line="481" w:lineRule="auto"/>
        <w:rPr>
          <w:sz w:val="20"/>
          <w:szCs w:val="20"/>
          <w:color w:val="auto"/>
        </w:rPr>
      </w:pPr>
      <w:r>
        <w:rPr>
          <w:rFonts w:ascii="Arial" w:cs="Arial" w:eastAsia="Arial" w:hAnsi="Arial"/>
          <w:sz w:val="16"/>
          <w:szCs w:val="16"/>
          <w:b w:val="1"/>
          <w:bCs w:val="1"/>
          <w:color w:val="auto"/>
        </w:rPr>
        <w:t>GENTEX CORPORATION AND SUBSIDIARIES UNAUDITED CONDENSED CONSOLIDATED STATEMENTS OF COMPREHENSIVE INCOME For the Three and Nine Months Ended September 30,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shd w:val="clear" w:color="auto" w:fill="CCEEFF"/>
          </w:tcPr>
          <w:p>
            <w:pPr>
              <w:spacing w:after="0"/>
              <w:rPr>
                <w:sz w:val="17"/>
                <w:szCs w:val="17"/>
                <w:color w:val="auto"/>
              </w:rPr>
            </w:pPr>
          </w:p>
        </w:tc>
        <w:tc>
          <w:tcPr>
            <w:tcW w:w="2600" w:type="dxa"/>
            <w:vAlign w:val="bottom"/>
            <w:gridSpan w:val="4"/>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from consolidated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100,886,704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122,549,041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291,411,199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316,820,194</w:t>
            </w: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before tax:</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872,761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1,776,813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2,636,542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317,059</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gains (losses) on derivatives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(1,098,273)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Unrealized (losses) gains on debt securities, net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(301,948)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4,193,565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2,524,319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4,245,746</w:t>
            </w: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Other comprehensive income, before tax</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717,907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5,970,378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4,062,588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4,562,805</w:t>
            </w:r>
          </w:p>
        </w:tc>
        <w:tc>
          <w:tcPr>
            <w:tcW w:w="0" w:type="dxa"/>
            <w:vAlign w:val="bottom"/>
          </w:tcPr>
          <w:p>
            <w:pPr>
              <w:spacing w:after="0"/>
              <w:rPr>
                <w:sz w:val="1"/>
                <w:szCs w:val="1"/>
                <w:color w:val="auto"/>
              </w:rPr>
            </w:pPr>
          </w:p>
        </w:tc>
      </w:tr>
      <w:tr>
        <w:trPr>
          <w:trHeight w:val="257"/>
        </w:trPr>
        <w:tc>
          <w:tcPr>
            <w:tcW w:w="5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20"/>
              <w:spacing w:after="0" w:line="162" w:lineRule="exact"/>
              <w:rPr>
                <w:sz w:val="20"/>
                <w:szCs w:val="20"/>
                <w:color w:val="auto"/>
              </w:rPr>
            </w:pPr>
            <w:r>
              <w:rPr>
                <w:rFonts w:ascii="Arial" w:cs="Arial" w:eastAsia="Arial" w:hAnsi="Arial"/>
                <w:sz w:val="16"/>
                <w:szCs w:val="16"/>
                <w:color w:val="auto"/>
              </w:rPr>
              <w:t>Income tax impact related to components of other comprehensive income</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(32,519)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880,649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299,470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891,607</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net of tax</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750,426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5,089,729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3,763,118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3,671,198</w:t>
            </w: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Comprehensive income from consolidated operations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101,637,130</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127,638,770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295,174,317</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320,491,392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color w:val="auto"/>
              </w:rPr>
              <w:t>Comprehensive income attributable to Gentex Corporation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101,718,336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127,638,770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295,644,657</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320,491,392</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9"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Arial" w:cs="Arial" w:eastAsia="Arial" w:hAnsi="Arial"/>
          <w:sz w:val="13"/>
          <w:szCs w:val="13"/>
          <w:color w:val="auto"/>
        </w:rPr>
        <w:t>BALANCE AS OF JULY 1, 2025</w:t>
      </w:r>
    </w:p>
    <w:p>
      <w:pPr>
        <w:spacing w:after="0" w:line="26" w:lineRule="exact"/>
        <w:rPr>
          <w:sz w:val="20"/>
          <w:szCs w:val="20"/>
          <w:color w:val="auto"/>
        </w:rPr>
      </w:pPr>
    </w:p>
    <w:p>
      <w:pPr>
        <w:ind w:left="8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left="80" w:right="80"/>
        <w:spacing w:after="0" w:line="280" w:lineRule="auto"/>
        <w:rPr>
          <w:sz w:val="20"/>
          <w:szCs w:val="20"/>
          <w:color w:val="auto"/>
        </w:rPr>
      </w:pPr>
      <w:r>
        <w:rPr>
          <w:rFonts w:ascii="Arial" w:cs="Arial" w:eastAsia="Arial" w:hAnsi="Arial"/>
          <w:sz w:val="12"/>
          <w:szCs w:val="12"/>
          <w:color w:val="auto"/>
        </w:rPr>
        <w:t>Repurchases of common stock Stock-based compensation expense</w:t>
      </w:r>
    </w:p>
    <w:p>
      <w:pPr>
        <w:spacing w:after="0" w:line="1" w:lineRule="exact"/>
        <w:rPr>
          <w:sz w:val="20"/>
          <w:szCs w:val="20"/>
          <w:color w:val="auto"/>
        </w:rPr>
      </w:pPr>
    </w:p>
    <w:p>
      <w:pPr>
        <w:ind w:left="80" w:right="80"/>
        <w:spacing w:after="0" w:line="239" w:lineRule="auto"/>
        <w:rPr>
          <w:sz w:val="20"/>
          <w:szCs w:val="20"/>
          <w:color w:val="auto"/>
        </w:rPr>
      </w:pPr>
      <w:r>
        <w:rPr>
          <w:rFonts w:ascii="Arial" w:cs="Arial" w:eastAsia="Arial" w:hAnsi="Arial"/>
          <w:sz w:val="12"/>
          <w:szCs w:val="12"/>
          <w:color w:val="auto"/>
        </w:rPr>
        <w:t>related to stock options, employee stock purchases and restricted stock</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Dividends declared ($0.12 per share)</w:t>
      </w:r>
    </w:p>
    <w:p>
      <w:pPr>
        <w:spacing w:after="0" w:line="51" w:lineRule="exact"/>
        <w:rPr>
          <w:sz w:val="20"/>
          <w:szCs w:val="20"/>
          <w:color w:val="auto"/>
        </w:rPr>
      </w:pPr>
    </w:p>
    <w:p>
      <w:pPr>
        <w:ind w:left="80" w:right="280"/>
        <w:spacing w:after="0" w:line="243" w:lineRule="auto"/>
        <w:rPr>
          <w:sz w:val="20"/>
          <w:szCs w:val="20"/>
          <w:color w:val="auto"/>
        </w:rPr>
      </w:pPr>
      <w:r>
        <w:rPr>
          <w:rFonts w:ascii="Arial" w:cs="Arial" w:eastAsia="Arial" w:hAnsi="Arial"/>
          <w:sz w:val="13"/>
          <w:szCs w:val="13"/>
          <w:color w:val="auto"/>
        </w:rPr>
        <w:t>Purchase of additional interest in EyeLock LLC</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3"/>
          <w:szCs w:val="13"/>
          <w:color w:val="auto"/>
        </w:rPr>
        <w:t>Net income (1)</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3"/>
          <w:szCs w:val="13"/>
          <w:color w:val="auto"/>
        </w:rPr>
        <w:t>Other comprehensive income</w:t>
      </w:r>
    </w:p>
    <w:p>
      <w:pPr>
        <w:spacing w:after="0" w:line="26" w:lineRule="exact"/>
        <w:rPr>
          <w:sz w:val="20"/>
          <w:szCs w:val="20"/>
          <w:color w:val="auto"/>
        </w:rPr>
      </w:pPr>
    </w:p>
    <w:p>
      <w:pPr>
        <w:ind w:left="80" w:right="100"/>
        <w:spacing w:after="0" w:line="243" w:lineRule="auto"/>
        <w:rPr>
          <w:sz w:val="20"/>
          <w:szCs w:val="20"/>
          <w:color w:val="auto"/>
        </w:rPr>
      </w:pPr>
      <w:r>
        <w:rPr>
          <w:rFonts w:ascii="Arial" w:cs="Arial" w:eastAsia="Arial" w:hAnsi="Arial"/>
          <w:sz w:val="13"/>
          <w:szCs w:val="13"/>
          <w:color w:val="auto"/>
        </w:rPr>
        <w:t>BALANCE AS OF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GENTEX CORPORATION AND SUBSIDIARIES</w:t>
      </w:r>
    </w:p>
    <w:p>
      <w:pPr>
        <w:spacing w:after="0" w:line="177"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UNAUDITED CONDENSED CONSOLIDATED STATEMENTS OF SHAREHOLDERS' INVESTMENT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For the Three Months Ended September 30, 2025 and 2024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5"/>
              </w:rPr>
              <w:t>Common</w:t>
            </w:r>
          </w:p>
        </w:tc>
        <w:tc>
          <w:tcPr>
            <w:tcW w:w="200" w:type="dxa"/>
            <w:vAlign w:val="bottom"/>
          </w:tcPr>
          <w:p>
            <w:pPr>
              <w:spacing w:after="0"/>
              <w:rPr>
                <w:sz w:val="13"/>
                <w:szCs w:val="13"/>
                <w:color w:val="auto"/>
              </w:rPr>
            </w:pPr>
          </w:p>
        </w:tc>
        <w:tc>
          <w:tcPr>
            <w:tcW w:w="900" w:type="dxa"/>
            <w:vAlign w:val="bottom"/>
            <w:vMerge w:val="restart"/>
          </w:tcPr>
          <w:p>
            <w:pPr>
              <w:jc w:val="center"/>
              <w:ind w:right="177"/>
              <w:spacing w:after="0"/>
              <w:rPr>
                <w:sz w:val="20"/>
                <w:szCs w:val="20"/>
                <w:color w:val="auto"/>
              </w:rPr>
            </w:pPr>
            <w:r>
              <w:rPr>
                <w:rFonts w:ascii="Arial" w:cs="Arial" w:eastAsia="Arial" w:hAnsi="Arial"/>
                <w:sz w:val="13"/>
                <w:szCs w:val="13"/>
                <w:b w:val="1"/>
                <w:bCs w:val="1"/>
                <w:color w:val="auto"/>
                <w:w w:val="95"/>
              </w:rPr>
              <w:t>Common</w:t>
            </w:r>
          </w:p>
        </w:tc>
        <w:tc>
          <w:tcPr>
            <w:tcW w:w="180" w:type="dxa"/>
            <w:vAlign w:val="bottom"/>
          </w:tcPr>
          <w:p>
            <w:pPr>
              <w:spacing w:after="0"/>
              <w:rPr>
                <w:sz w:val="13"/>
                <w:szCs w:val="13"/>
                <w:color w:val="auto"/>
              </w:rPr>
            </w:pPr>
          </w:p>
        </w:tc>
        <w:tc>
          <w:tcPr>
            <w:tcW w:w="94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3"/>
                <w:szCs w:val="13"/>
                <w:color w:val="auto"/>
              </w:rPr>
            </w:pPr>
          </w:p>
        </w:tc>
        <w:tc>
          <w:tcPr>
            <w:tcW w:w="96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6"/>
        </w:trPr>
        <w:tc>
          <w:tcPr>
            <w:tcW w:w="1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980" w:type="dxa"/>
            <w:vAlign w:val="bottom"/>
          </w:tcPr>
          <w:p>
            <w:pPr>
              <w:jc w:val="center"/>
              <w:ind w:right="57"/>
              <w:spacing w:after="0" w:line="126"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57"/>
              <w:spacing w:after="0" w:line="126"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Stock</w:t>
            </w:r>
          </w:p>
        </w:tc>
        <w:tc>
          <w:tcPr>
            <w:tcW w:w="200" w:type="dxa"/>
            <w:vAlign w:val="bottom"/>
          </w:tcPr>
          <w:p>
            <w:pPr>
              <w:spacing w:after="0"/>
              <w:rPr>
                <w:sz w:val="10"/>
                <w:szCs w:val="10"/>
                <w:color w:val="auto"/>
              </w:rPr>
            </w:pPr>
          </w:p>
        </w:tc>
        <w:tc>
          <w:tcPr>
            <w:tcW w:w="900" w:type="dxa"/>
            <w:vAlign w:val="bottom"/>
          </w:tcPr>
          <w:p>
            <w:pPr>
              <w:jc w:val="center"/>
              <w:ind w:right="137"/>
              <w:spacing w:after="0" w:line="122" w:lineRule="exact"/>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0"/>
                <w:szCs w:val="10"/>
                <w:color w:val="auto"/>
              </w:rPr>
            </w:pPr>
          </w:p>
        </w:tc>
        <w:tc>
          <w:tcPr>
            <w:tcW w:w="940" w:type="dxa"/>
            <w:vAlign w:val="bottom"/>
          </w:tcPr>
          <w:p>
            <w:pPr>
              <w:jc w:val="right"/>
              <w:ind w:right="277"/>
              <w:spacing w:after="0" w:line="122"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1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0"/>
                <w:szCs w:val="10"/>
                <w:color w:val="auto"/>
              </w:rPr>
            </w:pPr>
          </w:p>
        </w:tc>
        <w:tc>
          <w:tcPr>
            <w:tcW w:w="94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Total</w:t>
            </w:r>
          </w:p>
        </w:tc>
        <w:tc>
          <w:tcPr>
            <w:tcW w:w="11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140" w:type="dxa"/>
            <w:vAlign w:val="bottom"/>
          </w:tcPr>
          <w:p>
            <w:pPr>
              <w:spacing w:after="0"/>
              <w:rPr>
                <w:sz w:val="10"/>
                <w:szCs w:val="10"/>
                <w:color w:val="auto"/>
              </w:rPr>
            </w:pPr>
          </w:p>
        </w:tc>
        <w:tc>
          <w:tcPr>
            <w:tcW w:w="96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174"/>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Shares</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Income (Loss)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Interests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Investment</w:t>
            </w:r>
          </w:p>
        </w:tc>
        <w:tc>
          <w:tcPr>
            <w:tcW w:w="0" w:type="dxa"/>
            <w:vAlign w:val="bottom"/>
          </w:tcPr>
          <w:p>
            <w:pPr>
              <w:spacing w:after="0"/>
              <w:rPr>
                <w:sz w:val="1"/>
                <w:szCs w:val="1"/>
                <w:color w:val="auto"/>
              </w:rPr>
            </w:pPr>
          </w:p>
        </w:tc>
      </w:tr>
      <w:tr>
        <w:trPr>
          <w:trHeight w:val="161"/>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219,520,750</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13,171,245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998,911,809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1,421,351,763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(3,396,649)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2,430,038,168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599,556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2,430,637,724</w:t>
            </w:r>
          </w:p>
        </w:tc>
        <w:tc>
          <w:tcPr>
            <w:tcW w:w="0" w:type="dxa"/>
            <w:vAlign w:val="bottom"/>
          </w:tcPr>
          <w:p>
            <w:pPr>
              <w:spacing w:after="0"/>
              <w:rPr>
                <w:sz w:val="1"/>
                <w:szCs w:val="1"/>
                <w:color w:val="auto"/>
              </w:rPr>
            </w:pPr>
          </w:p>
        </w:tc>
      </w:tr>
      <w:tr>
        <w:trPr>
          <w:trHeight w:val="306"/>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434,634</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26,078</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7,028,233</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7,054,311</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7,054,311</w:t>
            </w:r>
          </w:p>
        </w:tc>
        <w:tc>
          <w:tcPr>
            <w:tcW w:w="0" w:type="dxa"/>
            <w:vAlign w:val="bottom"/>
          </w:tcPr>
          <w:p>
            <w:pPr>
              <w:spacing w:after="0"/>
              <w:rPr>
                <w:sz w:val="1"/>
                <w:szCs w:val="1"/>
                <w:color w:val="auto"/>
              </w:rPr>
            </w:pPr>
          </w:p>
        </w:tc>
      </w:tr>
      <w:tr>
        <w:trPr>
          <w:trHeight w:val="176"/>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(1,003,580)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(60,215)</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(4,044,427)</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(24,178,827)</w:t>
            </w: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(28,283,469)</w:t>
            </w: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(28,283,469)</w:t>
            </w:r>
          </w:p>
        </w:tc>
        <w:tc>
          <w:tcPr>
            <w:tcW w:w="0" w:type="dxa"/>
            <w:vAlign w:val="bottom"/>
          </w:tcPr>
          <w:p>
            <w:pPr>
              <w:spacing w:after="0"/>
              <w:rPr>
                <w:sz w:val="1"/>
                <w:szCs w:val="1"/>
                <w:color w:val="auto"/>
              </w:rPr>
            </w:pPr>
          </w:p>
        </w:tc>
      </w:tr>
      <w:tr>
        <w:trPr>
          <w:trHeight w:val="432"/>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10,436,395</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10,436,395</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10,436,395</w:t>
            </w:r>
          </w:p>
        </w:tc>
        <w:tc>
          <w:tcPr>
            <w:tcW w:w="0" w:type="dxa"/>
            <w:vAlign w:val="bottom"/>
          </w:tcPr>
          <w:p>
            <w:pPr>
              <w:spacing w:after="0"/>
              <w:rPr>
                <w:sz w:val="1"/>
                <w:szCs w:val="1"/>
                <w:color w:val="auto"/>
              </w:rPr>
            </w:pPr>
          </w:p>
        </w:tc>
      </w:tr>
      <w:tr>
        <w:trPr>
          <w:trHeight w:val="203"/>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(26,274,216)</w:t>
            </w:r>
          </w:p>
        </w:tc>
        <w:tc>
          <w:tcPr>
            <w:tcW w:w="14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(26,274,216)</w:t>
            </w:r>
          </w:p>
        </w:tc>
        <w:tc>
          <w:tcPr>
            <w:tcW w:w="14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(26,274,216)</w:t>
            </w:r>
          </w:p>
        </w:tc>
        <w:tc>
          <w:tcPr>
            <w:tcW w:w="0" w:type="dxa"/>
            <w:vAlign w:val="bottom"/>
          </w:tcPr>
          <w:p>
            <w:pPr>
              <w:spacing w:after="0"/>
              <w:rPr>
                <w:sz w:val="1"/>
                <w:szCs w:val="1"/>
                <w:color w:val="auto"/>
              </w:rPr>
            </w:pPr>
          </w:p>
        </w:tc>
      </w:tr>
      <w:tr>
        <w:trPr>
          <w:trHeight w:val="311"/>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525,301</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525,301</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(600,301)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175"/>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100,967,910</w:t>
            </w: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100,967,910</w:t>
            </w: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745</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100,968,655</w:t>
            </w:r>
          </w:p>
        </w:tc>
        <w:tc>
          <w:tcPr>
            <w:tcW w:w="0" w:type="dxa"/>
            <w:vAlign w:val="bottom"/>
          </w:tcPr>
          <w:p>
            <w:pPr>
              <w:spacing w:after="0"/>
              <w:rPr>
                <w:sz w:val="1"/>
                <w:szCs w:val="1"/>
                <w:color w:val="auto"/>
              </w:rPr>
            </w:pPr>
          </w:p>
        </w:tc>
      </w:tr>
      <w:tr>
        <w:trPr>
          <w:trHeight w:val="183"/>
        </w:trPr>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750,426</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750,426</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750,426</w:t>
            </w:r>
          </w:p>
        </w:tc>
        <w:tc>
          <w:tcPr>
            <w:tcW w:w="0" w:type="dxa"/>
            <w:vAlign w:val="bottom"/>
          </w:tcPr>
          <w:p>
            <w:pPr>
              <w:spacing w:after="0"/>
              <w:rPr>
                <w:sz w:val="1"/>
                <w:szCs w:val="1"/>
                <w:color w:val="auto"/>
              </w:rPr>
            </w:pPr>
          </w:p>
        </w:tc>
      </w:tr>
      <w:tr>
        <w:trPr>
          <w:trHeight w:val="166"/>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218,951,804</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13,137,108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1,012,857,311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1,471,866,630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(2,646,223)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2,495,214,826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2,495,214,826</w:t>
            </w:r>
          </w:p>
        </w:tc>
        <w:tc>
          <w:tcPr>
            <w:tcW w:w="0" w:type="dxa"/>
            <w:vAlign w:val="bottom"/>
          </w:tcPr>
          <w:p>
            <w:pPr>
              <w:spacing w:after="0"/>
              <w:rPr>
                <w:sz w:val="1"/>
                <w:szCs w:val="1"/>
                <w:color w:val="auto"/>
              </w:rPr>
            </w:pPr>
          </w:p>
        </w:tc>
      </w:tr>
      <w:tr>
        <w:trPr>
          <w:trHeight w:val="104"/>
        </w:trPr>
        <w:tc>
          <w:tcPr>
            <w:tcW w:w="10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-1464945</wp:posOffset>
            </wp:positionV>
            <wp:extent cx="705485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12001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-1148080</wp:posOffset>
            </wp:positionV>
            <wp:extent cx="7054850"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-762635</wp:posOffset>
            </wp:positionV>
            <wp:extent cx="705485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-436245</wp:posOffset>
            </wp:positionV>
            <wp:extent cx="705485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4850" cy="11112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-213995</wp:posOffset>
            </wp:positionV>
            <wp:extent cx="705485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48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120"/>
            <w:col w:w="8920"/>
          </w:cols>
          <w:pgMar w:left="320" w:top="1440" w:right="339" w:bottom="1440" w:gutter="0" w:footer="0" w:header="0"/>
        </w:sectPr>
      </w:pPr>
    </w:p>
    <w:p>
      <w:pPr>
        <w:spacing w:after="0" w:line="39" w:lineRule="exact"/>
        <w:rPr>
          <w:sz w:val="20"/>
          <w:szCs w:val="20"/>
          <w:color w:val="auto"/>
        </w:rPr>
      </w:pPr>
    </w:p>
    <w:p>
      <w:pPr>
        <w:ind w:left="80"/>
        <w:spacing w:after="0"/>
        <w:rPr>
          <w:sz w:val="20"/>
          <w:szCs w:val="20"/>
          <w:color w:val="auto"/>
        </w:rPr>
      </w:pPr>
      <w:r>
        <w:rPr>
          <w:rFonts w:ascii="Arial" w:cs="Arial" w:eastAsia="Arial" w:hAnsi="Arial"/>
          <w:sz w:val="13"/>
          <w:szCs w:val="13"/>
          <w:color w:val="auto"/>
        </w:rPr>
        <w:t>BALANCE AS OF JULY 1, 2024</w:t>
      </w:r>
    </w:p>
    <w:p>
      <w:pPr>
        <w:spacing w:after="0" w:line="26" w:lineRule="exact"/>
        <w:rPr>
          <w:sz w:val="20"/>
          <w:szCs w:val="20"/>
          <w:color w:val="auto"/>
        </w:rPr>
      </w:pPr>
    </w:p>
    <w:p>
      <w:pPr>
        <w:ind w:left="8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left="80" w:right="80"/>
        <w:spacing w:after="0" w:line="280" w:lineRule="auto"/>
        <w:rPr>
          <w:sz w:val="20"/>
          <w:szCs w:val="20"/>
          <w:color w:val="auto"/>
        </w:rPr>
      </w:pPr>
      <w:r>
        <w:rPr>
          <w:rFonts w:ascii="Arial" w:cs="Arial" w:eastAsia="Arial" w:hAnsi="Arial"/>
          <w:sz w:val="12"/>
          <w:szCs w:val="12"/>
          <w:color w:val="auto"/>
        </w:rPr>
        <w:t>Repurchases of common stock Stock-based compensation expense</w:t>
      </w:r>
    </w:p>
    <w:p>
      <w:pPr>
        <w:spacing w:after="0" w:line="1" w:lineRule="exact"/>
        <w:rPr>
          <w:sz w:val="20"/>
          <w:szCs w:val="20"/>
          <w:color w:val="auto"/>
        </w:rPr>
      </w:pPr>
    </w:p>
    <w:p>
      <w:pPr>
        <w:ind w:left="80" w:right="80"/>
        <w:spacing w:after="0" w:line="239" w:lineRule="auto"/>
        <w:rPr>
          <w:sz w:val="20"/>
          <w:szCs w:val="20"/>
          <w:color w:val="auto"/>
        </w:rPr>
      </w:pPr>
      <w:r>
        <w:rPr>
          <w:rFonts w:ascii="Arial" w:cs="Arial" w:eastAsia="Arial" w:hAnsi="Arial"/>
          <w:sz w:val="12"/>
          <w:szCs w:val="12"/>
          <w:color w:val="auto"/>
        </w:rPr>
        <w:t>related to stock options, employee stock purchases and restricted stock</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Dividends declared ($0.12 per share)</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3"/>
          <w:szCs w:val="13"/>
          <w:color w:val="auto"/>
        </w:rPr>
        <w:t>Net income</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3"/>
          <w:szCs w:val="13"/>
          <w:color w:val="auto"/>
        </w:rPr>
        <w:t>Other comprehensive income</w:t>
      </w:r>
    </w:p>
    <w:p>
      <w:pPr>
        <w:spacing w:after="0" w:line="26" w:lineRule="exact"/>
        <w:rPr>
          <w:sz w:val="20"/>
          <w:szCs w:val="20"/>
          <w:color w:val="auto"/>
        </w:rPr>
      </w:pPr>
    </w:p>
    <w:p>
      <w:pPr>
        <w:ind w:left="80" w:right="100"/>
        <w:spacing w:after="0" w:line="243" w:lineRule="auto"/>
        <w:rPr>
          <w:sz w:val="20"/>
          <w:szCs w:val="20"/>
          <w:color w:val="auto"/>
        </w:rPr>
      </w:pPr>
      <w:r>
        <w:rPr>
          <w:rFonts w:ascii="Arial" w:cs="Arial" w:eastAsia="Arial" w:hAnsi="Arial"/>
          <w:sz w:val="13"/>
          <w:szCs w:val="13"/>
          <w:color w:val="auto"/>
        </w:rPr>
        <w:t>BALANCE AS OF SEPTEMBER 30, 2024</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230,229,539</w:t>
            </w:r>
          </w:p>
        </w:tc>
        <w:tc>
          <w:tcPr>
            <w:tcW w:w="2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13,813,772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1,000,014,813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1,394,446,595</w:t>
            </w:r>
          </w:p>
        </w:tc>
        <w:tc>
          <w:tcPr>
            <w:tcW w:w="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(7,975,653)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2,400,299,527</w:t>
            </w:r>
          </w:p>
        </w:tc>
        <w:tc>
          <w:tcPr>
            <w:tcW w:w="52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2,400,299,527</w:t>
            </w:r>
          </w:p>
        </w:tc>
      </w:tr>
      <w:tr>
        <w:trPr>
          <w:trHeight w:val="311"/>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408,566</w:t>
            </w:r>
          </w:p>
        </w:tc>
        <w:tc>
          <w:tcPr>
            <w:tcW w:w="24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24,514</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3,757,530</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3,782,044</w:t>
            </w:r>
          </w:p>
        </w:tc>
        <w:tc>
          <w:tcPr>
            <w:tcW w:w="52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3,782,044</w:t>
            </w:r>
          </w:p>
        </w:tc>
      </w:tr>
      <w:tr>
        <w:trPr>
          <w:trHeight w:val="175"/>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(3,194,815)</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(191,689)</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(12,363,936)</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(83,784,324)</w:t>
            </w:r>
          </w:p>
        </w:tc>
        <w:tc>
          <w:tcPr>
            <w:tcW w:w="2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(96,339,949)</w:t>
            </w:r>
          </w:p>
        </w:tc>
        <w:tc>
          <w:tcPr>
            <w:tcW w:w="52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(96,339,949)</w:t>
            </w:r>
          </w:p>
        </w:tc>
      </w:tr>
      <w:tr>
        <w:trPr>
          <w:trHeight w:val="432"/>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9,540,105</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9,540,105</w:t>
            </w:r>
          </w:p>
        </w:tc>
        <w:tc>
          <w:tcPr>
            <w:tcW w:w="52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9,540,105</w:t>
            </w:r>
          </w:p>
        </w:tc>
      </w:tr>
      <w:tr>
        <w:trPr>
          <w:trHeight w:val="203"/>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(27,293,155)</w:t>
            </w:r>
          </w:p>
        </w:tc>
        <w:tc>
          <w:tcPr>
            <w:tcW w:w="28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(27,293,155)</w:t>
            </w:r>
          </w:p>
        </w:tc>
        <w:tc>
          <w:tcPr>
            <w:tcW w:w="5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(27,293,155)</w:t>
            </w:r>
          </w:p>
        </w:tc>
      </w:tr>
      <w:tr>
        <w:trPr>
          <w:trHeight w:val="175"/>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122,549,041</w:t>
            </w:r>
          </w:p>
        </w:tc>
        <w:tc>
          <w:tcPr>
            <w:tcW w:w="2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122,549,041</w:t>
            </w:r>
          </w:p>
        </w:tc>
        <w:tc>
          <w:tcPr>
            <w:tcW w:w="52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122,549,041</w:t>
            </w:r>
          </w:p>
        </w:tc>
      </w:tr>
      <w:tr>
        <w:trPr>
          <w:trHeight w:val="183"/>
        </w:trPr>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5,089,729</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5,089,729</w:t>
            </w:r>
          </w:p>
        </w:tc>
        <w:tc>
          <w:tcPr>
            <w:tcW w:w="5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5,089,729</w:t>
            </w:r>
          </w:p>
        </w:tc>
      </w:tr>
      <w:tr>
        <w:trPr>
          <w:trHeight w:val="166"/>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227,443,290</w:t>
            </w:r>
          </w:p>
        </w:tc>
        <w:tc>
          <w:tcPr>
            <w:tcW w:w="2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13,646,597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1,000,948,512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1,405,918,157</w:t>
            </w:r>
          </w:p>
        </w:tc>
        <w:tc>
          <w:tcPr>
            <w:tcW w:w="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(2,885,924)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2,417,627,342</w:t>
            </w:r>
          </w:p>
        </w:tc>
        <w:tc>
          <w:tcPr>
            <w:tcW w:w="52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2,417,627,342</w:t>
            </w:r>
          </w:p>
        </w:tc>
      </w:tr>
      <w:tr>
        <w:trPr>
          <w:trHeight w:val="104"/>
        </w:trPr>
        <w:tc>
          <w:tcPr>
            <w:tcW w:w="10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r>
      <w:tr>
        <w:trPr>
          <w:trHeight w:val="21"/>
        </w:trPr>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-1259840</wp:posOffset>
            </wp:positionV>
            <wp:extent cx="7054850" cy="111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-951230</wp:posOffset>
            </wp:positionV>
            <wp:extent cx="7054850" cy="111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-565150</wp:posOffset>
            </wp:positionV>
            <wp:extent cx="705485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-325120</wp:posOffset>
            </wp:positionV>
            <wp:extent cx="7054850"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485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120"/>
            <w:col w:w="8920"/>
          </w:cols>
          <w:pgMar w:left="320" w:top="1440"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Net income (loss) excludes net loss attributable to redeemable non-controlling interest of $81,902 for the three months ended September 30, 2025 (see </w:t>
      </w:r>
      <w:r>
        <w:rPr>
          <w:rFonts w:ascii="Arial" w:cs="Arial" w:eastAsia="Arial" w:hAnsi="Arial"/>
          <w:sz w:val="14"/>
          <w:szCs w:val="14"/>
          <w:u w:val="single" w:color="auto"/>
          <w:color w:val="0000FF"/>
        </w:rPr>
        <w:t>Note 16</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Arial" w:cs="Arial" w:eastAsia="Arial" w:hAnsi="Arial"/>
          <w:sz w:val="12"/>
          <w:szCs w:val="12"/>
          <w:color w:val="auto"/>
        </w:rPr>
        <w:t>BALANCE AS OF JANUARY 1, 2025</w:t>
      </w:r>
    </w:p>
    <w:p>
      <w:pPr>
        <w:spacing w:after="0" w:line="38" w:lineRule="exact"/>
        <w:rPr>
          <w:sz w:val="20"/>
          <w:szCs w:val="20"/>
          <w:color w:val="auto"/>
        </w:rPr>
      </w:pPr>
    </w:p>
    <w:p>
      <w:pPr>
        <w:ind w:left="80" w:right="2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left="80" w:right="100"/>
        <w:spacing w:after="0" w:line="280" w:lineRule="auto"/>
        <w:rPr>
          <w:sz w:val="20"/>
          <w:szCs w:val="20"/>
          <w:color w:val="auto"/>
        </w:rPr>
      </w:pPr>
      <w:r>
        <w:rPr>
          <w:rFonts w:ascii="Arial" w:cs="Arial" w:eastAsia="Arial" w:hAnsi="Arial"/>
          <w:sz w:val="12"/>
          <w:szCs w:val="12"/>
          <w:color w:val="auto"/>
        </w:rPr>
        <w:t>Repurchases of common stock Stock-based compensation expense</w:t>
      </w:r>
    </w:p>
    <w:p>
      <w:pPr>
        <w:spacing w:after="0" w:line="1" w:lineRule="exact"/>
        <w:rPr>
          <w:sz w:val="20"/>
          <w:szCs w:val="20"/>
          <w:color w:val="auto"/>
        </w:rPr>
      </w:pPr>
    </w:p>
    <w:p>
      <w:pPr>
        <w:ind w:left="80" w:right="100"/>
        <w:spacing w:after="0" w:line="239" w:lineRule="auto"/>
        <w:rPr>
          <w:sz w:val="20"/>
          <w:szCs w:val="20"/>
          <w:color w:val="auto"/>
        </w:rPr>
      </w:pPr>
      <w:r>
        <w:rPr>
          <w:rFonts w:ascii="Arial" w:cs="Arial" w:eastAsia="Arial" w:hAnsi="Arial"/>
          <w:sz w:val="12"/>
          <w:szCs w:val="12"/>
          <w:color w:val="auto"/>
        </w:rPr>
        <w:t>related to stock options, employee stock purchases and restricted stock</w:t>
      </w:r>
    </w:p>
    <w:p>
      <w:pPr>
        <w:spacing w:after="0" w:line="24" w:lineRule="exact"/>
        <w:rPr>
          <w:sz w:val="20"/>
          <w:szCs w:val="20"/>
          <w:color w:val="auto"/>
        </w:rPr>
      </w:pPr>
    </w:p>
    <w:p>
      <w:pPr>
        <w:ind w:left="80" w:right="60"/>
        <w:spacing w:after="0" w:line="292" w:lineRule="auto"/>
        <w:rPr>
          <w:sz w:val="20"/>
          <w:szCs w:val="20"/>
          <w:color w:val="auto"/>
        </w:rPr>
      </w:pPr>
      <w:r>
        <w:rPr>
          <w:rFonts w:ascii="Arial" w:cs="Arial" w:eastAsia="Arial" w:hAnsi="Arial"/>
          <w:sz w:val="13"/>
          <w:szCs w:val="13"/>
          <w:color w:val="auto"/>
        </w:rPr>
        <w:t>Dividends declared ($0.36 per share) Capital contributions, net</w:t>
      </w:r>
    </w:p>
    <w:p>
      <w:pPr>
        <w:spacing w:after="0" w:line="1" w:lineRule="exact"/>
        <w:rPr>
          <w:sz w:val="20"/>
          <w:szCs w:val="20"/>
          <w:color w:val="auto"/>
        </w:rPr>
      </w:pPr>
    </w:p>
    <w:p>
      <w:pPr>
        <w:ind w:left="80"/>
        <w:spacing w:after="0" w:line="243" w:lineRule="auto"/>
        <w:rPr>
          <w:sz w:val="20"/>
          <w:szCs w:val="20"/>
          <w:color w:val="auto"/>
        </w:rPr>
      </w:pPr>
      <w:r>
        <w:rPr>
          <w:rFonts w:ascii="Arial" w:cs="Arial" w:eastAsia="Arial" w:hAnsi="Arial"/>
          <w:sz w:val="13"/>
          <w:szCs w:val="13"/>
          <w:color w:val="auto"/>
        </w:rPr>
        <w:t>Fair value of non-controlling interest in EyeLock LLC</w:t>
      </w:r>
    </w:p>
    <w:p>
      <w:pPr>
        <w:spacing w:after="0" w:line="8" w:lineRule="exact"/>
        <w:rPr>
          <w:sz w:val="20"/>
          <w:szCs w:val="20"/>
          <w:color w:val="auto"/>
        </w:rPr>
      </w:pPr>
    </w:p>
    <w:p>
      <w:pPr>
        <w:ind w:left="80" w:right="300"/>
        <w:spacing w:after="0" w:line="243" w:lineRule="auto"/>
        <w:rPr>
          <w:sz w:val="20"/>
          <w:szCs w:val="20"/>
          <w:color w:val="auto"/>
        </w:rPr>
      </w:pPr>
      <w:r>
        <w:rPr>
          <w:rFonts w:ascii="Arial" w:cs="Arial" w:eastAsia="Arial" w:hAnsi="Arial"/>
          <w:sz w:val="13"/>
          <w:szCs w:val="13"/>
          <w:color w:val="auto"/>
        </w:rPr>
        <w:t>Purchase of additional interest in EyeLock LLC</w:t>
      </w:r>
    </w:p>
    <w:p>
      <w:pPr>
        <w:spacing w:after="0" w:line="8" w:lineRule="exact"/>
        <w:rPr>
          <w:sz w:val="20"/>
          <w:szCs w:val="20"/>
          <w:color w:val="auto"/>
        </w:rPr>
      </w:pPr>
    </w:p>
    <w:p>
      <w:pPr>
        <w:ind w:left="80" w:right="300"/>
        <w:spacing w:after="0" w:line="243" w:lineRule="auto"/>
        <w:rPr>
          <w:sz w:val="20"/>
          <w:szCs w:val="20"/>
          <w:color w:val="auto"/>
        </w:rPr>
      </w:pPr>
      <w:r>
        <w:rPr>
          <w:rFonts w:ascii="Arial" w:cs="Arial" w:eastAsia="Arial" w:hAnsi="Arial"/>
          <w:sz w:val="13"/>
          <w:szCs w:val="13"/>
          <w:color w:val="auto"/>
        </w:rPr>
        <w:t>Purchase of additional interest in BioCenturion LLC</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3"/>
          <w:szCs w:val="13"/>
          <w:color w:val="auto"/>
        </w:rPr>
        <w:t>Net income (loss) (1)</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3"/>
          <w:szCs w:val="13"/>
          <w:color w:val="auto"/>
        </w:rPr>
        <w:t>Other comprehensive income</w:t>
      </w:r>
    </w:p>
    <w:p>
      <w:pPr>
        <w:spacing w:after="0" w:line="26" w:lineRule="exact"/>
        <w:rPr>
          <w:sz w:val="20"/>
          <w:szCs w:val="20"/>
          <w:color w:val="auto"/>
        </w:rPr>
      </w:pPr>
    </w:p>
    <w:p>
      <w:pPr>
        <w:ind w:left="80" w:right="120"/>
        <w:spacing w:after="0" w:line="243" w:lineRule="auto"/>
        <w:rPr>
          <w:sz w:val="20"/>
          <w:szCs w:val="20"/>
          <w:color w:val="auto"/>
        </w:rPr>
      </w:pPr>
      <w:r>
        <w:rPr>
          <w:rFonts w:ascii="Arial" w:cs="Arial" w:eastAsia="Arial" w:hAnsi="Arial"/>
          <w:sz w:val="13"/>
          <w:szCs w:val="13"/>
          <w:color w:val="auto"/>
        </w:rPr>
        <w:t>BALANCE AS OF SEPTEMBER 30, 2025</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GENTEX CORPORATION AND SUBSIDIARIES</w:t>
      </w:r>
    </w:p>
    <w:p>
      <w:pPr>
        <w:spacing w:after="0" w:line="177"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UNAUDITED CONDENSED CONSOLIDATED STATEMENTS OF SHAREHOLDERS' INVESTMENT</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For the Nine Months Ended September 30, 2025 and 2024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5"/>
              </w:rPr>
              <w:t>Common</w:t>
            </w:r>
          </w:p>
        </w:tc>
        <w:tc>
          <w:tcPr>
            <w:tcW w:w="200" w:type="dxa"/>
            <w:vAlign w:val="bottom"/>
          </w:tcPr>
          <w:p>
            <w:pPr>
              <w:spacing w:after="0"/>
              <w:rPr>
                <w:sz w:val="13"/>
                <w:szCs w:val="13"/>
                <w:color w:val="auto"/>
              </w:rPr>
            </w:pPr>
          </w:p>
        </w:tc>
        <w:tc>
          <w:tcPr>
            <w:tcW w:w="900" w:type="dxa"/>
            <w:vAlign w:val="bottom"/>
            <w:vMerge w:val="restart"/>
          </w:tcPr>
          <w:p>
            <w:pPr>
              <w:jc w:val="center"/>
              <w:ind w:right="177"/>
              <w:spacing w:after="0"/>
              <w:rPr>
                <w:sz w:val="20"/>
                <w:szCs w:val="20"/>
                <w:color w:val="auto"/>
              </w:rPr>
            </w:pPr>
            <w:r>
              <w:rPr>
                <w:rFonts w:ascii="Arial" w:cs="Arial" w:eastAsia="Arial" w:hAnsi="Arial"/>
                <w:sz w:val="13"/>
                <w:szCs w:val="13"/>
                <w:b w:val="1"/>
                <w:bCs w:val="1"/>
                <w:color w:val="auto"/>
                <w:w w:val="95"/>
              </w:rPr>
              <w:t>Common</w:t>
            </w:r>
          </w:p>
        </w:tc>
        <w:tc>
          <w:tcPr>
            <w:tcW w:w="180" w:type="dxa"/>
            <w:vAlign w:val="bottom"/>
          </w:tcPr>
          <w:p>
            <w:pPr>
              <w:spacing w:after="0"/>
              <w:rPr>
                <w:sz w:val="13"/>
                <w:szCs w:val="13"/>
                <w:color w:val="auto"/>
              </w:rPr>
            </w:pPr>
          </w:p>
        </w:tc>
        <w:tc>
          <w:tcPr>
            <w:tcW w:w="94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3"/>
                <w:szCs w:val="13"/>
                <w:color w:val="auto"/>
              </w:rPr>
            </w:pPr>
          </w:p>
        </w:tc>
        <w:tc>
          <w:tcPr>
            <w:tcW w:w="96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6"/>
        </w:trPr>
        <w:tc>
          <w:tcPr>
            <w:tcW w:w="1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980" w:type="dxa"/>
            <w:vAlign w:val="bottom"/>
          </w:tcPr>
          <w:p>
            <w:pPr>
              <w:jc w:val="center"/>
              <w:ind w:right="57"/>
              <w:spacing w:after="0" w:line="126"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6"/>
              </w:rPr>
              <w:t>Attributable to</w:t>
            </w: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Stock</w:t>
            </w:r>
          </w:p>
        </w:tc>
        <w:tc>
          <w:tcPr>
            <w:tcW w:w="200" w:type="dxa"/>
            <w:vAlign w:val="bottom"/>
          </w:tcPr>
          <w:p>
            <w:pPr>
              <w:spacing w:after="0"/>
              <w:rPr>
                <w:sz w:val="10"/>
                <w:szCs w:val="10"/>
                <w:color w:val="auto"/>
              </w:rPr>
            </w:pPr>
          </w:p>
        </w:tc>
        <w:tc>
          <w:tcPr>
            <w:tcW w:w="900" w:type="dxa"/>
            <w:vAlign w:val="bottom"/>
          </w:tcPr>
          <w:p>
            <w:pPr>
              <w:jc w:val="center"/>
              <w:ind w:right="137"/>
              <w:spacing w:after="0" w:line="122" w:lineRule="exact"/>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0"/>
                <w:szCs w:val="10"/>
                <w:color w:val="auto"/>
              </w:rPr>
            </w:pPr>
          </w:p>
        </w:tc>
        <w:tc>
          <w:tcPr>
            <w:tcW w:w="940" w:type="dxa"/>
            <w:vAlign w:val="bottom"/>
          </w:tcPr>
          <w:p>
            <w:pPr>
              <w:jc w:val="right"/>
              <w:ind w:right="277"/>
              <w:spacing w:after="0" w:line="122"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1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0"/>
                <w:szCs w:val="10"/>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Total</w:t>
            </w: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80" w:type="dxa"/>
            <w:vAlign w:val="bottom"/>
          </w:tcPr>
          <w:p>
            <w:pPr>
              <w:spacing w:after="0"/>
              <w:rPr>
                <w:sz w:val="10"/>
                <w:szCs w:val="10"/>
                <w:color w:val="auto"/>
              </w:rPr>
            </w:pPr>
          </w:p>
        </w:tc>
        <w:tc>
          <w:tcPr>
            <w:tcW w:w="96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174"/>
        </w:trPr>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Shares</w:t>
            </w:r>
          </w:p>
        </w:tc>
        <w:tc>
          <w:tcPr>
            <w:tcW w:w="200" w:type="dxa"/>
            <w:vAlign w:val="bottom"/>
          </w:tcPr>
          <w:p>
            <w:pPr>
              <w:spacing w:after="0"/>
              <w:rPr>
                <w:sz w:val="15"/>
                <w:szCs w:val="15"/>
                <w:color w:val="auto"/>
              </w:rPr>
            </w:pPr>
          </w:p>
        </w:tc>
        <w:tc>
          <w:tcPr>
            <w:tcW w:w="900" w:type="dxa"/>
            <w:vAlign w:val="bottom"/>
          </w:tcPr>
          <w:p>
            <w:pPr>
              <w:jc w:val="center"/>
              <w:ind w:right="137"/>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5"/>
                <w:szCs w:val="15"/>
                <w:color w:val="auto"/>
              </w:rPr>
            </w:pPr>
          </w:p>
        </w:tc>
        <w:tc>
          <w:tcPr>
            <w:tcW w:w="940" w:type="dxa"/>
            <w:vAlign w:val="bottom"/>
          </w:tcPr>
          <w:p>
            <w:pPr>
              <w:jc w:val="right"/>
              <w:ind w:right="277"/>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5"/>
                <w:szCs w:val="15"/>
                <w:color w:val="auto"/>
              </w:rPr>
            </w:pPr>
          </w:p>
        </w:tc>
        <w:tc>
          <w:tcPr>
            <w:tcW w:w="940" w:type="dxa"/>
            <w:vAlign w:val="bottom"/>
          </w:tcPr>
          <w:p>
            <w:pPr>
              <w:jc w:val="right"/>
              <w:ind w:right="217"/>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Interests</w:t>
            </w:r>
          </w:p>
        </w:tc>
        <w:tc>
          <w:tcPr>
            <w:tcW w:w="80" w:type="dxa"/>
            <w:vAlign w:val="bottom"/>
          </w:tcPr>
          <w:p>
            <w:pPr>
              <w:spacing w:after="0"/>
              <w:rPr>
                <w:sz w:val="15"/>
                <w:szCs w:val="15"/>
                <w:color w:val="auto"/>
              </w:rPr>
            </w:pPr>
          </w:p>
        </w:tc>
        <w:tc>
          <w:tcPr>
            <w:tcW w:w="9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Investment</w:t>
            </w:r>
          </w:p>
        </w:tc>
        <w:tc>
          <w:tcPr>
            <w:tcW w:w="0" w:type="dxa"/>
            <w:vAlign w:val="bottom"/>
          </w:tcPr>
          <w:p>
            <w:pPr>
              <w:spacing w:after="0"/>
              <w:rPr>
                <w:sz w:val="1"/>
                <w:szCs w:val="1"/>
                <w:color w:val="auto"/>
              </w:rPr>
            </w:pPr>
          </w:p>
        </w:tc>
      </w:tr>
      <w:tr>
        <w:trPr>
          <w:trHeight w:val="161"/>
        </w:trPr>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227,207,472</w:t>
            </w: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13,632,448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98"/>
              </w:rPr>
              <w:t>1,010,440,420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98"/>
              </w:rPr>
              <w:t>1,450,287,128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(6,409,341)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8"/>
              </w:rPr>
              <w:t>2,467,950,655</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4,149,000</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2,472,099,655</w:t>
            </w:r>
          </w:p>
        </w:tc>
        <w:tc>
          <w:tcPr>
            <w:tcW w:w="0" w:type="dxa"/>
            <w:vAlign w:val="bottom"/>
          </w:tcPr>
          <w:p>
            <w:pPr>
              <w:spacing w:after="0"/>
              <w:rPr>
                <w:sz w:val="1"/>
                <w:szCs w:val="1"/>
                <w:color w:val="auto"/>
              </w:rPr>
            </w:pPr>
          </w:p>
        </w:tc>
      </w:tr>
      <w:tr>
        <w:trPr>
          <w:trHeight w:val="306"/>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1,550,327</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93,020</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13,245,032</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13,338,052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13,338,052</w:t>
            </w:r>
          </w:p>
        </w:tc>
        <w:tc>
          <w:tcPr>
            <w:tcW w:w="0" w:type="dxa"/>
            <w:vAlign w:val="bottom"/>
          </w:tcPr>
          <w:p>
            <w:pPr>
              <w:spacing w:after="0"/>
              <w:rPr>
                <w:sz w:val="1"/>
                <w:szCs w:val="1"/>
                <w:color w:val="auto"/>
              </w:rPr>
            </w:pPr>
          </w:p>
        </w:tc>
      </w:tr>
      <w:tr>
        <w:trPr>
          <w:trHeight w:val="176"/>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(9,805,995)</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(588,360)</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(39,156,090)</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(190,706,233)</w:t>
            </w: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(230,450,683)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(230,450,683)</w:t>
            </w:r>
          </w:p>
        </w:tc>
        <w:tc>
          <w:tcPr>
            <w:tcW w:w="0" w:type="dxa"/>
            <w:vAlign w:val="bottom"/>
          </w:tcPr>
          <w:p>
            <w:pPr>
              <w:spacing w:after="0"/>
              <w:rPr>
                <w:sz w:val="1"/>
                <w:szCs w:val="1"/>
                <w:color w:val="auto"/>
              </w:rPr>
            </w:pPr>
          </w:p>
        </w:tc>
      </w:tr>
      <w:tr>
        <w:trPr>
          <w:trHeight w:val="432"/>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26,596,685</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26,596,685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26,596,685</w:t>
            </w:r>
          </w:p>
        </w:tc>
        <w:tc>
          <w:tcPr>
            <w:tcW w:w="0" w:type="dxa"/>
            <w:vAlign w:val="bottom"/>
          </w:tcPr>
          <w:p>
            <w:pPr>
              <w:spacing w:after="0"/>
              <w:rPr>
                <w:sz w:val="1"/>
                <w:szCs w:val="1"/>
                <w:color w:val="auto"/>
              </w:rPr>
            </w:pPr>
          </w:p>
        </w:tc>
      </w:tr>
      <w:tr>
        <w:trPr>
          <w:trHeight w:val="203"/>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(79,595,804)</w:t>
            </w:r>
          </w:p>
        </w:tc>
        <w:tc>
          <w:tcPr>
            <w:tcW w:w="14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(79,595,804)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(79,595,804)</w:t>
            </w:r>
          </w:p>
        </w:tc>
        <w:tc>
          <w:tcPr>
            <w:tcW w:w="0" w:type="dxa"/>
            <w:vAlign w:val="bottom"/>
          </w:tcPr>
          <w:p>
            <w:pPr>
              <w:spacing w:after="0"/>
              <w:rPr>
                <w:sz w:val="1"/>
                <w:szCs w:val="1"/>
                <w:color w:val="auto"/>
              </w:rPr>
            </w:pPr>
          </w:p>
        </w:tc>
      </w:tr>
      <w:tr>
        <w:trPr>
          <w:trHeight w:val="176"/>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442,500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442,500</w:t>
            </w:r>
          </w:p>
        </w:tc>
        <w:tc>
          <w:tcPr>
            <w:tcW w:w="0" w:type="dxa"/>
            <w:vAlign w:val="bottom"/>
          </w:tcPr>
          <w:p>
            <w:pPr>
              <w:spacing w:after="0"/>
              <w:rPr>
                <w:sz w:val="1"/>
                <w:szCs w:val="1"/>
                <w:color w:val="auto"/>
              </w:rPr>
            </w:pPr>
          </w:p>
        </w:tc>
      </w:tr>
      <w:tr>
        <w:trPr>
          <w:trHeight w:val="310"/>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656,000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656,000</w:t>
            </w:r>
          </w:p>
        </w:tc>
        <w:tc>
          <w:tcPr>
            <w:tcW w:w="0" w:type="dxa"/>
            <w:vAlign w:val="bottom"/>
          </w:tcPr>
          <w:p>
            <w:pPr>
              <w:spacing w:after="0"/>
              <w:rPr>
                <w:sz w:val="1"/>
                <w:szCs w:val="1"/>
                <w:color w:val="auto"/>
              </w:rPr>
            </w:pPr>
          </w:p>
        </w:tc>
      </w:tr>
      <w:tr>
        <w:trPr>
          <w:trHeight w:val="311"/>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525,301</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525,301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(600,301)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311"/>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1,205,963</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1,205,963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(4,591,549)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(3,385,586)</w:t>
            </w:r>
          </w:p>
        </w:tc>
        <w:tc>
          <w:tcPr>
            <w:tcW w:w="0" w:type="dxa"/>
            <w:vAlign w:val="bottom"/>
          </w:tcPr>
          <w:p>
            <w:pPr>
              <w:spacing w:after="0"/>
              <w:rPr>
                <w:sz w:val="1"/>
                <w:szCs w:val="1"/>
                <w:color w:val="auto"/>
              </w:rPr>
            </w:pPr>
          </w:p>
        </w:tc>
      </w:tr>
      <w:tr>
        <w:trPr>
          <w:trHeight w:val="175"/>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291,881,539</w:t>
            </w:r>
          </w:p>
        </w:tc>
        <w:tc>
          <w:tcPr>
            <w:tcW w:w="14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291,881,539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(55,650)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291,825,889</w:t>
            </w:r>
          </w:p>
        </w:tc>
        <w:tc>
          <w:tcPr>
            <w:tcW w:w="0" w:type="dxa"/>
            <w:vAlign w:val="bottom"/>
          </w:tcPr>
          <w:p>
            <w:pPr>
              <w:spacing w:after="0"/>
              <w:rPr>
                <w:sz w:val="1"/>
                <w:szCs w:val="1"/>
                <w:color w:val="auto"/>
              </w:rPr>
            </w:pPr>
          </w:p>
        </w:tc>
      </w:tr>
      <w:tr>
        <w:trPr>
          <w:trHeight w:val="183"/>
        </w:trPr>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3,763,118</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3,763,118</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3,763,118</w:t>
            </w:r>
          </w:p>
        </w:tc>
        <w:tc>
          <w:tcPr>
            <w:tcW w:w="0" w:type="dxa"/>
            <w:vAlign w:val="bottom"/>
          </w:tcPr>
          <w:p>
            <w:pPr>
              <w:spacing w:after="0"/>
              <w:rPr>
                <w:sz w:val="1"/>
                <w:szCs w:val="1"/>
                <w:color w:val="auto"/>
              </w:rPr>
            </w:pPr>
          </w:p>
        </w:tc>
      </w:tr>
      <w:tr>
        <w:trPr>
          <w:trHeight w:val="166"/>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218,951,804</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13,137,108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1,012,857,311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1,471,866,630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(2,646,223)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w w:val="98"/>
              </w:rPr>
              <w:t>2,495,214,826</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2,495,214,826</w:t>
            </w:r>
          </w:p>
        </w:tc>
        <w:tc>
          <w:tcPr>
            <w:tcW w:w="0" w:type="dxa"/>
            <w:vAlign w:val="bottom"/>
          </w:tcPr>
          <w:p>
            <w:pPr>
              <w:spacing w:after="0"/>
              <w:rPr>
                <w:sz w:val="1"/>
                <w:szCs w:val="1"/>
                <w:color w:val="auto"/>
              </w:rPr>
            </w:pPr>
          </w:p>
        </w:tc>
      </w:tr>
      <w:tr>
        <w:trPr>
          <w:trHeight w:val="98"/>
        </w:trPr>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-1971040</wp:posOffset>
            </wp:positionV>
            <wp:extent cx="705485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4850" cy="12001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-1654175</wp:posOffset>
            </wp:positionV>
            <wp:extent cx="7054850" cy="111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-1268095</wp:posOffset>
            </wp:positionV>
            <wp:extent cx="705485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-1028065</wp:posOffset>
            </wp:positionV>
            <wp:extent cx="705485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4850" cy="19685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-633730</wp:posOffset>
            </wp:positionV>
            <wp:extent cx="705485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54850" cy="19685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-325120</wp:posOffset>
            </wp:positionV>
            <wp:extent cx="7054850" cy="111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-16510</wp:posOffset>
            </wp:positionV>
            <wp:extent cx="70548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100"/>
            <w:col w:w="8920"/>
          </w:cols>
          <w:pgMar w:left="320" w:top="1440" w:right="339" w:bottom="1440" w:gutter="0" w:footer="0" w:header="0"/>
        </w:sectPr>
      </w:pPr>
    </w:p>
    <w:p>
      <w:pPr>
        <w:spacing w:after="0" w:line="39" w:lineRule="exact"/>
        <w:rPr>
          <w:sz w:val="20"/>
          <w:szCs w:val="20"/>
          <w:color w:val="auto"/>
        </w:rPr>
      </w:pPr>
    </w:p>
    <w:p>
      <w:pPr>
        <w:ind w:left="80"/>
        <w:spacing w:after="0"/>
        <w:rPr>
          <w:sz w:val="20"/>
          <w:szCs w:val="20"/>
          <w:color w:val="auto"/>
        </w:rPr>
      </w:pPr>
      <w:r>
        <w:rPr>
          <w:rFonts w:ascii="Arial" w:cs="Arial" w:eastAsia="Arial" w:hAnsi="Arial"/>
          <w:sz w:val="12"/>
          <w:szCs w:val="12"/>
          <w:color w:val="auto"/>
        </w:rPr>
        <w:t>BALANCE AS OF JANUARY 1, 2024</w:t>
      </w:r>
    </w:p>
    <w:p>
      <w:pPr>
        <w:spacing w:after="0" w:line="38" w:lineRule="exact"/>
        <w:rPr>
          <w:sz w:val="20"/>
          <w:szCs w:val="20"/>
          <w:color w:val="auto"/>
        </w:rPr>
      </w:pPr>
    </w:p>
    <w:p>
      <w:pPr>
        <w:ind w:left="8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left="80" w:right="80"/>
        <w:spacing w:after="0" w:line="280" w:lineRule="auto"/>
        <w:rPr>
          <w:sz w:val="20"/>
          <w:szCs w:val="20"/>
          <w:color w:val="auto"/>
        </w:rPr>
      </w:pPr>
      <w:r>
        <w:rPr>
          <w:rFonts w:ascii="Arial" w:cs="Arial" w:eastAsia="Arial" w:hAnsi="Arial"/>
          <w:sz w:val="12"/>
          <w:szCs w:val="12"/>
          <w:color w:val="auto"/>
        </w:rPr>
        <w:t>Repurchases of common stock Stock-based compensation expense</w:t>
      </w:r>
    </w:p>
    <w:p>
      <w:pPr>
        <w:spacing w:after="0" w:line="1" w:lineRule="exact"/>
        <w:rPr>
          <w:sz w:val="20"/>
          <w:szCs w:val="20"/>
          <w:color w:val="auto"/>
        </w:rPr>
      </w:pPr>
    </w:p>
    <w:p>
      <w:pPr>
        <w:ind w:left="80" w:right="80"/>
        <w:spacing w:after="0" w:line="239" w:lineRule="auto"/>
        <w:rPr>
          <w:sz w:val="20"/>
          <w:szCs w:val="20"/>
          <w:color w:val="auto"/>
        </w:rPr>
      </w:pPr>
      <w:r>
        <w:rPr>
          <w:rFonts w:ascii="Arial" w:cs="Arial" w:eastAsia="Arial" w:hAnsi="Arial"/>
          <w:sz w:val="12"/>
          <w:szCs w:val="12"/>
          <w:color w:val="auto"/>
        </w:rPr>
        <w:t>related to stock options, employee stock purchases and restricted stock</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Dividends declared ($0.36 per share)</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3"/>
          <w:szCs w:val="13"/>
          <w:color w:val="auto"/>
        </w:rPr>
        <w:t>Net income</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3"/>
          <w:szCs w:val="13"/>
          <w:color w:val="auto"/>
        </w:rPr>
        <w:t>Other comprehensive income</w:t>
      </w:r>
    </w:p>
    <w:p>
      <w:pPr>
        <w:spacing w:after="0" w:line="26" w:lineRule="exact"/>
        <w:rPr>
          <w:sz w:val="20"/>
          <w:szCs w:val="20"/>
          <w:color w:val="auto"/>
        </w:rPr>
      </w:pPr>
    </w:p>
    <w:p>
      <w:pPr>
        <w:ind w:left="80" w:right="100"/>
        <w:spacing w:after="0" w:line="243" w:lineRule="auto"/>
        <w:rPr>
          <w:sz w:val="20"/>
          <w:szCs w:val="20"/>
          <w:color w:val="auto"/>
        </w:rPr>
      </w:pPr>
      <w:r>
        <w:rPr>
          <w:rFonts w:ascii="Arial" w:cs="Arial" w:eastAsia="Arial" w:hAnsi="Arial"/>
          <w:sz w:val="13"/>
          <w:szCs w:val="13"/>
          <w:color w:val="auto"/>
        </w:rPr>
        <w:t>BALANCE AS OF SEPTEMBER 30, 2024</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231,455,443</w:t>
            </w:r>
          </w:p>
        </w:tc>
        <w:tc>
          <w:tcPr>
            <w:tcW w:w="2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13,887,326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968,245,875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1,336,940,990</w:t>
            </w:r>
          </w:p>
        </w:tc>
        <w:tc>
          <w:tcPr>
            <w:tcW w:w="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(6,557,122)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2,312,517,069</w:t>
            </w:r>
          </w:p>
        </w:tc>
        <w:tc>
          <w:tcPr>
            <w:tcW w:w="52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2,312,517,069</w:t>
            </w:r>
          </w:p>
        </w:tc>
      </w:tr>
      <w:tr>
        <w:trPr>
          <w:trHeight w:val="310"/>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1,786,232</w:t>
            </w:r>
          </w:p>
        </w:tc>
        <w:tc>
          <w:tcPr>
            <w:tcW w:w="24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107,174</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23,917,179</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24,024,353</w:t>
            </w:r>
          </w:p>
        </w:tc>
        <w:tc>
          <w:tcPr>
            <w:tcW w:w="52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24,024,353</w:t>
            </w:r>
          </w:p>
        </w:tc>
      </w:tr>
      <w:tr>
        <w:trPr>
          <w:trHeight w:val="175"/>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(5,798,385)</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(347,903)</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(22,151,437)</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(165,179,271)</w:t>
            </w:r>
          </w:p>
        </w:tc>
        <w:tc>
          <w:tcPr>
            <w:tcW w:w="2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(187,678,611)</w:t>
            </w:r>
          </w:p>
        </w:tc>
        <w:tc>
          <w:tcPr>
            <w:tcW w:w="52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(187,678,611)</w:t>
            </w:r>
          </w:p>
        </w:tc>
      </w:tr>
      <w:tr>
        <w:trPr>
          <w:trHeight w:val="432"/>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30,936,895</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30,936,895</w:t>
            </w:r>
          </w:p>
        </w:tc>
        <w:tc>
          <w:tcPr>
            <w:tcW w:w="52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30,936,895</w:t>
            </w:r>
          </w:p>
        </w:tc>
      </w:tr>
      <w:tr>
        <w:trPr>
          <w:trHeight w:val="203"/>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(82,663,756)</w:t>
            </w:r>
          </w:p>
        </w:tc>
        <w:tc>
          <w:tcPr>
            <w:tcW w:w="28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(82,663,756)</w:t>
            </w:r>
          </w:p>
        </w:tc>
        <w:tc>
          <w:tcPr>
            <w:tcW w:w="52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(82,663,756)</w:t>
            </w:r>
          </w:p>
        </w:tc>
      </w:tr>
      <w:tr>
        <w:trPr>
          <w:trHeight w:val="175"/>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316,820,194</w:t>
            </w:r>
          </w:p>
        </w:tc>
        <w:tc>
          <w:tcPr>
            <w:tcW w:w="2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316,820,194</w:t>
            </w:r>
          </w:p>
        </w:tc>
        <w:tc>
          <w:tcPr>
            <w:tcW w:w="52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316,820,194</w:t>
            </w:r>
          </w:p>
        </w:tc>
      </w:tr>
      <w:tr>
        <w:trPr>
          <w:trHeight w:val="183"/>
        </w:trPr>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3,671,198</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3,671,198</w:t>
            </w:r>
          </w:p>
        </w:tc>
        <w:tc>
          <w:tcPr>
            <w:tcW w:w="5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3,671,198</w:t>
            </w:r>
          </w:p>
        </w:tc>
      </w:tr>
      <w:tr>
        <w:trPr>
          <w:trHeight w:val="166"/>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227,443,290</w:t>
            </w:r>
          </w:p>
        </w:tc>
        <w:tc>
          <w:tcPr>
            <w:tcW w:w="2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13,646,597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1,000,948,512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1,405,918,157</w:t>
            </w:r>
          </w:p>
        </w:tc>
        <w:tc>
          <w:tcPr>
            <w:tcW w:w="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(2,885,924)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w w:val="98"/>
              </w:rPr>
              <w:t>2,417,627,342</w:t>
            </w:r>
          </w:p>
        </w:tc>
        <w:tc>
          <w:tcPr>
            <w:tcW w:w="52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2,417,627,342</w:t>
            </w:r>
          </w:p>
        </w:tc>
      </w:tr>
      <w:tr>
        <w:trPr>
          <w:trHeight w:val="104"/>
        </w:trPr>
        <w:tc>
          <w:tcPr>
            <w:tcW w:w="10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-1148080</wp:posOffset>
            </wp:positionV>
            <wp:extent cx="705485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4850" cy="19685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-839470</wp:posOffset>
            </wp:positionV>
            <wp:extent cx="705485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4850" cy="27432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-436880</wp:posOffset>
            </wp:positionV>
            <wp:extent cx="7054850" cy="111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-1424940</wp:posOffset>
            </wp:positionH>
            <wp:positionV relativeFrom="paragraph">
              <wp:posOffset>-213995</wp:posOffset>
            </wp:positionV>
            <wp:extent cx="7054850"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48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120"/>
            <w:col w:w="8920"/>
          </w:cols>
          <w:pgMar w:left="320" w:top="1440"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Net income (loss) excludes net loss attributable to redeemable non-controlling interest of $414,641 for the nine months ended September 30, 2025 (see </w:t>
      </w:r>
      <w:r>
        <w:rPr>
          <w:rFonts w:ascii="Arial" w:cs="Arial" w:eastAsia="Arial" w:hAnsi="Arial"/>
          <w:sz w:val="14"/>
          <w:szCs w:val="14"/>
          <w:u w:val="single" w:color="auto"/>
          <w:color w:val="0000FF"/>
        </w:rPr>
        <w:t>Note 16</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jc w:val="center"/>
        <w:ind w:right="40"/>
        <w:spacing w:after="0"/>
        <w:rPr>
          <w:sz w:val="20"/>
          <w:szCs w:val="20"/>
          <w:color w:val="auto"/>
        </w:rPr>
      </w:pPr>
      <w:r>
        <w:rPr>
          <w:rFonts w:ascii="Arial" w:cs="Arial" w:eastAsia="Arial" w:hAnsi="Arial"/>
          <w:sz w:val="14"/>
          <w:szCs w:val="14"/>
          <w:b w:val="1"/>
          <w:bCs w:val="1"/>
          <w:color w:val="auto"/>
        </w:rPr>
        <w:t>GENTEX CORPORATION AND SUBSIDIARIES</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 CONDENSED CONSOLIDATED STATEMENTS OF CASH FLOWS</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For the Nine Months Ended September 30, 2025 and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3"/>
                <w:szCs w:val="13"/>
                <w:b w:val="1"/>
                <w:bCs w:val="1"/>
                <w:color w:val="auto"/>
              </w:rPr>
              <w:t>2025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b w:val="1"/>
                <w:bCs w:val="1"/>
                <w:color w:val="auto"/>
              </w:rPr>
              <w:t>2024</w:t>
            </w:r>
          </w:p>
        </w:tc>
      </w:tr>
      <w:tr>
        <w:trPr>
          <w:trHeight w:val="151"/>
        </w:trPr>
        <w:tc>
          <w:tcPr>
            <w:tcW w:w="740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income from consolidated operations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291,411,199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316,820,194</w:t>
            </w:r>
          </w:p>
        </w:tc>
      </w:tr>
      <w:tr>
        <w:trPr>
          <w:trHeight w:val="171"/>
        </w:trPr>
        <w:tc>
          <w:tcPr>
            <w:tcW w:w="7400" w:type="dxa"/>
            <w:vAlign w:val="bottom"/>
          </w:tcPr>
          <w:p>
            <w:pPr>
              <w:ind w:left="24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0"/>
        </w:trPr>
        <w:tc>
          <w:tcPr>
            <w:tcW w:w="74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78,808,967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70,887,294</w:t>
            </w:r>
          </w:p>
        </w:tc>
      </w:tr>
      <w:tr>
        <w:trPr>
          <w:trHeight w:val="171"/>
        </w:trPr>
        <w:tc>
          <w:tcPr>
            <w:tcW w:w="7400" w:type="dxa"/>
            <w:vAlign w:val="bottom"/>
          </w:tcPr>
          <w:p>
            <w:pPr>
              <w:ind w:left="560"/>
              <w:spacing w:after="0"/>
              <w:rPr>
                <w:sz w:val="20"/>
                <w:szCs w:val="20"/>
                <w:color w:val="auto"/>
              </w:rPr>
            </w:pPr>
            <w:r>
              <w:rPr>
                <w:rFonts w:ascii="Arial" w:cs="Arial" w:eastAsia="Arial" w:hAnsi="Arial"/>
                <w:sz w:val="13"/>
                <w:szCs w:val="13"/>
                <w:color w:val="auto"/>
              </w:rPr>
              <w:t>Gain on disposal of assets</w:t>
            </w: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(161,501)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(1,279,049)</w:t>
            </w:r>
          </w:p>
        </w:tc>
      </w:tr>
      <w:tr>
        <w:trPr>
          <w:trHeight w:val="180"/>
        </w:trPr>
        <w:tc>
          <w:tcPr>
            <w:tcW w:w="74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Loss on disposal of assets</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13,243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48,618</w:t>
            </w:r>
          </w:p>
        </w:tc>
      </w:tr>
      <w:tr>
        <w:trPr>
          <w:trHeight w:val="171"/>
        </w:trPr>
        <w:tc>
          <w:tcPr>
            <w:tcW w:w="7400" w:type="dxa"/>
            <w:vAlign w:val="bottom"/>
          </w:tcPr>
          <w:p>
            <w:pPr>
              <w:ind w:left="560"/>
              <w:spacing w:after="0"/>
              <w:rPr>
                <w:sz w:val="20"/>
                <w:szCs w:val="20"/>
                <w:color w:val="auto"/>
              </w:rPr>
            </w:pPr>
            <w:r>
              <w:rPr>
                <w:rFonts w:ascii="Arial" w:cs="Arial" w:eastAsia="Arial" w:hAnsi="Arial"/>
                <w:sz w:val="13"/>
                <w:szCs w:val="13"/>
                <w:color w:val="auto"/>
              </w:rPr>
              <w:t>Gain on sale of investments and technology investment income</w:t>
            </w: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(1,637,823)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(4,736,312)</w:t>
            </w:r>
          </w:p>
        </w:tc>
      </w:tr>
      <w:tr>
        <w:trPr>
          <w:trHeight w:val="180"/>
        </w:trPr>
        <w:tc>
          <w:tcPr>
            <w:tcW w:w="74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Loss on sale of investments and technology investment losses</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6,630,483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14,839,974</w:t>
            </w:r>
          </w:p>
        </w:tc>
      </w:tr>
      <w:tr>
        <w:trPr>
          <w:trHeight w:val="171"/>
        </w:trPr>
        <w:tc>
          <w:tcPr>
            <w:tcW w:w="7400" w:type="dxa"/>
            <w:vAlign w:val="bottom"/>
          </w:tcPr>
          <w:p>
            <w:pPr>
              <w:ind w:left="560"/>
              <w:spacing w:after="0"/>
              <w:rPr>
                <w:sz w:val="20"/>
                <w:szCs w:val="20"/>
                <w:color w:val="auto"/>
              </w:rPr>
            </w:pPr>
            <w:r>
              <w:rPr>
                <w:rFonts w:ascii="Arial" w:cs="Arial" w:eastAsia="Arial" w:hAnsi="Arial"/>
                <w:sz w:val="13"/>
                <w:szCs w:val="13"/>
                <w:color w:val="auto"/>
              </w:rPr>
              <w:t>Reserve for credit losses</w:t>
            </w:r>
          </w:p>
        </w:tc>
        <w:tc>
          <w:tcPr>
            <w:tcW w:w="200" w:type="dxa"/>
            <w:vAlign w:val="bottom"/>
          </w:tcPr>
          <w:p>
            <w:pPr>
              <w:spacing w:after="0"/>
              <w:rPr>
                <w:sz w:val="14"/>
                <w:szCs w:val="14"/>
                <w:color w:val="auto"/>
              </w:rPr>
            </w:pP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4,778,334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80"/>
        </w:trPr>
        <w:tc>
          <w:tcPr>
            <w:tcW w:w="74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Deferred income taxes</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(5,832,023)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(9,970,207)</w:t>
            </w:r>
          </w:p>
        </w:tc>
      </w:tr>
      <w:tr>
        <w:trPr>
          <w:trHeight w:val="171"/>
        </w:trPr>
        <w:tc>
          <w:tcPr>
            <w:tcW w:w="7400" w:type="dxa"/>
            <w:vAlign w:val="bottom"/>
          </w:tcPr>
          <w:p>
            <w:pPr>
              <w:ind w:left="560"/>
              <w:spacing w:after="0"/>
              <w:rPr>
                <w:sz w:val="20"/>
                <w:szCs w:val="20"/>
                <w:color w:val="auto"/>
              </w:rPr>
            </w:pPr>
            <w:r>
              <w:rPr>
                <w:rFonts w:ascii="Arial" w:cs="Arial" w:eastAsia="Arial" w:hAnsi="Arial"/>
                <w:sz w:val="13"/>
                <w:szCs w:val="13"/>
                <w:color w:val="auto"/>
                <w:w w:val="99"/>
              </w:rPr>
              <w:t>Stock-based compensation expense related to employee stock options, employee stock purchases and restricted stock</w:t>
            </w:r>
          </w:p>
        </w:tc>
        <w:tc>
          <w:tcPr>
            <w:tcW w:w="200" w:type="dxa"/>
            <w:vAlign w:val="bottom"/>
          </w:tcPr>
          <w:p>
            <w:pPr>
              <w:spacing w:after="0"/>
              <w:rPr>
                <w:sz w:val="14"/>
                <w:szCs w:val="14"/>
                <w:color w:val="auto"/>
              </w:rPr>
            </w:pP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26,596,685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17"/>
              <w:spacing w:after="0"/>
              <w:rPr>
                <w:sz w:val="20"/>
                <w:szCs w:val="20"/>
                <w:color w:val="auto"/>
              </w:rPr>
            </w:pPr>
            <w:r>
              <w:rPr>
                <w:rFonts w:ascii="Arial" w:cs="Arial" w:eastAsia="Arial" w:hAnsi="Arial"/>
                <w:sz w:val="13"/>
                <w:szCs w:val="13"/>
                <w:color w:val="auto"/>
              </w:rPr>
              <w:t>30,936,895</w:t>
            </w:r>
          </w:p>
        </w:tc>
      </w:tr>
      <w:tr>
        <w:trPr>
          <w:trHeight w:val="180"/>
        </w:trPr>
        <w:tc>
          <w:tcPr>
            <w:tcW w:w="74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Impairment charge</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8,376,148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r>
      <w:tr>
        <w:trPr>
          <w:trHeight w:val="171"/>
        </w:trPr>
        <w:tc>
          <w:tcPr>
            <w:tcW w:w="7400" w:type="dxa"/>
            <w:vAlign w:val="bottom"/>
          </w:tcPr>
          <w:p>
            <w:pPr>
              <w:ind w:left="560"/>
              <w:spacing w:after="0"/>
              <w:rPr>
                <w:sz w:val="20"/>
                <w:szCs w:val="20"/>
                <w:color w:val="auto"/>
              </w:rPr>
            </w:pPr>
            <w:r>
              <w:rPr>
                <w:rFonts w:ascii="Arial" w:cs="Arial" w:eastAsia="Arial" w:hAnsi="Arial"/>
                <w:sz w:val="13"/>
                <w:szCs w:val="13"/>
                <w:color w:val="auto"/>
              </w:rPr>
              <w:t>Change in operating assets and liabilities: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0"/>
        </w:trPr>
        <w:tc>
          <w:tcPr>
            <w:tcW w:w="7400" w:type="dxa"/>
            <w:vAlign w:val="bottom"/>
            <w:shd w:val="clear" w:color="auto" w:fill="CCEEFF"/>
          </w:tcPr>
          <w:p>
            <w:pPr>
              <w:ind w:left="780"/>
              <w:spacing w:after="0"/>
              <w:rPr>
                <w:sz w:val="20"/>
                <w:szCs w:val="20"/>
                <w:color w:val="auto"/>
              </w:rPr>
            </w:pPr>
            <w:r>
              <w:rPr>
                <w:rFonts w:ascii="Arial" w:cs="Arial" w:eastAsia="Arial" w:hAnsi="Arial"/>
                <w:sz w:val="13"/>
                <w:szCs w:val="13"/>
                <w:color w:val="auto"/>
              </w:rPr>
              <w:t>Accounts receivable, net</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(30,771,806)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(34,528,140)</w:t>
            </w:r>
          </w:p>
        </w:tc>
      </w:tr>
      <w:tr>
        <w:trPr>
          <w:trHeight w:val="171"/>
        </w:trPr>
        <w:tc>
          <w:tcPr>
            <w:tcW w:w="7400" w:type="dxa"/>
            <w:vAlign w:val="bottom"/>
          </w:tcPr>
          <w:p>
            <w:pPr>
              <w:ind w:left="780"/>
              <w:spacing w:after="0"/>
              <w:rPr>
                <w:sz w:val="20"/>
                <w:szCs w:val="20"/>
                <w:color w:val="auto"/>
              </w:rPr>
            </w:pPr>
            <w:r>
              <w:rPr>
                <w:rFonts w:ascii="Arial" w:cs="Arial" w:eastAsia="Arial" w:hAnsi="Arial"/>
                <w:sz w:val="13"/>
                <w:szCs w:val="13"/>
                <w:color w:val="auto"/>
              </w:rPr>
              <w:t>Inventories</w:t>
            </w:r>
          </w:p>
        </w:tc>
        <w:tc>
          <w:tcPr>
            <w:tcW w:w="200" w:type="dxa"/>
            <w:vAlign w:val="bottom"/>
          </w:tcPr>
          <w:p>
            <w:pPr>
              <w:spacing w:after="0"/>
              <w:rPr>
                <w:sz w:val="14"/>
                <w:szCs w:val="14"/>
                <w:color w:val="auto"/>
              </w:rPr>
            </w:pP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35,148,302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(46,837,992)</w:t>
            </w:r>
          </w:p>
        </w:tc>
      </w:tr>
      <w:tr>
        <w:trPr>
          <w:trHeight w:val="180"/>
        </w:trPr>
        <w:tc>
          <w:tcPr>
            <w:tcW w:w="7400" w:type="dxa"/>
            <w:vAlign w:val="bottom"/>
            <w:shd w:val="clear" w:color="auto" w:fill="CCEEFF"/>
          </w:tcPr>
          <w:p>
            <w:pPr>
              <w:ind w:left="780"/>
              <w:spacing w:after="0"/>
              <w:rPr>
                <w:sz w:val="20"/>
                <w:szCs w:val="20"/>
                <w:color w:val="auto"/>
              </w:rPr>
            </w:pPr>
            <w:r>
              <w:rPr>
                <w:rFonts w:ascii="Arial" w:cs="Arial" w:eastAsia="Arial" w:hAnsi="Arial"/>
                <w:sz w:val="13"/>
                <w:szCs w:val="13"/>
                <w:color w:val="auto"/>
              </w:rPr>
              <w:t>Prepaid expenses and other</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(6,400,676)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(2,616,370)</w:t>
            </w:r>
          </w:p>
        </w:tc>
      </w:tr>
      <w:tr>
        <w:trPr>
          <w:trHeight w:val="171"/>
        </w:trPr>
        <w:tc>
          <w:tcPr>
            <w:tcW w:w="7400" w:type="dxa"/>
            <w:vAlign w:val="bottom"/>
          </w:tcPr>
          <w:p>
            <w:pPr>
              <w:ind w:left="780"/>
              <w:spacing w:after="0"/>
              <w:rPr>
                <w:sz w:val="20"/>
                <w:szCs w:val="20"/>
                <w:color w:val="auto"/>
              </w:rPr>
            </w:pPr>
            <w:r>
              <w:rPr>
                <w:rFonts w:ascii="Arial" w:cs="Arial" w:eastAsia="Arial" w:hAnsi="Arial"/>
                <w:sz w:val="13"/>
                <w:szCs w:val="13"/>
                <w:color w:val="auto"/>
              </w:rPr>
              <w:t>Accounts payable</w:t>
            </w:r>
          </w:p>
        </w:tc>
        <w:tc>
          <w:tcPr>
            <w:tcW w:w="200" w:type="dxa"/>
            <w:vAlign w:val="bottom"/>
          </w:tcPr>
          <w:p>
            <w:pPr>
              <w:spacing w:after="0"/>
              <w:rPr>
                <w:sz w:val="14"/>
                <w:szCs w:val="14"/>
                <w:color w:val="auto"/>
              </w:rPr>
            </w:pP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52,627,156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(8,976,998)</w:t>
            </w:r>
          </w:p>
        </w:tc>
      </w:tr>
      <w:tr>
        <w:trPr>
          <w:trHeight w:val="180"/>
        </w:trPr>
        <w:tc>
          <w:tcPr>
            <w:tcW w:w="7400" w:type="dxa"/>
            <w:vAlign w:val="bottom"/>
            <w:shd w:val="clear" w:color="auto" w:fill="CCEEFF"/>
          </w:tcPr>
          <w:p>
            <w:pPr>
              <w:ind w:left="780"/>
              <w:spacing w:after="0"/>
              <w:rPr>
                <w:sz w:val="20"/>
                <w:szCs w:val="20"/>
                <w:color w:val="auto"/>
              </w:rPr>
            </w:pPr>
            <w:r>
              <w:rPr>
                <w:rFonts w:ascii="Arial" w:cs="Arial" w:eastAsia="Arial" w:hAnsi="Arial"/>
                <w:sz w:val="13"/>
                <w:szCs w:val="13"/>
                <w:color w:val="auto"/>
              </w:rPr>
              <w:t>Accrued liabilities, excluding dividends declared</w:t>
            </w:r>
          </w:p>
        </w:tc>
        <w:tc>
          <w:tcPr>
            <w:tcW w:w="2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2,040,885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19,229,845</w:t>
            </w:r>
          </w:p>
        </w:tc>
      </w:tr>
      <w:tr>
        <w:trPr>
          <w:trHeight w:val="164"/>
        </w:trPr>
        <w:tc>
          <w:tcPr>
            <w:tcW w:w="7400" w:type="dxa"/>
            <w:vAlign w:val="bottom"/>
            <w:tcBorders>
              <w:bottom w:val="single" w:sz="8" w:color="CCEEFF"/>
            </w:tcBorders>
          </w:tcPr>
          <w:p>
            <w:pPr>
              <w:ind w:left="1000"/>
              <w:spacing w:after="0"/>
              <w:rPr>
                <w:sz w:val="20"/>
                <w:szCs w:val="20"/>
                <w:color w:val="auto"/>
              </w:rPr>
            </w:pPr>
            <w:r>
              <w:rPr>
                <w:rFonts w:ascii="Arial" w:cs="Arial" w:eastAsia="Arial" w:hAnsi="Arial"/>
                <w:sz w:val="13"/>
                <w:szCs w:val="13"/>
                <w:color w:val="auto"/>
              </w:rPr>
              <w:t>Net cash provided by operating activities</w:t>
            </w: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461,627,573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343,817,752</w:t>
            </w:r>
          </w:p>
        </w:tc>
      </w:tr>
      <w:tr>
        <w:trPr>
          <w:trHeight w:val="187"/>
        </w:trPr>
        <w:tc>
          <w:tcPr>
            <w:tcW w:w="7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71"/>
        </w:trPr>
        <w:tc>
          <w:tcPr>
            <w:tcW w:w="7400" w:type="dxa"/>
            <w:vAlign w:val="bottom"/>
          </w:tcPr>
          <w:p>
            <w:pPr>
              <w:ind w:left="20"/>
              <w:spacing w:after="0"/>
              <w:rPr>
                <w:sz w:val="20"/>
                <w:szCs w:val="20"/>
                <w:color w:val="auto"/>
              </w:rPr>
            </w:pPr>
            <w:r>
              <w:rPr>
                <w:rFonts w:ascii="Arial" w:cs="Arial" w:eastAsia="Arial" w:hAnsi="Arial"/>
                <w:sz w:val="13"/>
                <w:szCs w:val="13"/>
                <w:color w:val="auto"/>
              </w:rPr>
              <w:t>CASH FLOWS USED FOR INVESTING ACTIVITIES: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Activity in investments:</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1"/>
        </w:trPr>
        <w:tc>
          <w:tcPr>
            <w:tcW w:w="7400" w:type="dxa"/>
            <w:vAlign w:val="bottom"/>
          </w:tcPr>
          <w:p>
            <w:pPr>
              <w:ind w:left="340"/>
              <w:spacing w:after="0"/>
              <w:rPr>
                <w:sz w:val="20"/>
                <w:szCs w:val="20"/>
                <w:color w:val="auto"/>
              </w:rPr>
            </w:pPr>
            <w:r>
              <w:rPr>
                <w:rFonts w:ascii="Arial" w:cs="Arial" w:eastAsia="Arial" w:hAnsi="Arial"/>
                <w:sz w:val="13"/>
                <w:szCs w:val="13"/>
                <w:color w:val="auto"/>
              </w:rPr>
              <w:t>Sales proceeds</w:t>
            </w:r>
          </w:p>
        </w:tc>
        <w:tc>
          <w:tcPr>
            <w:tcW w:w="200" w:type="dxa"/>
            <w:vAlign w:val="bottom"/>
          </w:tcPr>
          <w:p>
            <w:pPr>
              <w:spacing w:after="0"/>
              <w:rPr>
                <w:sz w:val="14"/>
                <w:szCs w:val="14"/>
                <w:color w:val="auto"/>
              </w:rPr>
            </w:pP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71,903,080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17"/>
              <w:spacing w:after="0"/>
              <w:rPr>
                <w:sz w:val="20"/>
                <w:szCs w:val="20"/>
                <w:color w:val="auto"/>
              </w:rPr>
            </w:pPr>
            <w:r>
              <w:rPr>
                <w:rFonts w:ascii="Arial" w:cs="Arial" w:eastAsia="Arial" w:hAnsi="Arial"/>
                <w:sz w:val="13"/>
                <w:szCs w:val="13"/>
                <w:color w:val="auto"/>
              </w:rPr>
              <w:t>35,059,971</w:t>
            </w:r>
          </w:p>
        </w:tc>
      </w:tr>
      <w:tr>
        <w:trPr>
          <w:trHeight w:val="180"/>
        </w:trPr>
        <w:tc>
          <w:tcPr>
            <w:tcW w:w="74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Maturities and calls</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1,655,000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10,260,000</w:t>
            </w:r>
          </w:p>
        </w:tc>
      </w:tr>
      <w:tr>
        <w:trPr>
          <w:trHeight w:val="171"/>
        </w:trPr>
        <w:tc>
          <w:tcPr>
            <w:tcW w:w="7400" w:type="dxa"/>
            <w:vAlign w:val="bottom"/>
          </w:tcPr>
          <w:p>
            <w:pPr>
              <w:ind w:left="340"/>
              <w:spacing w:after="0"/>
              <w:rPr>
                <w:sz w:val="20"/>
                <w:szCs w:val="20"/>
                <w:color w:val="auto"/>
              </w:rPr>
            </w:pPr>
            <w:r>
              <w:rPr>
                <w:rFonts w:ascii="Arial" w:cs="Arial" w:eastAsia="Arial" w:hAnsi="Arial"/>
                <w:sz w:val="13"/>
                <w:szCs w:val="13"/>
                <w:color w:val="auto"/>
              </w:rPr>
              <w:t>Purchases</w:t>
            </w: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(16,267,120)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(83,764,695)</w:t>
            </w: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Plant and equipment additions</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(103,418,837)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(102,966,564)</w:t>
            </w:r>
          </w:p>
        </w:tc>
      </w:tr>
      <w:tr>
        <w:trPr>
          <w:trHeight w:val="171"/>
        </w:trPr>
        <w:tc>
          <w:tcPr>
            <w:tcW w:w="7400" w:type="dxa"/>
            <w:vAlign w:val="bottom"/>
          </w:tcPr>
          <w:p>
            <w:pPr>
              <w:ind w:left="240"/>
              <w:spacing w:after="0"/>
              <w:rPr>
                <w:sz w:val="20"/>
                <w:szCs w:val="20"/>
                <w:color w:val="auto"/>
              </w:rPr>
            </w:pPr>
            <w:r>
              <w:rPr>
                <w:rFonts w:ascii="Arial" w:cs="Arial" w:eastAsia="Arial" w:hAnsi="Arial"/>
                <w:sz w:val="13"/>
                <w:szCs w:val="13"/>
                <w:color w:val="auto"/>
              </w:rPr>
              <w:t>Proceeds from sale of plant and equipment</w:t>
            </w:r>
          </w:p>
        </w:tc>
        <w:tc>
          <w:tcPr>
            <w:tcW w:w="200" w:type="dxa"/>
            <w:vAlign w:val="bottom"/>
          </w:tcPr>
          <w:p>
            <w:pPr>
              <w:spacing w:after="0"/>
              <w:rPr>
                <w:sz w:val="14"/>
                <w:szCs w:val="14"/>
                <w:color w:val="auto"/>
              </w:rPr>
            </w:pPr>
          </w:p>
        </w:tc>
        <w:tc>
          <w:tcPr>
            <w:tcW w:w="1620" w:type="dxa"/>
            <w:vAlign w:val="bottom"/>
          </w:tcPr>
          <w:p>
            <w:pPr>
              <w:jc w:val="right"/>
              <w:ind w:right="17"/>
              <w:spacing w:after="0"/>
              <w:rPr>
                <w:sz w:val="20"/>
                <w:szCs w:val="20"/>
                <w:color w:val="auto"/>
              </w:rPr>
            </w:pPr>
            <w:r>
              <w:rPr>
                <w:rFonts w:ascii="Arial" w:cs="Arial" w:eastAsia="Arial" w:hAnsi="Arial"/>
                <w:sz w:val="13"/>
                <w:szCs w:val="13"/>
                <w:color w:val="auto"/>
              </w:rPr>
              <w:t>259,111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17"/>
              <w:spacing w:after="0"/>
              <w:rPr>
                <w:sz w:val="20"/>
                <w:szCs w:val="20"/>
                <w:color w:val="auto"/>
              </w:rPr>
            </w:pPr>
            <w:r>
              <w:rPr>
                <w:rFonts w:ascii="Arial" w:cs="Arial" w:eastAsia="Arial" w:hAnsi="Arial"/>
                <w:sz w:val="13"/>
                <w:szCs w:val="13"/>
                <w:color w:val="auto"/>
              </w:rPr>
              <w:t>142,400</w:t>
            </w: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Acquisition of businesses, net of cash acquired</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(156,291,615)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r>
      <w:tr>
        <w:trPr>
          <w:trHeight w:val="171"/>
        </w:trPr>
        <w:tc>
          <w:tcPr>
            <w:tcW w:w="7400" w:type="dxa"/>
            <w:vAlign w:val="bottom"/>
          </w:tcPr>
          <w:p>
            <w:pPr>
              <w:ind w:left="240"/>
              <w:spacing w:after="0"/>
              <w:rPr>
                <w:sz w:val="20"/>
                <w:szCs w:val="20"/>
                <w:color w:val="auto"/>
              </w:rPr>
            </w:pPr>
            <w:r>
              <w:rPr>
                <w:rFonts w:ascii="Arial" w:cs="Arial" w:eastAsia="Arial" w:hAnsi="Arial"/>
                <w:sz w:val="13"/>
                <w:szCs w:val="13"/>
                <w:color w:val="auto"/>
              </w:rPr>
              <w:t>Loans to technology investment partners</w:t>
            </w: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(14,199,157)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Increase in other assets</w:t>
            </w:r>
          </w:p>
        </w:tc>
        <w:tc>
          <w:tcPr>
            <w:tcW w:w="2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(925,381)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(5,614,129)</w:t>
            </w:r>
          </w:p>
        </w:tc>
      </w:tr>
      <w:tr>
        <w:trPr>
          <w:trHeight w:val="164"/>
        </w:trPr>
        <w:tc>
          <w:tcPr>
            <w:tcW w:w="740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for investing activities</w:t>
            </w: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(217,284,919)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(146,883,017)</w:t>
            </w:r>
          </w:p>
        </w:tc>
      </w:tr>
      <w:tr>
        <w:trPr>
          <w:trHeight w:val="187"/>
        </w:trPr>
        <w:tc>
          <w:tcPr>
            <w:tcW w:w="7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71"/>
        </w:trPr>
        <w:tc>
          <w:tcPr>
            <w:tcW w:w="7400" w:type="dxa"/>
            <w:vAlign w:val="bottom"/>
          </w:tcPr>
          <w:p>
            <w:pPr>
              <w:ind w:left="20"/>
              <w:spacing w:after="0"/>
              <w:rPr>
                <w:sz w:val="20"/>
                <w:szCs w:val="20"/>
                <w:color w:val="auto"/>
              </w:rPr>
            </w:pPr>
            <w:r>
              <w:rPr>
                <w:rFonts w:ascii="Arial" w:cs="Arial" w:eastAsia="Arial" w:hAnsi="Arial"/>
                <w:sz w:val="13"/>
                <w:szCs w:val="13"/>
                <w:color w:val="auto"/>
              </w:rPr>
              <w:t>CASH FLOWS USED FOR FINANCING ACTIVITIES: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common stock from stock plan transactions</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13,338,052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24,024,353</w:t>
            </w:r>
          </w:p>
        </w:tc>
      </w:tr>
      <w:tr>
        <w:trPr>
          <w:trHeight w:val="171"/>
        </w:trPr>
        <w:tc>
          <w:tcPr>
            <w:tcW w:w="7400" w:type="dxa"/>
            <w:vAlign w:val="bottom"/>
          </w:tcPr>
          <w:p>
            <w:pPr>
              <w:ind w:left="240"/>
              <w:spacing w:after="0"/>
              <w:rPr>
                <w:sz w:val="20"/>
                <w:szCs w:val="20"/>
                <w:color w:val="auto"/>
              </w:rPr>
            </w:pPr>
            <w:r>
              <w:rPr>
                <w:rFonts w:ascii="Arial" w:cs="Arial" w:eastAsia="Arial" w:hAnsi="Arial"/>
                <w:sz w:val="13"/>
                <w:szCs w:val="13"/>
                <w:color w:val="auto"/>
              </w:rPr>
              <w:t>Cash dividends paid</w:t>
            </w: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(80,586,484)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(83,145,216)</w:t>
            </w:r>
          </w:p>
        </w:tc>
      </w:tr>
      <w:tr>
        <w:trPr>
          <w:trHeight w:val="180"/>
        </w:trPr>
        <w:tc>
          <w:tcPr>
            <w:tcW w:w="7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2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(229,023,565)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(184,609,148)</w:t>
            </w:r>
          </w:p>
        </w:tc>
      </w:tr>
      <w:tr>
        <w:trPr>
          <w:trHeight w:val="164"/>
        </w:trPr>
        <w:tc>
          <w:tcPr>
            <w:tcW w:w="740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for financing activities</w:t>
            </w: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(296,271,997)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(243,730,011)</w:t>
            </w:r>
          </w:p>
        </w:tc>
      </w:tr>
      <w:tr>
        <w:trPr>
          <w:trHeight w:val="187"/>
        </w:trPr>
        <w:tc>
          <w:tcPr>
            <w:tcW w:w="7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71"/>
        </w:trPr>
        <w:tc>
          <w:tcPr>
            <w:tcW w:w="7400" w:type="dxa"/>
            <w:vAlign w:val="bottom"/>
          </w:tcPr>
          <w:p>
            <w:pPr>
              <w:ind w:left="20"/>
              <w:spacing w:after="0"/>
              <w:rPr>
                <w:sz w:val="20"/>
                <w:szCs w:val="20"/>
                <w:color w:val="auto"/>
              </w:rPr>
            </w:pPr>
            <w:r>
              <w:rPr>
                <w:rFonts w:ascii="Arial" w:cs="Arial" w:eastAsia="Arial" w:hAnsi="Arial"/>
                <w:sz w:val="13"/>
                <w:szCs w:val="13"/>
                <w:color w:val="auto"/>
              </w:rPr>
              <w:t>NET DECREASE IN CASH, CASH EQUIVALENTS, and RESTRICTED CASH</w:t>
            </w: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(51,929,343)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(46,795,276)</w:t>
            </w:r>
          </w:p>
        </w:tc>
      </w:tr>
      <w:tr>
        <w:trPr>
          <w:trHeight w:val="207"/>
        </w:trPr>
        <w:tc>
          <w:tcPr>
            <w:tcW w:w="7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r>
      <w:tr>
        <w:trPr>
          <w:trHeight w:val="164"/>
        </w:trPr>
        <w:tc>
          <w:tcPr>
            <w:tcW w:w="740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CASH, CASH EQUIVALENTS, and RESTRICTED CASH, beginning of period</w:t>
            </w: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233,318,766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226,435,019</w:t>
            </w:r>
          </w:p>
        </w:tc>
      </w:tr>
      <w:tr>
        <w:trPr>
          <w:trHeight w:val="187"/>
        </w:trPr>
        <w:tc>
          <w:tcPr>
            <w:tcW w:w="7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71"/>
        </w:trPr>
        <w:tc>
          <w:tcPr>
            <w:tcW w:w="74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181,389,423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179,639,743</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74"/>
        </w:trPr>
        <w:tc>
          <w:tcPr>
            <w:tcW w:w="7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1"/>
        </w:trPr>
        <w:tc>
          <w:tcPr>
            <w:tcW w:w="7400" w:type="dxa"/>
            <w:vAlign w:val="bottom"/>
          </w:tcPr>
          <w:p>
            <w:pPr>
              <w:ind w:left="20"/>
              <w:spacing w:after="0"/>
              <w:rPr>
                <w:sz w:val="20"/>
                <w:szCs w:val="20"/>
                <w:color w:val="auto"/>
              </w:rPr>
            </w:pPr>
            <w:r>
              <w:rPr>
                <w:rFonts w:ascii="Arial" w:cs="Arial" w:eastAsia="Arial" w:hAnsi="Arial"/>
                <w:sz w:val="13"/>
                <w:szCs w:val="13"/>
                <w:color w:val="auto"/>
              </w:rPr>
              <w:t>Reconciliation of cash, cash equivalents and restricted cash to the Unaudited Condensed Consolidated Balance Sheets: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0"/>
        </w:trPr>
        <w:tc>
          <w:tcPr>
            <w:tcW w:w="7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580" w:type="dxa"/>
            <w:vAlign w:val="bottom"/>
            <w:gridSpan w:val="4"/>
            <w:shd w:val="clear" w:color="auto" w:fill="CCEEFF"/>
          </w:tcPr>
          <w:p>
            <w:pPr>
              <w:jc w:val="right"/>
              <w:ind w:right="1437"/>
              <w:spacing w:after="0"/>
              <w:rPr>
                <w:sz w:val="20"/>
                <w:szCs w:val="20"/>
                <w:color w:val="auto"/>
              </w:rPr>
            </w:pPr>
            <w:r>
              <w:rPr>
                <w:rFonts w:ascii="Arial" w:cs="Arial" w:eastAsia="Arial" w:hAnsi="Arial"/>
                <w:sz w:val="13"/>
                <w:szCs w:val="13"/>
                <w:b w:val="1"/>
                <w:bCs w:val="1"/>
                <w:color w:val="auto"/>
              </w:rPr>
              <w:t>Balance as of</w:t>
            </w:r>
          </w:p>
        </w:tc>
      </w:tr>
      <w:tr>
        <w:trPr>
          <w:trHeight w:val="174"/>
        </w:trPr>
        <w:tc>
          <w:tcPr>
            <w:tcW w:w="7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2025</w:t>
            </w:r>
          </w:p>
        </w:tc>
        <w:tc>
          <w:tcPr>
            <w:tcW w:w="220" w:type="dxa"/>
            <w:vAlign w:val="bottom"/>
          </w:tcPr>
          <w:p>
            <w:pPr>
              <w:spacing w:after="0"/>
              <w:rPr>
                <w:sz w:val="15"/>
                <w:szCs w:val="15"/>
                <w:color w:val="auto"/>
              </w:rPr>
            </w:pPr>
          </w:p>
        </w:tc>
        <w:tc>
          <w:tcPr>
            <w:tcW w:w="1640" w:type="dxa"/>
            <w:vAlign w:val="bottom"/>
          </w:tcPr>
          <w:p>
            <w:pPr>
              <w:jc w:val="right"/>
              <w:ind w:right="317"/>
              <w:spacing w:after="0"/>
              <w:rPr>
                <w:sz w:val="20"/>
                <w:szCs w:val="20"/>
                <w:color w:val="auto"/>
              </w:rPr>
            </w:pPr>
            <w:r>
              <w:rPr>
                <w:rFonts w:ascii="Arial" w:cs="Arial" w:eastAsia="Arial" w:hAnsi="Arial"/>
                <w:sz w:val="13"/>
                <w:szCs w:val="13"/>
                <w:b w:val="1"/>
                <w:bCs w:val="1"/>
                <w:color w:val="auto"/>
              </w:rPr>
              <w:t>December 31, 2024</w:t>
            </w:r>
          </w:p>
        </w:tc>
      </w:tr>
      <w:tr>
        <w:trPr>
          <w:trHeight w:val="177"/>
        </w:trPr>
        <w:tc>
          <w:tcPr>
            <w:tcW w:w="7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178,589,422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233,318,766</w:t>
            </w:r>
          </w:p>
        </w:tc>
      </w:tr>
      <w:tr>
        <w:trPr>
          <w:trHeight w:val="171"/>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included in Prepaid expenses and other</w:t>
            </w: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2,800,001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r>
      <w:tr>
        <w:trPr>
          <w:trHeight w:val="194"/>
        </w:trPr>
        <w:tc>
          <w:tcPr>
            <w:tcW w:w="7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181,389,423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233,318,766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7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3"/>
        </w:trPr>
        <w:tc>
          <w:tcPr>
            <w:tcW w:w="7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340" w:type="dxa"/>
            <w:vAlign w:val="bottom"/>
            <w:gridSpan w:val="4"/>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Nine months ended September 30</w:t>
            </w:r>
          </w:p>
        </w:tc>
      </w:tr>
      <w:tr>
        <w:trPr>
          <w:trHeight w:val="202"/>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SUPPLEMENTAL CASH FLOW DATA</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2024</w:t>
            </w:r>
          </w:p>
        </w:tc>
      </w:tr>
      <w:tr>
        <w:trPr>
          <w:trHeight w:val="183"/>
        </w:trPr>
        <w:tc>
          <w:tcPr>
            <w:tcW w:w="7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investing and financing activities:</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3"/>
        </w:trPr>
        <w:tc>
          <w:tcPr>
            <w:tcW w:w="7480" w:type="dxa"/>
            <w:vAlign w:val="bottom"/>
          </w:tcPr>
          <w:p>
            <w:pPr>
              <w:ind w:left="240"/>
              <w:spacing w:after="0"/>
              <w:rPr>
                <w:sz w:val="20"/>
                <w:szCs w:val="20"/>
                <w:color w:val="auto"/>
              </w:rPr>
            </w:pPr>
            <w:r>
              <w:rPr>
                <w:rFonts w:ascii="Arial" w:cs="Arial" w:eastAsia="Arial" w:hAnsi="Arial"/>
                <w:sz w:val="14"/>
                <w:szCs w:val="14"/>
                <w:color w:val="auto"/>
              </w:rPr>
              <w:t>Change in property and equipment in accounts payable and accrued expenses and other current liabilities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12,433,422</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(4,115,011)</w:t>
            </w:r>
          </w:p>
        </w:tc>
      </w:tr>
      <w:tr>
        <w:trPr>
          <w:trHeight w:val="21"/>
        </w:trPr>
        <w:tc>
          <w:tcPr>
            <w:tcW w:w="7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Gentex Corporation and Subsidiaries ("Gentex" or the "Company") included herein have been prepared pursuant to the rules and regulations of the Securities and Exchange Commission as defined in the Financial Accounting Standards Board ("FASB") Accounting Standards Codification ("ASC") 270 for interim financial information, and in accordance with financial standards generally accepted in the United States of America ("GAAP"). Certain information and footnote disclosures normally included in financial statements prepared in accordance with GAAP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2024 annual report on Form 10-K. In the opinion of management, the accompanying unaudited condensed consolidated financial statements contain all adjustments, consisting of only a normal and recurring nature, necessary to present fairly the financial position of the Company as of September 30, 2025, and the results of operations and cash flows for the interim periods presented.</w:t>
      </w:r>
    </w:p>
    <w:p>
      <w:pPr>
        <w:spacing w:after="0" w:line="20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of New Accounting Standards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 is effective on a prospective basis for the Company in the fiscal year ending December 31, 2025 and will result in additional disclosures being included in the consolidated financial statements for the Company's Form 10-K for the year ended December 31, 2025.</w:t>
      </w:r>
    </w:p>
    <w:p>
      <w:pPr>
        <w:spacing w:after="0" w:line="20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March 2024, the Securities and Exchange Commission ("SEC") issued Final Rule No. 33-11275, "The Enhancement and Standardization of Climate-Related Disclosures for Investors." If such rule becomes effective, the rule will require disclosure of climate-related information outside of the audited financial statements and disclosure in the footnotes to such financial statements addressing specified financial statement effects of severe weather events and other natural conditions above certain financial thresholds, certain carbon offsets and renewable energy credits or certificates, if material. Such disclosure requirements were scheduled to begin phasing in for fiscal years beginning on or after January 1, 2025. On April 4, 2024, the SEC exercised its discretion to voluntarily stay the effective date of the final rules pending completion of certain judicial review. The SEC has signaled that it may not move forward with these rules. The Company continues to evaluate the impact of adopting these rules and to monitor the status of the related legal challenges and position of the SEC with respect to the foregoing.</w:t>
      </w:r>
    </w:p>
    <w:p>
      <w:pPr>
        <w:spacing w:after="0" w:line="20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November 2024, the FASB issued ASU No. 2024-03, "Disaggregation of Income Statement Expenses (Subtopic 220-40)." The ASU requires public business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and interim periods beginning after December 15, 2027. Companies have the option to apply the guidance either on a retrospective or prospective basis, and early adoption is permitted. The Company is currently evaluating the impact of adopting this ASU on the consolidated financial statements and related disclosures. In January 2025, the FASB issued ASU No. 2025-01, "Income Statement - Reporting Comprehensive Income - Expense Disaggregation Disclosures (Subtopic 220-40): Clarifying the Effective Date." This ASU amends the effective date of ASU 2024-03 to clarify that all public business entities are required to adopt the guidance in annual reporting periods beginning after December 15, 2026, and interim periods within annual reporting periods beginning after December 15,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 xml:space="preserve">In May 2025, the FASB issued ASU 2025-03, </w:t>
      </w:r>
      <w:r>
        <w:rPr>
          <w:rFonts w:ascii="Arial" w:cs="Arial" w:eastAsia="Arial" w:hAnsi="Arial"/>
          <w:sz w:val="18"/>
          <w:szCs w:val="18"/>
          <w:i w:val="1"/>
          <w:iCs w:val="1"/>
          <w:color w:val="auto"/>
        </w:rPr>
        <w:t>Business Combinations (Topic 805) and Consolidation (Topic 810): Determining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Acquirer in the Acquisition of a Variable Interest Entity ("VIE")</w:t>
      </w:r>
      <w:r>
        <w:rPr>
          <w:rFonts w:ascii="Arial" w:cs="Arial" w:eastAsia="Arial" w:hAnsi="Arial"/>
          <w:sz w:val="18"/>
          <w:szCs w:val="18"/>
          <w:color w:val="auto"/>
        </w:rPr>
        <w:t>, which provides clarifying guidance on determining the</w:t>
      </w:r>
    </w:p>
    <w:p>
      <w:pPr>
        <w:spacing w:after="0" w:line="1" w:lineRule="exact"/>
        <w:rPr>
          <w:sz w:val="20"/>
          <w:szCs w:val="20"/>
          <w:color w:val="auto"/>
        </w:rPr>
      </w:pPr>
    </w:p>
    <w:p>
      <w:pPr>
        <w:jc w:val="both"/>
        <w:ind w:left="660"/>
        <w:spacing w:after="0" w:line="228" w:lineRule="auto"/>
        <w:rPr>
          <w:sz w:val="20"/>
          <w:szCs w:val="20"/>
          <w:color w:val="auto"/>
        </w:rPr>
      </w:pPr>
      <w:r>
        <w:rPr>
          <w:rFonts w:ascii="Arial" w:cs="Arial" w:eastAsia="Arial" w:hAnsi="Arial"/>
          <w:sz w:val="18"/>
          <w:szCs w:val="18"/>
          <w:color w:val="auto"/>
        </w:rPr>
        <w:t>accounting acquirer in certain transactions involving VIE's. The update aims to improve consistency and comparability in financial reporting. The guidance will be effective for annual periods beginning after December 15, 2026, including interim periods within those annual periods. Early adoption is permitted. Upon adoption, the guidance will be applied prospectively. The Company is currently evaluating the provisions of the guidance and the impact on its future consolidated financial statements.</w:t>
      </w:r>
    </w:p>
    <w:p>
      <w:pPr>
        <w:spacing w:after="0" w:line="208" w:lineRule="exact"/>
        <w:rPr>
          <w:sz w:val="20"/>
          <w:szCs w:val="20"/>
          <w:color w:val="auto"/>
        </w:rPr>
      </w:pPr>
    </w:p>
    <w:p>
      <w:pPr>
        <w:jc w:val="both"/>
        <w:ind w:left="660"/>
        <w:spacing w:after="0" w:line="228"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 - Credit Losses (Topic 326): Measurement of Credit Losses for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 Receivable and Contract Assets</w:t>
      </w:r>
      <w:r>
        <w:rPr>
          <w:rFonts w:ascii="Arial" w:cs="Arial" w:eastAsia="Arial" w:hAnsi="Arial"/>
          <w:sz w:val="18"/>
          <w:szCs w:val="18"/>
          <w:color w:val="auto"/>
        </w:rPr>
        <w:t>, which introduces a practical expedient for the application of the current expected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 model to current accounts receivable and contract assets in which all entities can assume that current conditions as of the balance sheet date do not change for the remaining life of the assets. This ASU is effective for annual periods beginning after</w:t>
      </w:r>
    </w:p>
    <w:p>
      <w:pPr>
        <w:spacing w:after="0" w:line="1"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December 15, 2025, and interim periods within those annual reporting periods. Early adoption is permitted. The Company is currently evaluating the impact that the adoption of this standard will have on its consolidated financial statements and disclosures.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 - Goodwill and Other - Internal-Use Software (Subtopic 350-40):</w:t>
      </w:r>
    </w:p>
    <w:p>
      <w:pPr>
        <w:ind w:left="660"/>
        <w:spacing w:after="0" w:line="234" w:lineRule="auto"/>
        <w:rPr>
          <w:sz w:val="20"/>
          <w:szCs w:val="20"/>
          <w:color w:val="auto"/>
        </w:rPr>
      </w:pPr>
      <w:r>
        <w:rPr>
          <w:rFonts w:ascii="Arial" w:cs="Arial" w:eastAsia="Arial" w:hAnsi="Arial"/>
          <w:sz w:val="18"/>
          <w:szCs w:val="18"/>
          <w:i w:val="1"/>
          <w:iCs w:val="1"/>
          <w:color w:val="auto"/>
        </w:rPr>
        <w:t>Targeted Improvements to the Accounting for Internal-Use Software</w:t>
      </w:r>
      <w:r>
        <w:rPr>
          <w:rFonts w:ascii="Arial" w:cs="Arial" w:eastAsia="Arial" w:hAnsi="Arial"/>
          <w:sz w:val="18"/>
          <w:szCs w:val="18"/>
          <w:color w:val="auto"/>
        </w:rPr>
        <w:t>. This ASU updates the cost capitalization threshold for internal-</w:t>
      </w:r>
    </w:p>
    <w:p>
      <w:pPr>
        <w:spacing w:after="0" w:line="1" w:lineRule="exact"/>
        <w:rPr>
          <w:sz w:val="20"/>
          <w:szCs w:val="20"/>
          <w:color w:val="auto"/>
        </w:rPr>
      </w:pPr>
    </w:p>
    <w:p>
      <w:pPr>
        <w:jc w:val="both"/>
        <w:ind w:left="660"/>
        <w:spacing w:after="0" w:line="224" w:lineRule="auto"/>
        <w:rPr>
          <w:sz w:val="20"/>
          <w:szCs w:val="20"/>
          <w:color w:val="auto"/>
        </w:rPr>
      </w:pPr>
      <w:r>
        <w:rPr>
          <w:rFonts w:ascii="Arial" w:cs="Arial" w:eastAsia="Arial" w:hAnsi="Arial"/>
          <w:sz w:val="18"/>
          <w:szCs w:val="18"/>
          <w:color w:val="auto"/>
        </w:rPr>
        <w:t>use software development costs by removing all references to software project development stages and providing new guidance on how to evaluate whether the probable-to-complete recognition threshold has been met. ASU 2025-06, which can be applied prospectively, retrospectively, or with a modified transition approach, is effective for annual periods beginning after December 15,</w:t>
      </w:r>
    </w:p>
    <w:p>
      <w:pPr>
        <w:spacing w:after="0" w:line="1" w:lineRule="exact"/>
        <w:rPr>
          <w:sz w:val="20"/>
          <w:szCs w:val="20"/>
          <w:color w:val="auto"/>
        </w:rPr>
      </w:pPr>
    </w:p>
    <w:p>
      <w:pPr>
        <w:jc w:val="both"/>
        <w:ind w:left="660" w:right="20"/>
        <w:spacing w:after="0" w:line="237" w:lineRule="auto"/>
        <w:rPr>
          <w:sz w:val="20"/>
          <w:szCs w:val="20"/>
          <w:color w:val="auto"/>
        </w:rPr>
      </w:pPr>
      <w:r>
        <w:rPr>
          <w:rFonts w:ascii="Arial" w:cs="Arial" w:eastAsia="Arial" w:hAnsi="Arial"/>
          <w:sz w:val="18"/>
          <w:szCs w:val="18"/>
          <w:color w:val="auto"/>
        </w:rPr>
        <w:t>2027, and interim periods within those annual reporting periods. Early adoption is permitted. The Company is currently evaluating the impact that the adoption of this standard will have on its consolidated financial statements and disclosures.</w:t>
      </w:r>
    </w:p>
    <w:p>
      <w:pPr>
        <w:spacing w:after="0" w:line="208"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carrying value of Goodwill is as follows:</w:t>
      </w:r>
    </w:p>
    <w:p>
      <w:pPr>
        <w:spacing w:after="0" w:line="230" w:lineRule="exact"/>
        <w:rPr>
          <w:sz w:val="20"/>
          <w:szCs w:val="20"/>
          <w:color w:val="auto"/>
        </w:rPr>
      </w:pPr>
    </w:p>
    <w:tbl>
      <w:tblPr>
        <w:tblLayout w:type="fixed"/>
        <w:tblInd w:w="132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231"/>
        </w:trPr>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balance as of January 1, 2025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340,668,927</w:t>
            </w:r>
          </w:p>
        </w:tc>
        <w:tc>
          <w:tcPr>
            <w:tcW w:w="0" w:type="dxa"/>
            <w:vAlign w:val="bottom"/>
          </w:tcPr>
          <w:p>
            <w:pPr>
              <w:spacing w:after="0"/>
              <w:rPr>
                <w:sz w:val="1"/>
                <w:szCs w:val="1"/>
                <w:color w:val="auto"/>
              </w:rPr>
            </w:pPr>
          </w:p>
        </w:tc>
      </w:tr>
      <w:tr>
        <w:trPr>
          <w:trHeight w:val="189"/>
        </w:trPr>
        <w:tc>
          <w:tcPr>
            <w:tcW w:w="7280" w:type="dxa"/>
            <w:vAlign w:val="bottom"/>
            <w:gridSpan w:val="3"/>
          </w:tcPr>
          <w:p>
            <w:pPr>
              <w:spacing w:after="0" w:line="189" w:lineRule="exact"/>
              <w:rPr>
                <w:sz w:val="20"/>
                <w:szCs w:val="20"/>
                <w:color w:val="auto"/>
              </w:rPr>
            </w:pPr>
            <w:r>
              <w:rPr>
                <w:rFonts w:ascii="Arial" w:cs="Arial" w:eastAsia="Arial" w:hAnsi="Arial"/>
                <w:sz w:val="18"/>
                <w:szCs w:val="18"/>
                <w:color w:val="auto"/>
              </w:rPr>
              <w:t>Acquisitions (including measurement period adjustments) (see Note 16)</w:t>
            </w:r>
          </w:p>
        </w:tc>
        <w:tc>
          <w:tcPr>
            <w:tcW w:w="500" w:type="dxa"/>
            <w:vAlign w:val="bottom"/>
          </w:tcPr>
          <w:p>
            <w:pPr>
              <w:spacing w:after="0"/>
              <w:rPr>
                <w:sz w:val="16"/>
                <w:szCs w:val="16"/>
                <w:color w:val="auto"/>
              </w:rPr>
            </w:pPr>
          </w:p>
        </w:tc>
        <w:tc>
          <w:tcPr>
            <w:tcW w:w="15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16,245,030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as of September 30, 2025</w:t>
            </w: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356,913,957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Gross carrying value at September 30, 2025</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gridSpan w:val="3"/>
            <w:vMerge w:val="continue"/>
          </w:tcPr>
          <w:p>
            <w:pPr>
              <w:spacing w:after="0"/>
              <w:rPr>
                <w:sz w:val="17"/>
                <w:szCs w:val="17"/>
                <w:color w:val="auto"/>
              </w:rPr>
            </w:pPr>
          </w:p>
        </w:tc>
        <w:tc>
          <w:tcPr>
            <w:tcW w:w="5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360,578,661</w:t>
            </w:r>
          </w:p>
        </w:tc>
        <w:tc>
          <w:tcPr>
            <w:tcW w:w="0" w:type="dxa"/>
            <w:vAlign w:val="bottom"/>
          </w:tcPr>
          <w:p>
            <w:pPr>
              <w:spacing w:after="0"/>
              <w:rPr>
                <w:sz w:val="1"/>
                <w:szCs w:val="1"/>
                <w:color w:val="auto"/>
              </w:rPr>
            </w:pPr>
          </w:p>
        </w:tc>
      </w:tr>
      <w:tr>
        <w:trPr>
          <w:trHeight w:val="230"/>
        </w:trPr>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impairment charges</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(3,664,704)</w:t>
            </w:r>
          </w:p>
        </w:tc>
        <w:tc>
          <w:tcPr>
            <w:tcW w:w="0" w:type="dxa"/>
            <w:vAlign w:val="bottom"/>
          </w:tcPr>
          <w:p>
            <w:pPr>
              <w:spacing w:after="0"/>
              <w:rPr>
                <w:sz w:val="1"/>
                <w:szCs w:val="1"/>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Net carrying value at September 30, 2025</w:t>
            </w: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356,913,957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In addition to annual impairment testing, which is performed as of the first day of the Company's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that might negatively impact the key assumptions were observed in the third quarter of 2025 and, as such, nothing indicated the need for interim impairment testing.</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acquired In-Process Research &amp; Development ("In-Process R &amp; D") as part of the acquisitions of Vaporsens,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("Vaporsens") and Argil Inc. ("Argil"), each of which has been previously disclosed.</w:t>
      </w:r>
    </w:p>
    <w:p>
      <w:pPr>
        <w:spacing w:after="0" w:line="200" w:lineRule="exact"/>
        <w:rPr>
          <w:sz w:val="20"/>
          <w:szCs w:val="20"/>
          <w:color w:val="auto"/>
        </w:rPr>
      </w:pPr>
    </w:p>
    <w:p>
      <w:pPr>
        <w:spacing w:after="0" w:line="38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280" w:type="dxa"/>
            <w:vAlign w:val="bottom"/>
          </w:tcPr>
          <w:p>
            <w:pPr>
              <w:spacing w:after="0"/>
              <w:rPr>
                <w:sz w:val="14"/>
                <w:szCs w:val="14"/>
                <w:color w:val="auto"/>
              </w:rPr>
            </w:pPr>
          </w:p>
        </w:tc>
        <w:tc>
          <w:tcPr>
            <w:tcW w:w="12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400" w:type="dxa"/>
            <w:vAlign w:val="bottom"/>
          </w:tcPr>
          <w:p>
            <w:pPr>
              <w:jc w:val="right"/>
              <w:ind w:right="292"/>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Net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39,569,675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(28,567,996)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11,001,679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175"/>
        </w:trPr>
        <w:tc>
          <w:tcPr>
            <w:tcW w:w="4040" w:type="dxa"/>
            <w:vAlign w:val="bottom"/>
          </w:tcPr>
          <w:p>
            <w:pPr>
              <w:ind w:left="240"/>
              <w:spacing w:after="0" w:line="176" w:lineRule="exact"/>
              <w:rPr>
                <w:sz w:val="20"/>
                <w:szCs w:val="20"/>
                <w:color w:val="auto"/>
              </w:rPr>
            </w:pPr>
            <w:r>
              <w:rPr>
                <w:rFonts w:ascii="Arial" w:cs="Arial" w:eastAsia="Arial" w:hAnsi="Arial"/>
                <w:sz w:val="18"/>
                <w:szCs w:val="18"/>
                <w:color w:val="auto"/>
              </w:rPr>
              <w:t>BioCenturion LLC ("BioCenturion") Trade</w:t>
            </w:r>
          </w:p>
        </w:tc>
        <w:tc>
          <w:tcPr>
            <w:tcW w:w="2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640,000</w:t>
            </w:r>
          </w:p>
        </w:tc>
        <w:tc>
          <w:tcPr>
            <w:tcW w:w="2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(58,667)</w:t>
            </w:r>
          </w:p>
        </w:tc>
        <w:tc>
          <w:tcPr>
            <w:tcW w:w="2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581,333</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Names and Trademarks</w:t>
            </w:r>
          </w:p>
        </w:tc>
        <w:tc>
          <w:tcPr>
            <w:tcW w:w="2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BioCenturion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(175,694)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2,124,306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(1,916,667)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10,083,333</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(138,958)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731,042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BioConnect Trade Names and Trademarks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873,299</w:t>
            </w:r>
          </w:p>
        </w:tc>
        <w:tc>
          <w:tcPr>
            <w:tcW w:w="280" w:type="dxa"/>
            <w:vAlign w:val="bottom"/>
          </w:tcPr>
          <w:p>
            <w:pPr>
              <w:spacing w:after="0"/>
              <w:rPr>
                <w:sz w:val="19"/>
                <w:szCs w:val="19"/>
                <w:color w:val="auto"/>
              </w:rPr>
            </w:pPr>
          </w:p>
        </w:tc>
        <w:tc>
          <w:tcPr>
            <w:tcW w:w="1400" w:type="dxa"/>
            <w:vAlign w:val="bottom"/>
          </w:tcPr>
          <w:p>
            <w:pPr>
              <w:ind w:left="1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873,299</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BioConnect Developed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6,549,741</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6,549,741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BioConnect Customer Relationships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1,746,598</w:t>
            </w:r>
          </w:p>
        </w:tc>
        <w:tc>
          <w:tcPr>
            <w:tcW w:w="280" w:type="dxa"/>
            <w:vAlign w:val="bottom"/>
          </w:tcPr>
          <w:p>
            <w:pPr>
              <w:spacing w:after="0"/>
              <w:rPr>
                <w:sz w:val="19"/>
                <w:szCs w:val="19"/>
                <w:color w:val="auto"/>
              </w:rPr>
            </w:pPr>
          </w:p>
        </w:tc>
        <w:tc>
          <w:tcPr>
            <w:tcW w:w="1400" w:type="dxa"/>
            <w:vAlign w:val="bottom"/>
          </w:tcPr>
          <w:p>
            <w:pPr>
              <w:ind w:left="1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1,746,598</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Vaporsens In-Process R&amp;D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Argil In-Process R&amp;D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tcPr>
          <w:p>
            <w:pPr>
              <w:spacing w:after="0"/>
              <w:rPr>
                <w:sz w:val="19"/>
                <w:szCs w:val="19"/>
                <w:color w:val="auto"/>
              </w:rPr>
            </w:pPr>
          </w:p>
        </w:tc>
        <w:tc>
          <w:tcPr>
            <w:tcW w:w="1400" w:type="dxa"/>
            <w:vAlign w:val="bottom"/>
          </w:tcPr>
          <w:p>
            <w:pPr>
              <w:ind w:left="1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6,278,132</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Air-Craftglass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1,413,542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Guardian Trade Names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(135,417)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1,164,583</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Technology</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(708,333)</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6,091,667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417,665,548</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(226,227,972)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191,437,576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457,235,223</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(254,795,968)</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202,439,255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2024:</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260" w:type="dxa"/>
            <w:vAlign w:val="bottom"/>
          </w:tcPr>
          <w:p>
            <w:pPr>
              <w:spacing w:after="0"/>
              <w:rPr>
                <w:sz w:val="14"/>
                <w:szCs w:val="14"/>
                <w:color w:val="auto"/>
              </w:rPr>
            </w:pPr>
          </w:p>
        </w:tc>
        <w:tc>
          <w:tcPr>
            <w:tcW w:w="11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360" w:type="dxa"/>
            <w:vAlign w:val="bottom"/>
          </w:tcPr>
          <w:p>
            <w:pPr>
              <w:jc w:val="right"/>
              <w:ind w:right="252"/>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Net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39,266,409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(28,137,761)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11,128,648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10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BioCenturion Trade Names and Trademarks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640,000</w:t>
            </w:r>
          </w:p>
        </w:tc>
        <w:tc>
          <w:tcPr>
            <w:tcW w:w="1100" w:type="dxa"/>
            <w:vAlign w:val="bottom"/>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BioCenturion Technology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(1,166,667)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10,833,333</w:t>
            </w:r>
          </w:p>
        </w:tc>
        <w:tc>
          <w:tcPr>
            <w:tcW w:w="1100" w:type="dxa"/>
            <w:vAlign w:val="bottom"/>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785,417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Air-Craftglass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1,245,833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(283,333)</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6,516,667</w:t>
            </w: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408,495,910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(213,338,750)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195,157,160</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447,762,319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(241,476,511)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206,285,808</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of patents and intangible assets was approximately $4.6 million and $13.9 million during the three and nine</w:t>
      </w:r>
    </w:p>
    <w:p>
      <w:pPr>
        <w:spacing w:after="0" w:line="5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months ended September 30, 2025, respectively, compared to approximately $4.5 million and $13.4 million for the three and nine months ended September 30, 2024, respectively.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Excluding the impact of any future acquisitions, the Company estimates amortization expense for the remainder of the year ending</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2025 to be approximately $1.3 million, and for each of the years ending December 31, 2026, December 31, 2027,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2028, and December 31, 2029 to be approximately $4 million.</w:t>
      </w:r>
    </w:p>
    <w:p>
      <w:pPr>
        <w:spacing w:after="0" w:line="200" w:lineRule="exact"/>
        <w:rPr>
          <w:sz w:val="20"/>
          <w:szCs w:val="20"/>
          <w:color w:val="auto"/>
        </w:rPr>
      </w:pPr>
    </w:p>
    <w:p>
      <w:pPr>
        <w:spacing w:after="0" w:line="277"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Available for sale securities</w:t>
      </w:r>
    </w:p>
    <w:p>
      <w:pPr>
        <w:spacing w:after="0" w:line="14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1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31, 2024, the Company held a total of 6,463,808 shares of VOXX International Corporation ("VOXX") Class A Common Stock. The VOXX shares held by the Company as of December 31, 2024 were publicly traded, had a readily determinable fair market value, and were considered Level 1 assets. The Company accounted for the VOXX investment in accordance with ASC 323 –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xml:space="preserve">, with the election to use the Fair Value Option under ASC 825 - </w:t>
      </w:r>
      <w:r>
        <w:rPr>
          <w:rFonts w:ascii="Arial" w:cs="Arial" w:eastAsia="Arial" w:hAnsi="Arial"/>
          <w:sz w:val="18"/>
          <w:szCs w:val="18"/>
          <w:i w:val="1"/>
          <w:iCs w:val="1"/>
          <w:color w:val="auto"/>
        </w:rPr>
        <w:t>Fair Value</w:t>
      </w:r>
      <w:r>
        <w:rPr>
          <w:rFonts w:ascii="Arial" w:cs="Arial" w:eastAsia="Arial" w:hAnsi="Arial"/>
          <w:sz w:val="18"/>
          <w:szCs w:val="18"/>
          <w:color w:val="auto"/>
        </w:rPr>
        <w:t>. As a result of this election, changes in fair value of the shares were recorded in Investment income, net, in the Unaudited Condensed Consolidated Statements of Income prior to April 1, 2025. The Company recorded a gain of $0.8 million during the nine months ended September 30, 2025 within Investment income, net, in the accompanying Unaudited Condensed Consolidated Statements of Income related to its VOXX investment. During the three and nine months ended September 30, 2024, the Company recorded a gain of $14.9 million and a loss of $9.0 million, respectively, related to this investment.</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April 1, 2025, the Company completed its previously announced merger of VOXX pursuant to that certain Agreement and Plan of Merger dated as of December 17, 2024 (the "Merger Agreement"), acquiring all of the issued and outstanding shares of VOXX common stock not already owned by the Company for a purchase price of $7.50 per share. The Company's investment in VOXX has been included in the purchase price of the entity pursuant to step-acquisition accounting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(see </w:t>
      </w:r>
      <w:r>
        <w:rPr>
          <w:rFonts w:ascii="Arial" w:cs="Arial" w:eastAsia="Arial" w:hAnsi="Arial"/>
          <w:sz w:val="18"/>
          <w:szCs w:val="18"/>
          <w:u w:val="single" w:color="auto"/>
          <w:color w:val="0000FF"/>
        </w:rPr>
        <w:t>Note 16</w:t>
      </w:r>
      <w:r>
        <w:rPr>
          <w:rFonts w:ascii="Arial" w:cs="Arial" w:eastAsia="Arial" w:hAnsi="Arial"/>
          <w:sz w:val="18"/>
          <w:szCs w:val="18"/>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 - ASA</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has a 50% non-controlling ownership interest in ASA Electronics, LLC and Subsidiary ("ASA"), that was obtained in conjunction with the acquisition of VOXX on April 1, 2025 (see </w:t>
      </w:r>
      <w:r>
        <w:rPr>
          <w:rFonts w:ascii="Arial" w:cs="Arial" w:eastAsia="Arial" w:hAnsi="Arial"/>
          <w:sz w:val="18"/>
          <w:szCs w:val="18"/>
          <w:u w:val="single" w:color="auto"/>
          <w:color w:val="0000FF"/>
        </w:rPr>
        <w:t>Note 16</w:t>
      </w:r>
      <w:r>
        <w:rPr>
          <w:rFonts w:ascii="Arial" w:cs="Arial" w:eastAsia="Arial" w:hAnsi="Arial"/>
          <w:sz w:val="18"/>
          <w:szCs w:val="18"/>
          <w:color w:val="auto"/>
        </w:rPr>
        <w:t xml:space="preserve">) and is accounted for in accordance with ASC 323,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ASA acts as a distributor of mobile electronics, specifically designed for niche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markets, including: RV's; buses; and commercial, heavy duty, agricultural, construction, powersport, and marine vehicles. ASC 810, </w:t>
      </w:r>
      <w:r>
        <w:rPr>
          <w:rFonts w:ascii="Arial" w:cs="Arial" w:eastAsia="Arial" w:hAnsi="Arial"/>
          <w:sz w:val="18"/>
          <w:szCs w:val="18"/>
          <w:i w:val="1"/>
          <w:iCs w:val="1"/>
          <w:color w:val="auto"/>
        </w:rPr>
        <w:t>Consolidation</w:t>
      </w:r>
      <w:r>
        <w:rPr>
          <w:rFonts w:ascii="Arial" w:cs="Arial" w:eastAsia="Arial" w:hAnsi="Arial"/>
          <w:sz w:val="18"/>
          <w:szCs w:val="18"/>
          <w:color w:val="auto"/>
        </w:rPr>
        <w:t>, requires the Company to evaluate non-consolidated entities periodically, and as circumstances change,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if an implied controlling interest exists. In conjunction with the acquisition of VOXX on April 1, 2025, the Company evaluated this equity method investment and concluded that ASA is not a variable interest entity. The balance of the Company's investment in ASA as of September 30, 2025, was $19.1 million and is included in Long-term investments on the accompanying Condensed Consolidated Balance Sheet.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Investments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also periodically makes strategic investments in the non-marketable debt or equity securities of other non-consolidated third parties ("Technology Investments"). Such Technology Investments totaled approximately $144.1 million as of September 30, 2025, of which $142.4 million and $1.7 million are recorded in long-term investments and short-term investments, respectively, on the Unaudited Condensed Consolidated Balance Sheet. Such Technology Investments totaled approximately $155.9 million as of December 31, 2024, of which $149.9 million and $6.0 million are recorded in long-term investments and short-term investments, respectively, on the accompanying Condensed Consolidated Balance Sheets. Depending on the form of investment, and the degree of influence the Company has over the investee, the Company primarily accounts for the Technology Investments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or ASC 323, </w:t>
      </w:r>
      <w:r>
        <w:rPr>
          <w:rFonts w:ascii="Arial" w:cs="Arial" w:eastAsia="Arial" w:hAnsi="Arial"/>
          <w:sz w:val="18"/>
          <w:szCs w:val="18"/>
          <w:i w:val="1"/>
          <w:iCs w:val="1"/>
          <w:color w:val="auto"/>
        </w:rPr>
        <w:t>Investments – 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w:t>
      </w:r>
      <w:r>
        <w:rPr>
          <w:rFonts w:ascii="Arial" w:cs="Arial" w:eastAsia="Arial" w:hAnsi="Arial"/>
          <w:sz w:val="18"/>
          <w:szCs w:val="18"/>
          <w:color w:val="auto"/>
        </w:rPr>
        <w:t>. The Company accounts for equity securities in non-controlled affiliates through which the Company exercises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influence but does not have control over the investee under the equity method, with the Company’s share of the earnings or losses of non-controlled affiliates recognized within Other (loss) income, net, in the Company's accompanying Unaudited Condensed Consolidated Statements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4" w:name="page15"/>
    <w:bookmarkEnd w:id="14"/>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and nine months ended September 30, 2025, the Company recorded other-than-temporary impairment charges of $2.2 million and $8.4 million, respectively, related to two of its technology investments within Investment income, net, on the accompanying Unaudited Condensed Consolidated Statement of Income. During the third quarter of 2025, the Company determined that a triggering event had taken place related to its New Compliance B.V. investment following a funding round conducted by the investee at a per-share price below the Company's carrying value of this investment. As a result, the Company recorded an impairment charge of $2.2 million for the three and nine months ended September 30, 2025 to reduce the carrying value of the investment to an amount consistent with the value implied by the investee's recent financing. During the second quarter of 2025, the Company determined that a triggering event had taken place related to its investment in Green Marbles, LLC, as a result of a deterioration in financial performance of the investee. The Company performed an impairment analysis of this equity method investment and recorded a charge of $6.2 million for the nine months ended September 30, 2025. The fair value of the investment was estimated using a discounted cash flow model. The Company's assumptions in estimating the fair value of Green Marbles, LLC utilized Level 3 inputs, including projected revenue growth, gross margins, EBITDA margins, and weighted average costs of capital. Based on the foregoing, the Company determined that the fair values of these equity method investments were below their carrying values at the respective quarter end dates and does not expect the fair values to recover under current conditions.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From time to time, the Company makes loans in the ordinary course of business to certain of its technology investees. Such loans vary in length and are interest bearing, and as such are not deemed to be additional investments in the technology investees as the parties intend for the loans to be repaid. These loans are classified within Prepaid expenses and other and Patents and other assets, net, on the accompanying Unaudited Condensed Consolidated Balance Sheets based on the maturity dates of the loans. During the third quarter of 2025, the Company established an allowance for credit losses for these loans receivable in accordance with ASC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This allowance reflects the Company's estimate of expected credit losses over the contractual life of the loans, considering historical loss experience, current conditions, and reasonable and supportable forecasts. The estimate is developed using a combination of quantitative data and qualitative factors, including borrower creditworthiness, loan-specific risk characteristics, macroeconomic trends, and other relevant information, all of which is updated quarterly. The allowance is adjusted through a provision for credit losses in the Company's Unaudited Condensed Consolidated Statements of Income. For the three and nine months ended September 30, 2025, the Company recorded an increase to the credit loss allowance of $4.8 million. The balance of the loans included in Prepaid expenses and other on the accompanying Unaudited Condensed Consolidated Balance Sheet at September 30, 2025 was $ 15.0 million, net of credit loss allowance. The balance of the loans included in Patents and other assets, net, on the accompanying Unaudited Condensed Consolidated Balance Sheet at September 30, 2025 was $8.1 million, net of credit loss allowance.</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Assets or liabilities that have recurring fair value measurements are shown below as of September 30, 2025 and December 31, 2024.</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5" w:name="page16"/>
    <w:bookmarkEnd w:id="15"/>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Pr>
          <w:p>
            <w:pPr>
              <w:spacing w:after="0"/>
              <w:rPr>
                <w:sz w:val="16"/>
                <w:szCs w:val="16"/>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178,589,422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178,589,422</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2,261,853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838,907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838,907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30,803,945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30,803,945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38,269,313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38,269,313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16,801,678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16,801,678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267,565,118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179,428,329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88,136,789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2024:</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11"/>
          </w:tcPr>
          <w:p>
            <w:pPr>
              <w:ind w:left="6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40"/>
              <w:spacing w:after="0" w:line="147"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9"/>
              </w:rPr>
              <w:t>Inputs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16"/>
                <w:szCs w:val="16"/>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233,318,766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233,318,766</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2,851,933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751,728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751,728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3,971,200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3,982,275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3,982,275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3,386,500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1,400,176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1,400,176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41,766,104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41,766,104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54,537,517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54,537,517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Governmental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6,199,535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6,199,535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39,458,318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39,458,318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VOXX Common Stock</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47,702,903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47,702,903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439,326,955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283,173,573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156,153,382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amortized cost, unrealized gains and losses, and market value of investment securities are shown below as of September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6" w:name="page17"/>
    <w:bookmarkEnd w:id="16"/>
    <w:p>
      <w:pPr>
        <w:jc w:val="center"/>
        <w:ind w:right="6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2,251,999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2,261,853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29,764,908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30,803,945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37,702,921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718,334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(151,942)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38,269,313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16,641,509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350,251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16,801,678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87,200,244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2,117,476</w:t>
            </w:r>
          </w:p>
        </w:tc>
        <w:tc>
          <w:tcPr>
            <w:tcW w:w="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88,975,696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8"/>
                <w:szCs w:val="18"/>
                <w:color w:val="auto"/>
              </w:rPr>
              <w:t>As of December 31, 2024:</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1"/>
        </w:trPr>
        <w:tc>
          <w:tcPr>
            <w:tcW w:w="3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ind w:left="32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2"/>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2,834,713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17,220</w:t>
            </w:r>
          </w:p>
        </w:tc>
        <w:tc>
          <w:tcPr>
            <w:tcW w:w="100" w:type="dxa"/>
            <w:vAlign w:val="bottom"/>
          </w:tcPr>
          <w:p>
            <w:pPr>
              <w:spacing w:after="0"/>
              <w:rPr>
                <w:sz w:val="19"/>
                <w:szCs w:val="19"/>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2,851,933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4,013,735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(42,535)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3,971,200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3,982,275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(13,991)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3,386,500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41,372,112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(226,764)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41,766,104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54,552,964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355,627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(371,074)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54,537,517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6,199,535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40,542,837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209,564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(1,294,083)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39,458,318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VOXX Common Stock</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48,774,886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7,502,949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(8,574,932)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47,702,903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207,829,040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8,722,554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(10,543,405)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206,008,189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available-for-sale securities as of September 30, 2025,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2,990,364</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5,461,055</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8,451,419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available-for-sale securities as of December 31, 2024,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46,365,022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1,381,116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32,602,844</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78,967,866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The Company utilizes the guidance provided by ASC 326 -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provides an accounting model for purchased financial assets with credit deterioration since their origination, to determine whether any of the available-for-sale debt securities held by the Company are impaired. No such investments were considered to be impaired during the periods presented. The Company has the intention and current ability to hold its debt investments until any amortized cost basis has been recovered.</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r>
              <w:rPr>
                <w:rFonts w:ascii="Arial" w:cs="Arial" w:eastAsia="Arial" w:hAnsi="Arial"/>
                <w:sz w:val="18"/>
                <w:szCs w:val="18"/>
                <w:color w:val="auto"/>
              </w:rPr>
              <w:t>Fixed</w:t>
            </w:r>
          </w:p>
        </w:tc>
        <w:tc>
          <w:tcPr>
            <w:tcW w:w="1060" w:type="dxa"/>
            <w:vAlign w:val="bottom"/>
          </w:tcPr>
          <w:p>
            <w:pPr>
              <w:ind w:left="180"/>
              <w:spacing w:after="0"/>
              <w:rPr>
                <w:sz w:val="20"/>
                <w:szCs w:val="20"/>
                <w:color w:val="auto"/>
              </w:rPr>
            </w:pPr>
            <w:r>
              <w:rPr>
                <w:rFonts w:ascii="Arial" w:cs="Arial" w:eastAsia="Arial" w:hAnsi="Arial"/>
                <w:sz w:val="18"/>
                <w:szCs w:val="18"/>
                <w:color w:val="auto"/>
              </w:rPr>
              <w:t>income</w:t>
            </w:r>
          </w:p>
        </w:tc>
        <w:tc>
          <w:tcPr>
            <w:tcW w:w="104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460" w:type="dxa"/>
            <w:vAlign w:val="bottom"/>
          </w:tcPr>
          <w:p>
            <w:pPr>
              <w:ind w:left="100"/>
              <w:spacing w:after="0"/>
              <w:rPr>
                <w:sz w:val="20"/>
                <w:szCs w:val="20"/>
                <w:color w:val="auto"/>
              </w:rPr>
            </w:pPr>
            <w:r>
              <w:rPr>
                <w:rFonts w:ascii="Arial" w:cs="Arial" w:eastAsia="Arial" w:hAnsi="Arial"/>
                <w:sz w:val="18"/>
                <w:szCs w:val="18"/>
                <w:color w:val="auto"/>
              </w:rPr>
              <w:t>as</w:t>
            </w:r>
          </w:p>
        </w:tc>
        <w:tc>
          <w:tcPr>
            <w:tcW w:w="480" w:type="dxa"/>
            <w:vAlign w:val="bottom"/>
          </w:tcPr>
          <w:p>
            <w:pPr>
              <w:ind w:left="160"/>
              <w:spacing w:after="0"/>
              <w:rPr>
                <w:sz w:val="20"/>
                <w:szCs w:val="20"/>
                <w:color w:val="auto"/>
              </w:rPr>
            </w:pPr>
            <w:r>
              <w:rPr>
                <w:rFonts w:ascii="Arial" w:cs="Arial" w:eastAsia="Arial" w:hAnsi="Arial"/>
                <w:sz w:val="18"/>
                <w:szCs w:val="18"/>
                <w:color w:val="auto"/>
              </w:rPr>
              <w:t>of</w:t>
            </w:r>
          </w:p>
        </w:tc>
        <w:tc>
          <w:tcPr>
            <w:tcW w:w="1220" w:type="dxa"/>
            <w:vAlign w:val="bottom"/>
          </w:tcPr>
          <w:p>
            <w:pPr>
              <w:ind w:left="180"/>
              <w:spacing w:after="0"/>
              <w:rPr>
                <w:sz w:val="20"/>
                <w:szCs w:val="20"/>
                <w:color w:val="auto"/>
              </w:rPr>
            </w:pPr>
            <w:r>
              <w:rPr>
                <w:rFonts w:ascii="Arial" w:cs="Arial" w:eastAsia="Arial" w:hAnsi="Arial"/>
                <w:sz w:val="18"/>
                <w:szCs w:val="18"/>
                <w:color w:val="auto"/>
              </w:rPr>
              <w:t>September</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2025</w:t>
            </w:r>
          </w:p>
        </w:tc>
        <w:tc>
          <w:tcPr>
            <w:tcW w:w="720" w:type="dxa"/>
            <w:vAlign w:val="bottom"/>
          </w:tcPr>
          <w:p>
            <w:pPr>
              <w:ind w:left="160"/>
              <w:spacing w:after="0"/>
              <w:rPr>
                <w:sz w:val="20"/>
                <w:szCs w:val="20"/>
                <w:color w:val="auto"/>
              </w:rPr>
            </w:pPr>
            <w:r>
              <w:rPr>
                <w:rFonts w:ascii="Arial" w:cs="Arial" w:eastAsia="Arial" w:hAnsi="Arial"/>
                <w:sz w:val="18"/>
                <w:szCs w:val="18"/>
                <w:color w:val="auto"/>
              </w:rPr>
              <w:t>have</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contractual</w:t>
            </w:r>
          </w:p>
        </w:tc>
        <w:tc>
          <w:tcPr>
            <w:tcW w:w="1100" w:type="dxa"/>
            <w:vAlign w:val="bottom"/>
          </w:tcPr>
          <w:p>
            <w:pPr>
              <w:ind w:left="160"/>
              <w:spacing w:after="0"/>
              <w:rPr>
                <w:sz w:val="20"/>
                <w:szCs w:val="20"/>
                <w:color w:val="auto"/>
              </w:rPr>
            </w:pPr>
            <w:r>
              <w:rPr>
                <w:rFonts w:ascii="Arial" w:cs="Arial" w:eastAsia="Arial" w:hAnsi="Arial"/>
                <w:sz w:val="18"/>
                <w:szCs w:val="18"/>
                <w:color w:val="auto"/>
              </w:rPr>
              <w:t>maturities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as</w:t>
            </w:r>
          </w:p>
        </w:tc>
        <w:tc>
          <w:tcPr>
            <w:tcW w:w="740" w:type="dxa"/>
            <w:vAlign w:val="bottom"/>
          </w:tcPr>
          <w:p>
            <w:pPr>
              <w:ind w:left="140"/>
              <w:spacing w:after="0"/>
              <w:rPr>
                <w:sz w:val="20"/>
                <w:szCs w:val="20"/>
                <w:color w:val="auto"/>
              </w:rPr>
            </w:pPr>
            <w:r>
              <w:rPr>
                <w:rFonts w:ascii="Arial" w:cs="Arial" w:eastAsia="Arial" w:hAnsi="Arial"/>
                <w:sz w:val="18"/>
                <w:szCs w:val="18"/>
                <w:color w:val="auto"/>
                <w:w w:val="96"/>
              </w:rPr>
              <w:t>follows:</w:t>
            </w:r>
          </w:p>
        </w:tc>
      </w:tr>
      <w:tr>
        <w:trPr>
          <w:trHeight w:val="23"/>
        </w:trPr>
        <w:tc>
          <w:tcPr>
            <w:tcW w:w="16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2,261,853</w:t>
            </w:r>
          </w:p>
        </w:tc>
        <w:tc>
          <w:tcPr>
            <w:tcW w:w="740" w:type="dxa"/>
            <w:vAlign w:val="bottom"/>
          </w:tcPr>
          <w:p>
            <w:pPr>
              <w:spacing w:after="0"/>
              <w:rPr>
                <w:sz w:val="19"/>
                <w:szCs w:val="19"/>
                <w:color w:val="auto"/>
              </w:rPr>
            </w:pPr>
          </w:p>
        </w:tc>
      </w:tr>
      <w:tr>
        <w:trPr>
          <w:trHeight w:val="229"/>
        </w:trPr>
        <w:tc>
          <w:tcPr>
            <w:tcW w:w="2700" w:type="dxa"/>
            <w:vAlign w:val="bottom"/>
            <w:gridSpan w:val="3"/>
          </w:tcPr>
          <w:p>
            <w:pPr>
              <w:ind w:left="20"/>
              <w:spacing w:after="0"/>
              <w:rPr>
                <w:sz w:val="20"/>
                <w:szCs w:val="20"/>
                <w:color w:val="auto"/>
              </w:rPr>
            </w:pPr>
            <w:r>
              <w:rPr>
                <w:rFonts w:ascii="Arial" w:cs="Arial" w:eastAsia="Arial" w:hAnsi="Arial"/>
                <w:sz w:val="18"/>
                <w:szCs w:val="18"/>
                <w:color w:val="auto"/>
              </w:rPr>
              <w:t>Due between one and five years</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41,483,834</w:t>
            </w:r>
          </w:p>
        </w:tc>
        <w:tc>
          <w:tcPr>
            <w:tcW w:w="740" w:type="dxa"/>
            <w:vAlign w:val="bottom"/>
          </w:tcPr>
          <w:p>
            <w:pPr>
              <w:spacing w:after="0"/>
              <w:rPr>
                <w:sz w:val="19"/>
                <w:szCs w:val="19"/>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44,391,102</w:t>
            </w:r>
          </w:p>
        </w:tc>
        <w:tc>
          <w:tcPr>
            <w:tcW w:w="740" w:type="dxa"/>
            <w:vAlign w:val="bottom"/>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88,136,789</w:t>
            </w:r>
          </w:p>
        </w:tc>
        <w:tc>
          <w:tcPr>
            <w:tcW w:w="740" w:type="dxa"/>
            <w:vAlign w:val="bottom"/>
          </w:tcPr>
          <w:p>
            <w:pPr>
              <w:spacing w:after="0"/>
              <w:rPr>
                <w:sz w:val="19"/>
                <w:szCs w:val="19"/>
                <w:color w:val="auto"/>
              </w:rPr>
            </w:pPr>
          </w:p>
        </w:tc>
      </w:tr>
      <w:tr>
        <w:trPr>
          <w:trHeight w:val="21"/>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Inventories, net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281,101,437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307,098,829</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56,847,025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48,098,732</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161,295,151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81,299,884</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499,243,613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436,497,445</w:t>
            </w: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line="274"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nine months ended September 30, 2025 and September 30, 2024:</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September 30,</w:t>
            </w:r>
          </w:p>
        </w:tc>
        <w:tc>
          <w:tcPr>
            <w:tcW w:w="240" w:type="dxa"/>
            <w:vAlign w:val="bottom"/>
          </w:tcPr>
          <w:p>
            <w:pPr>
              <w:spacing w:after="0"/>
              <w:rPr>
                <w:sz w:val="14"/>
                <w:szCs w:val="14"/>
                <w:color w:val="auto"/>
              </w:rPr>
            </w:pPr>
          </w:p>
        </w:tc>
        <w:tc>
          <w:tcPr>
            <w:tcW w:w="258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Net Income Attributable to Gentex Corporation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100,967,910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122,549,041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291,881,539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316,820,194</w:t>
            </w: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440"/>
              <w:spacing w:after="0" w:line="163" w:lineRule="exact"/>
              <w:rPr>
                <w:sz w:val="20"/>
                <w:szCs w:val="20"/>
                <w:color w:val="auto"/>
              </w:rPr>
            </w:pPr>
            <w:r>
              <w:rPr>
                <w:rFonts w:ascii="Arial" w:cs="Arial" w:eastAsia="Arial" w:hAnsi="Arial"/>
                <w:sz w:val="16"/>
                <w:szCs w:val="16"/>
                <w:color w:val="auto"/>
              </w:rPr>
              <w:t>Less: Dividends and undistributed earnings</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1,523,892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1,604,095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4,277,469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4,418,133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allocated to participating securities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240"/>
              <w:spacing w:after="0"/>
              <w:rPr>
                <w:sz w:val="20"/>
                <w:szCs w:val="20"/>
                <w:color w:val="auto"/>
              </w:rPr>
            </w:pPr>
            <w:r>
              <w:rPr>
                <w:rFonts w:ascii="Arial" w:cs="Arial" w:eastAsia="Arial" w:hAnsi="Arial"/>
                <w:sz w:val="16"/>
                <w:szCs w:val="16"/>
                <w:color w:val="auto"/>
              </w:rPr>
              <w:t>Net Income available to common shareholders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99,444,018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120,944,946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287,604,070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312,402,061</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Basic weighted average shares outstanding</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215,944,553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226,002,347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219,331,486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226,646,541</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per share - Basic</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Allocation of Net Income used in basic computation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99,444,018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120,944,946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287,604,070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312,402,061</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Reallocation of undistributed earnings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5,183</w:t>
            </w:r>
          </w:p>
        </w:tc>
        <w:tc>
          <w:tcPr>
            <w:tcW w:w="0" w:type="dxa"/>
            <w:vAlign w:val="bottom"/>
          </w:tcPr>
          <w:p>
            <w:pPr>
              <w:spacing w:after="0"/>
              <w:rPr>
                <w:sz w:val="1"/>
                <w:szCs w:val="1"/>
                <w:color w:val="auto"/>
              </w:rPr>
            </w:pPr>
          </w:p>
        </w:tc>
      </w:tr>
      <w:tr>
        <w:trPr>
          <w:trHeight w:val="142"/>
        </w:trPr>
        <w:tc>
          <w:tcPr>
            <w:tcW w:w="4080" w:type="dxa"/>
            <w:vAlign w:val="bottom"/>
          </w:tcPr>
          <w:p>
            <w:pPr>
              <w:ind w:left="240"/>
              <w:spacing w:after="0" w:line="142" w:lineRule="exact"/>
              <w:rPr>
                <w:sz w:val="20"/>
                <w:szCs w:val="20"/>
                <w:color w:val="auto"/>
              </w:rPr>
            </w:pPr>
            <w:r>
              <w:rPr>
                <w:rFonts w:ascii="Arial" w:cs="Arial" w:eastAsia="Arial" w:hAnsi="Arial"/>
                <w:sz w:val="16"/>
                <w:szCs w:val="16"/>
                <w:color w:val="auto"/>
              </w:rPr>
              <w:t>Net Income available to common shareholders -</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99,444,275</w:t>
            </w:r>
          </w:p>
        </w:tc>
        <w:tc>
          <w:tcPr>
            <w:tcW w:w="100" w:type="dxa"/>
            <w:vAlign w:val="bottom"/>
          </w:tcPr>
          <w:p>
            <w:pPr>
              <w:spacing w:after="0"/>
              <w:rPr>
                <w:sz w:val="12"/>
                <w:szCs w:val="12"/>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120,946,234</w:t>
            </w:r>
          </w:p>
        </w:tc>
        <w:tc>
          <w:tcPr>
            <w:tcW w:w="100" w:type="dxa"/>
            <w:vAlign w:val="bottom"/>
          </w:tcPr>
          <w:p>
            <w:pPr>
              <w:spacing w:after="0"/>
              <w:rPr>
                <w:sz w:val="12"/>
                <w:szCs w:val="12"/>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287,604,308</w:t>
            </w:r>
          </w:p>
        </w:tc>
        <w:tc>
          <w:tcPr>
            <w:tcW w:w="10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312,407,244</w:t>
            </w: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Number of shares used in basic computation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215,944,553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226,002,347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219,331,486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226,646,541</w:t>
            </w: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340"/>
              <w:spacing w:after="0" w:line="163" w:lineRule="exact"/>
              <w:rPr>
                <w:sz w:val="20"/>
                <w:szCs w:val="20"/>
                <w:color w:val="auto"/>
              </w:rPr>
            </w:pPr>
            <w:r>
              <w:rPr>
                <w:rFonts w:ascii="Arial" w:cs="Arial" w:eastAsia="Arial" w:hAnsi="Arial"/>
                <w:sz w:val="16"/>
                <w:szCs w:val="16"/>
                <w:color w:val="auto"/>
              </w:rPr>
              <w:t>Additional weighted average dilutive common stock</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50,236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239,337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17,195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363,391</w:t>
            </w:r>
          </w:p>
        </w:tc>
        <w:tc>
          <w:tcPr>
            <w:tcW w:w="0" w:type="dxa"/>
            <w:vAlign w:val="bottom"/>
          </w:tcPr>
          <w:p>
            <w:pPr>
              <w:spacing w:after="0"/>
              <w:rPr>
                <w:sz w:val="1"/>
                <w:szCs w:val="1"/>
                <w:color w:val="auto"/>
              </w:rPr>
            </w:pPr>
          </w:p>
        </w:tc>
      </w:tr>
      <w:tr>
        <w:trPr>
          <w:trHeight w:val="215"/>
        </w:trPr>
        <w:tc>
          <w:tcPr>
            <w:tcW w:w="4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equivalents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40"/>
              <w:spacing w:after="0"/>
              <w:rPr>
                <w:sz w:val="20"/>
                <w:szCs w:val="20"/>
                <w:color w:val="auto"/>
              </w:rPr>
            </w:pPr>
            <w:r>
              <w:rPr>
                <w:rFonts w:ascii="Arial" w:cs="Arial" w:eastAsia="Arial" w:hAnsi="Arial"/>
                <w:sz w:val="16"/>
                <w:szCs w:val="16"/>
                <w:color w:val="auto"/>
              </w:rPr>
              <w:t>Diluted weighted average shares outstanding</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215,994,789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226,241,684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219,348,681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227,009,932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Net Income per share - 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line="162" w:lineRule="exact"/>
              <w:rPr>
                <w:sz w:val="20"/>
                <w:szCs w:val="20"/>
                <w:color w:val="auto"/>
              </w:rPr>
            </w:pPr>
            <w:r>
              <w:rPr>
                <w:rFonts w:ascii="Arial" w:cs="Arial" w:eastAsia="Arial" w:hAnsi="Arial"/>
                <w:sz w:val="16"/>
                <w:szCs w:val="16"/>
                <w:color w:val="auto"/>
              </w:rPr>
              <w:t>Shares related to stock plans not included in diluted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line="162" w:lineRule="exact"/>
              <w:rPr>
                <w:sz w:val="20"/>
                <w:szCs w:val="20"/>
                <w:color w:val="auto"/>
              </w:rPr>
            </w:pPr>
            <w:r>
              <w:rPr>
                <w:rFonts w:ascii="Arial" w:cs="Arial" w:eastAsia="Arial" w:hAnsi="Arial"/>
                <w:sz w:val="16"/>
                <w:szCs w:val="16"/>
                <w:color w:val="auto"/>
              </w:rPr>
              <w:t>average common shares outstanding because their</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2,664,948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1,619,446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3,000,159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625,410</w:t>
            </w:r>
          </w:p>
        </w:tc>
        <w:tc>
          <w:tcPr>
            <w:tcW w:w="0" w:type="dxa"/>
            <w:vAlign w:val="bottom"/>
          </w:tcPr>
          <w:p>
            <w:pPr>
              <w:spacing w:after="0"/>
              <w:rPr>
                <w:sz w:val="1"/>
                <w:szCs w:val="1"/>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effect would be anti-dilutive</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44"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As of September 30, 2025,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0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15"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2024, for additional information related to the Prior Plans.</w:t>
      </w:r>
    </w:p>
    <w:p>
      <w:pPr>
        <w:spacing w:after="0" w:line="112"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The Company recognized total compensation expense for share-based payments of $10.6 million and $27.0 million for the three and nine months ended September 30, 2025, respectively. The Company recognized compensation expense for share-based payments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$9.6 million and $31.0 million for the three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8"/>
          <w:szCs w:val="18"/>
          <w:color w:val="auto"/>
        </w:rPr>
        <w:t>and nine months ended September 30, 2024, respectively. A portion of the compensation cost for share-based payment awards is capitalized as part of inventory.</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5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purpose of the 2019 Omnibus Plan is to attract and retain employees, officers, and directors of the Company and its subsidiaries and to motivate and provide such persons' incentives and rewards for performance. Pursuant to the terms of the 2019 Omnibus Plan, each type of award counts against the available shares based on a predetermined conversion rate (shown in the table below). As of September 30, 2025, 12,518,406 share awards have been made under the Plan, resulting in 35,103,596 shares granted of the 45,000,000 total shares available to be issued under the Plan. The shares issued are presented net of shares from canceled/expired options and shares.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38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tcBorders>
              <w:top w:val="single" w:sz="8" w:color="CCEEFF"/>
            </w:tcBorders>
            <w:vMerge w:val="restart"/>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5"/>
        </w:trPr>
        <w:tc>
          <w:tcPr>
            <w:tcW w:w="388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tcPr>
          <w:p>
            <w:pPr>
              <w:jc w:val="right"/>
              <w:spacing w:after="0"/>
              <w:rPr>
                <w:sz w:val="20"/>
                <w:szCs w:val="20"/>
                <w:color w:val="auto"/>
              </w:rPr>
            </w:pPr>
            <w:r>
              <w:rPr>
                <w:rFonts w:ascii="Arial" w:cs="Arial" w:eastAsia="Arial" w:hAnsi="Arial"/>
                <w:sz w:val="18"/>
                <w:szCs w:val="18"/>
                <w:color w:val="auto"/>
              </w:rPr>
              <w:t>5,137,625</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5,137,625</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6,116,600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24,833,396</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1,264,181</w:t>
            </w:r>
          </w:p>
        </w:tc>
        <w:tc>
          <w:tcPr>
            <w:tcW w:w="2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5,132,575</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12,518,406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35,103,596</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44"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September 30, 2025, there was $4.2 million of unearned compensation cost associated with stock options granted under the 2019 Omnibus Incentive Plan and the Employee Stock Option Plan, which is expected to be recognized over the remaining vesting periods.</w:t>
      </w:r>
    </w:p>
    <w:p>
      <w:pPr>
        <w:spacing w:after="0" w:line="109" w:lineRule="exact"/>
        <w:rPr>
          <w:sz w:val="20"/>
          <w:szCs w:val="20"/>
          <w:color w:val="auto"/>
        </w:rPr>
      </w:pPr>
    </w:p>
    <w:p>
      <w:pPr>
        <w:ind w:left="4" w:right="740"/>
        <w:spacing w:after="0" w:line="28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36"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3360" w:type="dxa"/>
            <w:vAlign w:val="bottom"/>
          </w:tcPr>
          <w:p>
            <w:pPr>
              <w:spacing w:after="0"/>
              <w:rPr>
                <w:sz w:val="17"/>
                <w:szCs w:val="17"/>
                <w:color w:val="auto"/>
              </w:rPr>
            </w:pPr>
          </w:p>
        </w:tc>
        <w:tc>
          <w:tcPr>
            <w:tcW w:w="328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1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36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2024</w:t>
            </w:r>
          </w:p>
        </w:tc>
      </w:tr>
      <w:tr>
        <w:trPr>
          <w:trHeight w:val="224"/>
        </w:trPr>
        <w:tc>
          <w:tcPr>
            <w:tcW w:w="3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30"/>
        </w:trPr>
        <w:tc>
          <w:tcPr>
            <w:tcW w:w="3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25.72 %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27.92 %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25.39 %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28.07 %</w:t>
            </w:r>
          </w:p>
        </w:tc>
      </w:tr>
      <w:tr>
        <w:trPr>
          <w:trHeight w:val="230"/>
        </w:trPr>
        <w:tc>
          <w:tcPr>
            <w:tcW w:w="3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4.04 %</w:t>
            </w:r>
          </w:p>
        </w:tc>
      </w:tr>
      <w:tr>
        <w:trPr>
          <w:trHeight w:val="229"/>
        </w:trPr>
        <w:tc>
          <w:tcPr>
            <w:tcW w:w="3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152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r>
    </w:tbl>
    <w:p>
      <w:pPr>
        <w:spacing w:after="0" w:line="72" w:lineRule="exact"/>
        <w:rPr>
          <w:sz w:val="20"/>
          <w:szCs w:val="20"/>
          <w:color w:val="auto"/>
        </w:rPr>
      </w:pPr>
    </w:p>
    <w:p>
      <w:pPr>
        <w:ind w:left="324" w:hanging="324"/>
        <w:spacing w:after="0"/>
        <w:tabs>
          <w:tab w:leader="none" w:pos="324"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Company’s estimated cash dividend yield over the expected term of option grant.</w:t>
      </w:r>
    </w:p>
    <w:p>
      <w:pPr>
        <w:spacing w:after="0" w:line="28" w:lineRule="exact"/>
        <w:rPr>
          <w:rFonts w:ascii="Arial" w:cs="Arial" w:eastAsia="Arial" w:hAnsi="Arial"/>
          <w:sz w:val="9"/>
          <w:szCs w:val="9"/>
          <w:color w:val="auto"/>
        </w:rPr>
      </w:pPr>
    </w:p>
    <w:p>
      <w:pPr>
        <w:ind w:left="324" w:right="260" w:hanging="324"/>
        <w:spacing w:after="0" w:line="221" w:lineRule="auto"/>
        <w:tabs>
          <w:tab w:leader="none" w:pos="321"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84" w:lineRule="auto"/>
        <w:tabs>
          <w:tab w:leader="none" w:pos="321"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September 30, 2025, the Company had unearned stock-based compensation of $54.6 million associated with the restricted stock grants issued under the 2019 Omnibus Plan and the Second Restricted Stock Plan. The unearned stock-based compensation related to these grants is being amortized to compensation expense over the applicable restriction periods. Compensation expense from restricted stock grants for the three and nine months ended September 30, 2025 was $6.1</w:t>
      </w:r>
    </w:p>
    <w:p>
      <w:pPr>
        <w:sectPr>
          <w:pgSz w:w="11900" w:h="16838" w:orient="portrait"/>
          <w:cols w:equalWidth="0" w:num="1">
            <w:col w:w="10584"/>
          </w:cols>
          <w:pgMar w:left="976" w:top="36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10384"/>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million and $16.9 million, respectively. Compensation expense from restricted stock grants for the three and nine months ended September 30, 2024 was $5.9 million and $19.5 million, respectively.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As of September 30, 2025, the Company had unearned stock-based compensation of $11.3 million associated with these performance share grants. The unearned stock-based compensation related to these grants is being amortized to compensation expense over the applicable performance periods. Compensation expense related to these performance share grants for the three and nine months ended September 30, 2025 was $2.7 million and $4.7 million, respectively. Compensation expense related to these performance share grants for the three and nine months ended September 30, 2024 was $1.6 million and $5.4 million, respectively.</w:t>
      </w:r>
    </w:p>
    <w:p>
      <w:pPr>
        <w:spacing w:after="0" w:line="20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four-year period (2023-2026), against a predetermined peer group. The grant date fair value of PSAs with TSR targets was determined using a Monte Carlo simulation. Compensation expense related to these retention grants for the three and nine months ended September 30, 2025 was $0.5 million and $1.4 million, respectively. Compensation expense related to these retention grants for the three and nine months ended September 30, 2024 was $0.5 million and $1.3 million, respectively.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The 2022 Gentex Corporation Employee Stock Purchase Plan covering 2,000,000 shares of common stock was approved by shareholders effective July 1, 2022.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15% discounted value is recognized as compensation expense. As of September 30, 2025, the Company has issued 730,907 shares under this plan.</w:t>
      </w:r>
    </w:p>
    <w:p>
      <w:pPr>
        <w:spacing w:after="0" w:line="203"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 Income (Loss)</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debt securities, foreign currency translation adjustments, and derivative instruments.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table presents the net changes in the Company's accumulated other comprehensive loss by component (all amounts shown are net of tax):</w:t>
      </w:r>
    </w:p>
    <w:tbl>
      <w:tblPr>
        <w:tblLayout w:type="fixed"/>
        <w:tblInd w:w="0" w:type="dxa"/>
        <w:tblCellMar>
          <w:top w:w="0" w:type="dxa"/>
          <w:left w:w="0" w:type="dxa"/>
          <w:bottom w:w="0" w:type="dxa"/>
          <w:right w:w="0" w:type="dxa"/>
        </w:tblCellMar>
      </w:tblPr>
      <w:tr>
        <w:trPr>
          <w:trHeight w:val="164"/>
        </w:trPr>
        <w:tc>
          <w:tcPr>
            <w:tcW w:w="4360" w:type="dxa"/>
            <w:vAlign w:val="bottom"/>
          </w:tcPr>
          <w:p>
            <w:pPr>
              <w:spacing w:after="0"/>
              <w:rPr>
                <w:sz w:val="14"/>
                <w:szCs w:val="14"/>
                <w:color w:val="auto"/>
              </w:rPr>
            </w:pPr>
          </w:p>
        </w:tc>
        <w:tc>
          <w:tcPr>
            <w:tcW w:w="2760" w:type="dxa"/>
            <w:vAlign w:val="bottom"/>
            <w:gridSpan w:val="5"/>
          </w:tcPr>
          <w:p>
            <w:pPr>
              <w:ind w:left="100"/>
              <w:spacing w:after="0" w:line="164" w:lineRule="exact"/>
              <w:rPr>
                <w:sz w:val="20"/>
                <w:szCs w:val="20"/>
                <w:color w:val="auto"/>
              </w:rPr>
            </w:pPr>
            <w:r>
              <w:rPr>
                <w:rFonts w:ascii="Arial" w:cs="Arial" w:eastAsia="Arial" w:hAnsi="Arial"/>
                <w:sz w:val="16"/>
                <w:szCs w:val="16"/>
                <w:b w:val="1"/>
                <w:bCs w:val="1"/>
                <w:color w:val="auto"/>
              </w:rPr>
              <w:t>Three Months Ended September</w:t>
            </w:r>
          </w:p>
        </w:tc>
        <w:tc>
          <w:tcPr>
            <w:tcW w:w="140" w:type="dxa"/>
            <w:vAlign w:val="bottom"/>
          </w:tcPr>
          <w:p>
            <w:pPr>
              <w:spacing w:after="0"/>
              <w:rPr>
                <w:sz w:val="14"/>
                <w:szCs w:val="14"/>
                <w:color w:val="auto"/>
              </w:rPr>
            </w:pPr>
          </w:p>
        </w:tc>
        <w:tc>
          <w:tcPr>
            <w:tcW w:w="2560" w:type="dxa"/>
            <w:vAlign w:val="bottom"/>
            <w:gridSpan w:val="3"/>
          </w:tcPr>
          <w:p>
            <w:pPr>
              <w:jc w:val="right"/>
              <w:ind w:right="59"/>
              <w:spacing w:after="0" w:line="164" w:lineRule="exact"/>
              <w:rPr>
                <w:sz w:val="20"/>
                <w:szCs w:val="20"/>
                <w:color w:val="auto"/>
              </w:rPr>
            </w:pPr>
            <w:r>
              <w:rPr>
                <w:rFonts w:ascii="Arial" w:cs="Arial" w:eastAsia="Arial" w:hAnsi="Arial"/>
                <w:sz w:val="16"/>
                <w:szCs w:val="16"/>
                <w:b w:val="1"/>
                <w:bCs w:val="1"/>
                <w:color w:val="auto"/>
              </w:rPr>
              <w:t>Nine Months Ended September</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30,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240"/>
              <w:spacing w:after="0"/>
              <w:rPr>
                <w:sz w:val="20"/>
                <w:szCs w:val="20"/>
                <w:color w:val="auto"/>
              </w:rPr>
            </w:pPr>
            <w:r>
              <w:rPr>
                <w:rFonts w:ascii="Arial" w:cs="Arial" w:eastAsia="Arial" w:hAnsi="Arial"/>
                <w:sz w:val="16"/>
                <w:szCs w:val="16"/>
                <w:color w:val="auto"/>
              </w:rPr>
              <w:t>Balance at beginning of period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(4,053,955)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(5,994,473)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(5,817,736)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(4,534,719)</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income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872,761</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1,776,813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2,636,542</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317,059</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current-period change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872,761</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1,776,813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2,636,542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317,059</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(3,181,194)</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(4,217,660)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(3,181,194)</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(4,217,660)</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gains (losses) on debt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240"/>
              <w:spacing w:after="0"/>
              <w:rPr>
                <w:sz w:val="20"/>
                <w:szCs w:val="20"/>
                <w:color w:val="auto"/>
              </w:rPr>
            </w:pPr>
            <w:r>
              <w:rPr>
                <w:rFonts w:ascii="Arial" w:cs="Arial" w:eastAsia="Arial" w:hAnsi="Arial"/>
                <w:sz w:val="16"/>
                <w:szCs w:val="16"/>
                <w:color w:val="auto"/>
              </w:rPr>
              <w:t>Balance at beginning of period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1,641,146</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(1,981,180)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(591,605)</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(2,022,403)</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income before reclassifications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402,013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3,294,853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1,882,031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2,465,099</w:t>
            </w:r>
          </w:p>
        </w:tc>
        <w:tc>
          <w:tcPr>
            <w:tcW w:w="0" w:type="dxa"/>
            <w:vAlign w:val="bottom"/>
          </w:tcPr>
          <w:p>
            <w:pPr>
              <w:spacing w:after="0"/>
              <w:rPr>
                <w:sz w:val="1"/>
                <w:szCs w:val="1"/>
                <w:color w:val="auto"/>
              </w:rPr>
            </w:pPr>
          </w:p>
        </w:tc>
      </w:tr>
      <w:tr>
        <w:trPr>
          <w:trHeight w:val="162"/>
        </w:trPr>
        <w:tc>
          <w:tcPr>
            <w:tcW w:w="4360" w:type="dxa"/>
            <w:vAlign w:val="bottom"/>
          </w:tcPr>
          <w:p>
            <w:pPr>
              <w:ind w:left="240"/>
              <w:spacing w:after="0" w:line="162" w:lineRule="exact"/>
              <w:rPr>
                <w:sz w:val="20"/>
                <w:szCs w:val="20"/>
                <w:color w:val="auto"/>
              </w:rPr>
            </w:pPr>
            <w:r>
              <w:rPr>
                <w:rFonts w:ascii="Arial" w:cs="Arial" w:eastAsia="Arial" w:hAnsi="Arial"/>
                <w:sz w:val="16"/>
                <w:szCs w:val="16"/>
                <w:color w:val="auto"/>
              </w:rPr>
              <w:t>Amounts reclassified from accumulated other</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(640,552)</w:t>
            </w: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18,063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112,181</w:t>
            </w: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889,040</w:t>
            </w:r>
          </w:p>
        </w:tc>
        <w:tc>
          <w:tcPr>
            <w:tcW w:w="0" w:type="dxa"/>
            <w:vAlign w:val="bottom"/>
          </w:tcPr>
          <w:p>
            <w:pPr>
              <w:spacing w:after="0"/>
              <w:rPr>
                <w:sz w:val="1"/>
                <w:szCs w:val="1"/>
                <w:color w:val="auto"/>
              </w:rPr>
            </w:pPr>
          </w:p>
        </w:tc>
      </w:tr>
      <w:tr>
        <w:trPr>
          <w:trHeight w:val="215"/>
        </w:trPr>
        <w:tc>
          <w:tcPr>
            <w:tcW w:w="4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comprehensive income (loss)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current-period change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(238,539)</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3,312,916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1,994,212</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3,354,139</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1,402,607</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1,331,736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1,402,607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1,331,736</w:t>
            </w: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Unrealized gains on derivatives: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(983,840)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360" w:type="dxa"/>
            <w:vAlign w:val="bottom"/>
          </w:tcPr>
          <w:p>
            <w:pPr>
              <w:ind w:left="240"/>
              <w:spacing w:after="0"/>
              <w:rPr>
                <w:sz w:val="20"/>
                <w:szCs w:val="20"/>
                <w:color w:val="auto"/>
              </w:rPr>
            </w:pPr>
            <w:r>
              <w:rPr>
                <w:rFonts w:ascii="Arial" w:cs="Arial" w:eastAsia="Arial" w:hAnsi="Arial"/>
                <w:sz w:val="16"/>
                <w:szCs w:val="16"/>
                <w:color w:val="auto"/>
              </w:rPr>
              <w:t>Other comprehensive loss before reclassifications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211,910</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(1,024,029)</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43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Amounts reclassified from accumulated other</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(95,706)</w:t>
            </w:r>
          </w:p>
        </w:tc>
        <w:tc>
          <w:tcPr>
            <w:tcW w:w="3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156,393</w:t>
            </w:r>
          </w:p>
        </w:tc>
        <w:tc>
          <w:tcPr>
            <w:tcW w:w="3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comprehensive loss</w:t>
            </w: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current-period change</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116,204</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(867,636)</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(867,636)</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(867,636)</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 end of period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(2,646,223)</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(2,885,924)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(2,646,223)</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(2,885,924)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right="180"/>
        <w:spacing w:after="0" w:line="287" w:lineRule="auto"/>
        <w:rPr>
          <w:sz w:val="20"/>
          <w:szCs w:val="20"/>
          <w:color w:val="auto"/>
        </w:rPr>
      </w:pPr>
      <w:r>
        <w:rPr>
          <w:rFonts w:ascii="Arial" w:cs="Arial" w:eastAsia="Arial" w:hAnsi="Arial"/>
          <w:sz w:val="18"/>
          <w:szCs w:val="18"/>
          <w:color w:val="auto"/>
        </w:rPr>
        <w:t>The following table presents details of reclassifications out of accumulated other comprehensive loss for the three and nine months ended September 30, 2025 and 2024:</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ind w:left="23"/>
              <w:spacing w:after="0"/>
              <w:rPr>
                <w:sz w:val="20"/>
                <w:szCs w:val="20"/>
                <w:color w:val="auto"/>
              </w:rPr>
            </w:pPr>
            <w:r>
              <w:rPr>
                <w:rFonts w:ascii="Arial" w:cs="Arial" w:eastAsia="Arial" w:hAnsi="Arial"/>
                <w:sz w:val="14"/>
                <w:szCs w:val="14"/>
                <w:b w:val="1"/>
                <w:bCs w:val="1"/>
                <w:color w:val="auto"/>
              </w:rPr>
              <w:t>Affected Line item in</w:t>
            </w:r>
          </w:p>
        </w:tc>
        <w:tc>
          <w:tcPr>
            <w:tcW w:w="0" w:type="dxa"/>
            <w:vAlign w:val="bottom"/>
          </w:tcPr>
          <w:p>
            <w:pPr>
              <w:spacing w:after="0"/>
              <w:rPr>
                <w:sz w:val="1"/>
                <w:szCs w:val="1"/>
                <w:color w:val="auto"/>
              </w:rPr>
            </w:pPr>
          </w:p>
        </w:tc>
      </w:tr>
      <w:tr>
        <w:trPr>
          <w:trHeight w:val="144"/>
        </w:trPr>
        <w:tc>
          <w:tcPr>
            <w:tcW w:w="2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left="43"/>
              <w:spacing w:after="0" w:line="145" w:lineRule="exact"/>
              <w:rPr>
                <w:sz w:val="20"/>
                <w:szCs w:val="20"/>
                <w:color w:val="auto"/>
              </w:rPr>
            </w:pPr>
            <w:r>
              <w:rPr>
                <w:rFonts w:ascii="Arial" w:cs="Arial" w:eastAsia="Arial" w:hAnsi="Arial"/>
                <w:sz w:val="14"/>
                <w:szCs w:val="14"/>
                <w:b w:val="1"/>
                <w:bCs w:val="1"/>
                <w:color w:val="auto"/>
              </w:rPr>
              <w:t>the Unaudited</w:t>
            </w:r>
          </w:p>
        </w:tc>
        <w:tc>
          <w:tcPr>
            <w:tcW w:w="0" w:type="dxa"/>
            <w:vAlign w:val="bottom"/>
          </w:tcPr>
          <w:p>
            <w:pPr>
              <w:spacing w:after="0"/>
              <w:rPr>
                <w:sz w:val="1"/>
                <w:szCs w:val="1"/>
                <w:color w:val="auto"/>
              </w:rPr>
            </w:pPr>
          </w:p>
        </w:tc>
      </w:tr>
      <w:tr>
        <w:trPr>
          <w:trHeight w:val="139"/>
        </w:trPr>
        <w:tc>
          <w:tcPr>
            <w:tcW w:w="2800" w:type="dxa"/>
            <w:vAlign w:val="bottom"/>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Details about Accumulated Other</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left="23"/>
              <w:spacing w:after="0" w:line="13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48"/>
        </w:trPr>
        <w:tc>
          <w:tcPr>
            <w:tcW w:w="280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960" w:type="dxa"/>
            <w:vAlign w:val="bottom"/>
            <w:gridSpan w:val="8"/>
            <w:vMerge w:val="restart"/>
            <w:shd w:val="clear" w:color="auto" w:fill="CCEEFF"/>
          </w:tcPr>
          <w:p>
            <w:pPr>
              <w:jc w:val="right"/>
              <w:ind w:right="660"/>
              <w:spacing w:after="0"/>
              <w:rPr>
                <w:sz w:val="20"/>
                <w:szCs w:val="20"/>
                <w:color w:val="auto"/>
              </w:rPr>
            </w:pPr>
            <w:r>
              <w:rPr>
                <w:rFonts w:ascii="Arial" w:cs="Arial" w:eastAsia="Arial" w:hAnsi="Arial"/>
                <w:sz w:val="14"/>
                <w:szCs w:val="14"/>
                <w:b w:val="1"/>
                <w:bCs w:val="1"/>
                <w:color w:val="auto"/>
              </w:rPr>
              <w:t>Amounts Reclassified from Other Comprehensive Loss</w:t>
            </w:r>
          </w:p>
        </w:tc>
        <w:tc>
          <w:tcPr>
            <w:tcW w:w="1760" w:type="dxa"/>
            <w:vAlign w:val="bottom"/>
            <w:shd w:val="clear" w:color="auto" w:fill="CCEEFF"/>
          </w:tcPr>
          <w:p>
            <w:pPr>
              <w:jc w:val="center"/>
              <w:ind w:left="23"/>
              <w:spacing w:after="0" w:line="149"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8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Comprehensive Loss Components</w:t>
            </w:r>
          </w:p>
        </w:tc>
        <w:tc>
          <w:tcPr>
            <w:tcW w:w="300" w:type="dxa"/>
            <w:vAlign w:val="bottom"/>
            <w:tcBorders>
              <w:bottom w:val="single" w:sz="8" w:color="auto"/>
            </w:tcBorders>
            <w:shd w:val="clear" w:color="auto" w:fill="CCEEFF"/>
          </w:tcPr>
          <w:p>
            <w:pPr>
              <w:spacing w:after="0"/>
              <w:rPr>
                <w:sz w:val="16"/>
                <w:szCs w:val="16"/>
                <w:color w:val="auto"/>
              </w:rPr>
            </w:pPr>
          </w:p>
        </w:tc>
        <w:tc>
          <w:tcPr>
            <w:tcW w:w="4960" w:type="dxa"/>
            <w:vAlign w:val="bottom"/>
            <w:tcBorders>
              <w:bottom w:val="single" w:sz="8" w:color="auto"/>
            </w:tcBorders>
            <w:gridSpan w:val="8"/>
            <w:vMerge w:val="continue"/>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center"/>
              <w:ind w:left="23"/>
              <w:spacing w:after="0"/>
              <w:rPr>
                <w:sz w:val="20"/>
                <w:szCs w:val="20"/>
                <w:color w:val="auto"/>
              </w:rPr>
            </w:pPr>
            <w:r>
              <w:rPr>
                <w:rFonts w:ascii="Arial" w:cs="Arial" w:eastAsia="Arial" w:hAnsi="Arial"/>
                <w:sz w:val="14"/>
                <w:szCs w:val="14"/>
                <w:b w:val="1"/>
                <w:bCs w:val="1"/>
                <w:color w:val="auto"/>
              </w:rPr>
              <w:t>Statements of Income</w:t>
            </w: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2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800" w:type="dxa"/>
            <w:vAlign w:val="bottom"/>
          </w:tcPr>
          <w:p>
            <w:pPr>
              <w:ind w:left="20"/>
              <w:spacing w:after="0" w:line="142" w:lineRule="exact"/>
              <w:rPr>
                <w:sz w:val="20"/>
                <w:szCs w:val="20"/>
                <w:color w:val="auto"/>
              </w:rPr>
            </w:pPr>
            <w:r>
              <w:rPr>
                <w:rFonts w:ascii="Arial" w:cs="Arial" w:eastAsia="Arial" w:hAnsi="Arial"/>
                <w:sz w:val="16"/>
                <w:szCs w:val="16"/>
                <w:color w:val="auto"/>
              </w:rPr>
              <w:t>Unrealized gains (losses) on debt</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80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0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Realized gain (loss) on sale of</w:t>
            </w:r>
          </w:p>
        </w:tc>
        <w:tc>
          <w:tcPr>
            <w:tcW w:w="3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810,825</w:t>
            </w: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(22,864)</w:t>
            </w:r>
          </w:p>
        </w:tc>
        <w:tc>
          <w:tcPr>
            <w:tcW w:w="14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(142,001)</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(1,125,367)</w:t>
            </w:r>
          </w:p>
        </w:tc>
        <w:tc>
          <w:tcPr>
            <w:tcW w:w="176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securities</w:t>
            </w:r>
          </w:p>
        </w:tc>
        <w:tc>
          <w:tcPr>
            <w:tcW w:w="3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40"/>
              <w:spacing w:after="0" w:line="162" w:lineRule="exact"/>
              <w:rPr>
                <w:sz w:val="20"/>
                <w:szCs w:val="20"/>
                <w:color w:val="auto"/>
              </w:rPr>
            </w:pPr>
            <w:r>
              <w:rPr>
                <w:rFonts w:ascii="Arial" w:cs="Arial" w:eastAsia="Arial" w:hAnsi="Arial"/>
                <w:sz w:val="16"/>
                <w:szCs w:val="16"/>
                <w:color w:val="auto"/>
              </w:rPr>
              <w:t>(Benefit) provision for income</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(170,273)</w:t>
            </w: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4,801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29,820</w:t>
            </w:r>
          </w:p>
        </w:tc>
        <w:tc>
          <w:tcPr>
            <w:tcW w:w="2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236,327</w:t>
            </w:r>
          </w:p>
        </w:tc>
        <w:tc>
          <w:tcPr>
            <w:tcW w:w="1760" w:type="dxa"/>
            <w:vAlign w:val="bottom"/>
          </w:tcPr>
          <w:p>
            <w:pPr>
              <w:ind w:left="120"/>
              <w:spacing w:after="0" w:line="162" w:lineRule="exact"/>
              <w:rPr>
                <w:sz w:val="20"/>
                <w:szCs w:val="20"/>
                <w:color w:val="auto"/>
              </w:rPr>
            </w:pPr>
            <w:r>
              <w:rPr>
                <w:rFonts w:ascii="Arial" w:cs="Arial" w:eastAsia="Arial" w:hAnsi="Arial"/>
                <w:sz w:val="16"/>
                <w:szCs w:val="16"/>
                <w:color w:val="auto"/>
              </w:rPr>
              <w:t>Provision for income</w:t>
            </w:r>
          </w:p>
        </w:tc>
        <w:tc>
          <w:tcPr>
            <w:tcW w:w="0" w:type="dxa"/>
            <w:vAlign w:val="bottom"/>
          </w:tcPr>
          <w:p>
            <w:pPr>
              <w:spacing w:after="0"/>
              <w:rPr>
                <w:sz w:val="1"/>
                <w:szCs w:val="1"/>
                <w:color w:val="auto"/>
              </w:rPr>
            </w:pPr>
          </w:p>
        </w:tc>
      </w:tr>
      <w:tr>
        <w:trPr>
          <w:trHeight w:val="215"/>
        </w:trPr>
        <w:tc>
          <w:tcPr>
            <w:tcW w:w="28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taxes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143"/>
        </w:trPr>
        <w:tc>
          <w:tcPr>
            <w:tcW w:w="28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Total net reclassifications for the</w:t>
            </w:r>
          </w:p>
        </w:tc>
        <w:tc>
          <w:tcPr>
            <w:tcW w:w="3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640,552</w:t>
            </w: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(18,063)</w:t>
            </w:r>
          </w:p>
        </w:tc>
        <w:tc>
          <w:tcPr>
            <w:tcW w:w="1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(112,181)</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(889,040)</w:t>
            </w: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period</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Unrealized gains (losses) on</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40"/>
              <w:spacing w:after="0" w:line="162" w:lineRule="exact"/>
              <w:rPr>
                <w:sz w:val="20"/>
                <w:szCs w:val="20"/>
                <w:color w:val="auto"/>
              </w:rPr>
            </w:pPr>
            <w:r>
              <w:rPr>
                <w:rFonts w:ascii="Arial" w:cs="Arial" w:eastAsia="Arial" w:hAnsi="Arial"/>
                <w:sz w:val="16"/>
                <w:szCs w:val="16"/>
                <w:color w:val="auto"/>
              </w:rPr>
              <w:t>Realized gain (loss) on sale of</w:t>
            </w:r>
          </w:p>
        </w:tc>
        <w:tc>
          <w:tcPr>
            <w:tcW w:w="30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141,682</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100"/>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(231,522)</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760" w:type="dxa"/>
            <w:vAlign w:val="bottom"/>
            <w:vMerge w:val="restart"/>
          </w:tcPr>
          <w:p>
            <w:pPr>
              <w:ind w:left="120"/>
              <w:spacing w:after="0"/>
              <w:rPr>
                <w:sz w:val="20"/>
                <w:szCs w:val="20"/>
                <w:color w:val="auto"/>
              </w:rPr>
            </w:pPr>
            <w:r>
              <w:rPr>
                <w:rFonts w:ascii="Arial" w:cs="Arial" w:eastAsia="Arial" w:hAnsi="Arial"/>
                <w:sz w:val="16"/>
                <w:szCs w:val="16"/>
                <w:color w:val="auto"/>
              </w:rPr>
              <w:t>Other, net</w:t>
            </w:r>
          </w:p>
        </w:tc>
        <w:tc>
          <w:tcPr>
            <w:tcW w:w="0" w:type="dxa"/>
            <w:vAlign w:val="bottom"/>
          </w:tcPr>
          <w:p>
            <w:pPr>
              <w:spacing w:after="0"/>
              <w:rPr>
                <w:sz w:val="1"/>
                <w:szCs w:val="1"/>
                <w:color w:val="auto"/>
              </w:rPr>
            </w:pPr>
          </w:p>
        </w:tc>
      </w:tr>
      <w:tr>
        <w:trPr>
          <w:trHeight w:val="215"/>
        </w:trPr>
        <w:tc>
          <w:tcPr>
            <w:tcW w:w="2800" w:type="dxa"/>
            <w:vAlign w:val="bottom"/>
          </w:tcPr>
          <w:p>
            <w:pPr>
              <w:ind w:left="240"/>
              <w:spacing w:after="0"/>
              <w:rPr>
                <w:sz w:val="20"/>
                <w:szCs w:val="20"/>
                <w:color w:val="auto"/>
              </w:rPr>
            </w:pPr>
            <w:r>
              <w:rPr>
                <w:rFonts w:ascii="Arial" w:cs="Arial" w:eastAsia="Arial" w:hAnsi="Arial"/>
                <w:sz w:val="16"/>
                <w:szCs w:val="16"/>
                <w:color w:val="auto"/>
              </w:rPr>
              <w:t>settlement of derivatives</w:t>
            </w: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0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(Benefit) provision for income</w:t>
            </w:r>
          </w:p>
        </w:tc>
        <w:tc>
          <w:tcPr>
            <w:tcW w:w="3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(45,976)</w:t>
            </w:r>
          </w:p>
        </w:tc>
        <w:tc>
          <w:tcPr>
            <w:tcW w:w="3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spacing w:after="0"/>
              <w:rPr>
                <w:sz w:val="14"/>
                <w:szCs w:val="14"/>
                <w:color w:val="auto"/>
              </w:rPr>
            </w:pP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75,129</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Provision for income</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taxes</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142"/>
        </w:trPr>
        <w:tc>
          <w:tcPr>
            <w:tcW w:w="2800" w:type="dxa"/>
            <w:vAlign w:val="bottom"/>
          </w:tcPr>
          <w:p>
            <w:pPr>
              <w:ind w:left="20"/>
              <w:spacing w:after="0" w:line="142" w:lineRule="exact"/>
              <w:rPr>
                <w:sz w:val="20"/>
                <w:szCs w:val="20"/>
                <w:color w:val="auto"/>
              </w:rPr>
            </w:pPr>
            <w:r>
              <w:rPr>
                <w:rFonts w:ascii="Arial" w:cs="Arial" w:eastAsia="Arial" w:hAnsi="Arial"/>
                <w:sz w:val="16"/>
                <w:szCs w:val="16"/>
                <w:color w:val="auto"/>
              </w:rPr>
              <w:t>Total net reclassifications for the</w:t>
            </w:r>
          </w:p>
        </w:tc>
        <w:tc>
          <w:tcPr>
            <w:tcW w:w="30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95,706</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100"/>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(156,393)</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20"/>
              <w:spacing w:after="0"/>
              <w:rPr>
                <w:sz w:val="20"/>
                <w:szCs w:val="20"/>
                <w:color w:val="auto"/>
              </w:rPr>
            </w:pPr>
            <w:r>
              <w:rPr>
                <w:rFonts w:ascii="Arial" w:cs="Arial" w:eastAsia="Arial" w:hAnsi="Arial"/>
                <w:sz w:val="16"/>
                <w:szCs w:val="16"/>
                <w:color w:val="auto"/>
              </w:rPr>
              <w:t>period</w:t>
            </w:r>
          </w:p>
        </w:tc>
        <w:tc>
          <w:tcPr>
            <w:tcW w:w="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6"/>
                <w:szCs w:val="16"/>
                <w:color w:val="auto"/>
              </w:rPr>
              <w:t>Total reclassifications for the period</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736,258</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(18,063)</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(268,574)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(889,040)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On February 21, 2023, the Company entered into a credit agreement with PNC as the administrative agent and sole lender, as amended (the "Credit Agreement"), that provides for, among other things, a three-year unsecured revolving credit facility with a borrowing capacity of up to $250.0 million (the "Revolver") that matures on February 21, 2026.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 As of September 30, 2025, there was no outstanding balance on the Revolver. On October 2, 2025, the Company, in the ordinary course of business, amended the Credit Agreement, increasing the borrowing capacity of the Revolver to $350.0 million, and extending the maturity date three years through October 1, 2028. All other sub-limits under the Credit Agreement remain the same.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2025, the Company is in compliance with its covenants under the Credit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Company's subsidiary, VOXX, which was acquired on April 1, 2025 (see </w:t>
      </w:r>
      <w:r>
        <w:rPr>
          <w:rFonts w:ascii="Arial" w:cs="Arial" w:eastAsia="Arial" w:hAnsi="Arial"/>
          <w:sz w:val="18"/>
          <w:szCs w:val="18"/>
          <w:u w:val="single" w:color="auto"/>
          <w:color w:val="0000FF"/>
        </w:rPr>
        <w:t>Note 16</w:t>
      </w:r>
      <w:r>
        <w:rPr>
          <w:rFonts w:ascii="Arial" w:cs="Arial" w:eastAsia="Arial" w:hAnsi="Arial"/>
          <w:sz w:val="18"/>
          <w:szCs w:val="18"/>
          <w:color w:val="auto"/>
        </w:rPr>
        <w:t>), has a loan agreement with the shareholders</w:t>
      </w:r>
    </w:p>
    <w:p>
      <w:pPr>
        <w:spacing w:after="0" w:line="14"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of its joint venture in Onkyo Technology KK ("Onkyo"). The loan balance outstanding at September 30, 2025 was $4.0 million and is included in Short-term debt on the</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accompanying Unaudited Condensed Consolidated Balance Sheet, representing the portion of the loan payable to the joint venture partner. All amounts outstanding under the loan will mature and become payable on September 8, 2031. The loan may be prepaid subject to the approval of the board of directors of the joint venture and must be repaid if either a put or call option is exercised in accordance with the joint venture agreement. The rate of interest for the shareholder loan is 2.5% and the loan is secured by a second priority lien on and secured interest in all assets of Onkyo.</w:t>
      </w:r>
    </w:p>
    <w:p>
      <w:pPr>
        <w:spacing w:after="0" w:line="21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common stock for the nine months ended September 30, 2025, was primarily due to the repurchases of 9.8 million</w:t>
      </w:r>
    </w:p>
    <w:p>
      <w:pPr>
        <w:spacing w:after="0" w:line="36"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shares, partially offset by the issuance of 1.6 million shares of the Company’s common stock, net of cancellations, under the Company’s stock-based compensation plans. The total net decrease for the nine months ended September 30, 2025, was 8.3 million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w:t>
      </w:r>
    </w:p>
    <w:p>
      <w:pPr>
        <w:spacing w:after="0" w:line="22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recorded a cash dividend of $0.120 per share during the third quarter of 2025, as compared to a cash dividend of $0.120 per share during the third quarter of 2024. The third quarter 2025 dividend of $26.3 million was declared on August 22, 2025, and was paid on October 22, 2025.</w:t>
      </w:r>
    </w:p>
    <w:p>
      <w:pPr>
        <w:spacing w:after="0" w:line="209"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for example,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April 1, 2025, the Company completed its acquisition of VOXX (</w:t>
      </w:r>
      <w:r>
        <w:rPr>
          <w:rFonts w:ascii="Arial" w:cs="Arial" w:eastAsia="Arial" w:hAnsi="Arial"/>
          <w:sz w:val="18"/>
          <w:szCs w:val="18"/>
          <w:u w:val="single" w:color="auto"/>
          <w:color w:val="0000FF"/>
        </w:rPr>
        <w:t>see Note 16</w:t>
      </w:r>
      <w:r>
        <w:rPr>
          <w:rFonts w:ascii="Arial" w:cs="Arial" w:eastAsia="Arial" w:hAnsi="Arial"/>
          <w:sz w:val="18"/>
          <w:szCs w:val="18"/>
          <w:color w:val="auto"/>
        </w:rPr>
        <w:t>). As part of the acquisition, VOXX as acquired, maintained responsibility for a legal proceeding in which VOXX was named a defendant prior to the acquisition date and the Company recorded a provisional liability as part of the purchase price allocation, based on a preliminary estimate of the fair value of the assumed obligation. The Company will continue to monitor the status of such litigation and adjust this provisional liability, as appropriate, as additional information becomes available or the matter is resolved. Any changes in such liability will be reflected as a purchase price allocation adjustment during the measurement period, or as a charge to earnings if outside the measurement period.</w:t>
      </w:r>
    </w:p>
    <w:p>
      <w:pPr>
        <w:spacing w:after="0" w:line="209"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00" w:lineRule="exact"/>
        <w:rPr>
          <w:sz w:val="20"/>
          <w:szCs w:val="20"/>
          <w:color w:val="auto"/>
        </w:rPr>
      </w:pPr>
    </w:p>
    <w:p>
      <w:pPr>
        <w:spacing w:after="0" w:line="20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requires that a public business entity report financial and descriptive information about its reportable operating segments, subject to certain aggregation criteria and quantitative thresholds. Operating segments are defined by ASC 280 as components of a public business entity about which separate financial information is available that is evaluated regularly by the chief operating decision-maker ("CODM") in deciding how to allocate resources and in assessing performance. The Company's CODM is its Chief Executive Officer. The CODM evaluates performance and allocates resources based upon a number of factors, including the nature of the business, relevant industry, and profitability of the same, with the primary profit measure being income (loss) from operations of each segment. The CODM uses this information to evaluate the profitability of the Company's reportable segments and make decisions on future business plans.</w:t>
      </w:r>
    </w:p>
    <w:p>
      <w:pPr>
        <w:spacing w:after="0" w:line="11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In connection with the acquisition of VOXX (see </w:t>
      </w:r>
      <w:r>
        <w:rPr>
          <w:rFonts w:ascii="Arial" w:cs="Arial" w:eastAsia="Arial" w:hAnsi="Arial"/>
          <w:sz w:val="18"/>
          <w:szCs w:val="18"/>
          <w:u w:val="single" w:color="auto"/>
          <w:color w:val="0000FF"/>
        </w:rPr>
        <w:t>Note 16</w:t>
      </w:r>
      <w:r>
        <w:rPr>
          <w:rFonts w:ascii="Arial" w:cs="Arial" w:eastAsia="Arial" w:hAnsi="Arial"/>
          <w:sz w:val="18"/>
          <w:szCs w:val="18"/>
          <w:color w:val="auto"/>
        </w:rPr>
        <w:t>), effective April 1, 2025, the Company reorganized its financial reporting into nine distinct operating segments based on its products and internal organizational structure. These operating segments are disclosed by the Company under three reportable segments, which are Automotive Products, Premium Audio Products, and Other. The Company's Automotive Products segment develops and manufactures digital vision and connected car products and electronics, including: automatic-dimming rearview mirrors with and without electronic features; non-auto dimming rearview mirrors with and without electronic features; and other electronics. The Company's Premium Audio Products</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segment designs, manufactures, markets, and distributes high quality audio equipment designed to deliver superior sound quality and performance, including premium loudspeakers, architectural speakers, commercial and cinema speakers, wireless and Bluetooth speakers, A/V receivers, and home theater systems. The Company's Other segment includes the operating segments of</w:t>
      </w:r>
    </w:p>
    <w:p>
      <w:pPr>
        <w:jc w:val="both"/>
        <w:spacing w:after="0" w:line="268" w:lineRule="auto"/>
        <w:rPr>
          <w:sz w:val="20"/>
          <w:szCs w:val="20"/>
          <w:color w:val="auto"/>
        </w:rPr>
      </w:pPr>
      <w:r>
        <w:rPr>
          <w:rFonts w:ascii="Arial" w:cs="Arial" w:eastAsia="Arial" w:hAnsi="Arial"/>
          <w:sz w:val="18"/>
          <w:szCs w:val="18"/>
          <w:color w:val="auto"/>
        </w:rPr>
        <w:t>Fire Protection, Dimmable Aircraft Windows, Nanofiber, Medical, Aftermarket, Consumer Electronics, and Biometrics. As there was no change to legacy operating segments of Gentex or how the legacy operations are organized and evaluated by the CODM, the Company determined it is not necessary to recast its prior year segment presentation or perform goodwill impairment testing.</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segments share many common resources, infrastructures, and assets in the normal course of business. Thus, the Company does not report assets or capital expenditures by segment to the CODM.</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line="279" w:lineRule="auto"/>
        <w:rPr>
          <w:sz w:val="20"/>
          <w:szCs w:val="20"/>
          <w:color w:val="auto"/>
        </w:rPr>
      </w:pPr>
      <w:r>
        <w:rPr>
          <w:rFonts w:ascii="Arial" w:cs="Arial" w:eastAsia="Arial" w:hAnsi="Arial"/>
          <w:sz w:val="18"/>
          <w:szCs w:val="18"/>
          <w:color w:val="auto"/>
        </w:rPr>
        <w:t>The table below presents net sales and the significant expense categories that are included in reportable segment operating profit, which are regularly provided to the CODM:</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06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3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r>
      <w:tr>
        <w:trPr>
          <w:trHeight w:val="197"/>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5"/>
        </w:trPr>
        <w:tc>
          <w:tcPr>
            <w:tcW w:w="3000" w:type="dxa"/>
            <w:vAlign w:val="bottom"/>
          </w:tcPr>
          <w:p>
            <w:pPr>
              <w:ind w:left="240"/>
              <w:spacing w:after="0"/>
              <w:rPr>
                <w:sz w:val="20"/>
                <w:szCs w:val="20"/>
                <w:color w:val="auto"/>
              </w:rPr>
            </w:pPr>
            <w:r>
              <w:rPr>
                <w:rFonts w:ascii="Arial" w:cs="Arial" w:eastAsia="Arial" w:hAnsi="Arial"/>
                <w:sz w:val="16"/>
                <w:szCs w:val="16"/>
                <w:color w:val="auto"/>
              </w:rPr>
              <w:t>Automotive Products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573,660,188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596,519,398</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1,715,653,473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1,733,411,689</w:t>
            </w:r>
          </w:p>
        </w:tc>
      </w:tr>
      <w:tr>
        <w:trPr>
          <w:trHeight w:val="217"/>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Premium Audio Products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42,992,354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87,482,951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38,583,513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12,006,379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86,730,931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38,265,077</w:t>
            </w:r>
          </w:p>
        </w:tc>
      </w:tr>
      <w:tr>
        <w:trPr>
          <w:trHeight w:val="235"/>
        </w:trPr>
        <w:tc>
          <w:tcPr>
            <w:tcW w:w="3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655,236,055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608,525,777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1,889,867,355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1,771,676,766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3000" w:type="dxa"/>
            <w:vAlign w:val="bottom"/>
          </w:tcPr>
          <w:p>
            <w:pPr>
              <w:ind w:left="240"/>
              <w:spacing w:after="0"/>
              <w:rPr>
                <w:sz w:val="20"/>
                <w:szCs w:val="20"/>
                <w:color w:val="auto"/>
              </w:rPr>
            </w:pPr>
            <w:r>
              <w:rPr>
                <w:rFonts w:ascii="Arial" w:cs="Arial" w:eastAsia="Arial" w:hAnsi="Arial"/>
                <w:sz w:val="16"/>
                <w:szCs w:val="16"/>
                <w:color w:val="auto"/>
              </w:rPr>
              <w:t>Automotive Products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374,591,271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395,282,875</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1,122,538,332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1,150,575,042</w:t>
            </w:r>
          </w:p>
        </w:tc>
      </w:tr>
      <w:tr>
        <w:trPr>
          <w:trHeight w:val="217"/>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Premium Audio Products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28,406,743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61,019,228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27,071,304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9,179,267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64,118,568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26,237,173</w:t>
            </w:r>
          </w:p>
        </w:tc>
      </w:tr>
      <w:tr>
        <w:trPr>
          <w:trHeight w:val="235"/>
        </w:trPr>
        <w:tc>
          <w:tcPr>
            <w:tcW w:w="3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430,069,318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404,462,142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1,247,676,128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1,176,812,215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3000" w:type="dxa"/>
            <w:vAlign w:val="bottom"/>
          </w:tcPr>
          <w:p>
            <w:pPr>
              <w:ind w:left="240"/>
              <w:spacing w:after="0"/>
              <w:rPr>
                <w:sz w:val="20"/>
                <w:szCs w:val="20"/>
                <w:color w:val="auto"/>
              </w:rPr>
            </w:pPr>
            <w:r>
              <w:rPr>
                <w:rFonts w:ascii="Arial" w:cs="Arial" w:eastAsia="Arial" w:hAnsi="Arial"/>
                <w:sz w:val="16"/>
                <w:szCs w:val="16"/>
                <w:color w:val="auto"/>
              </w:rPr>
              <w:t>Automotive Products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73,232,152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72,860,888</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220,905,765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210,262,699</w:t>
            </w:r>
          </w:p>
        </w:tc>
      </w:tr>
      <w:tr>
        <w:trPr>
          <w:trHeight w:val="217"/>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Premium Audio Products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12,651,360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26,616,121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16,956,287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5,474,595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40,835,162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14,643,366</w:t>
            </w:r>
          </w:p>
        </w:tc>
      </w:tr>
      <w:tr>
        <w:trPr>
          <w:trHeight w:val="235"/>
        </w:trPr>
        <w:tc>
          <w:tcPr>
            <w:tcW w:w="3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102,839,799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78,335,483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288,357,048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224,906,065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3000" w:type="dxa"/>
            <w:vAlign w:val="bottom"/>
          </w:tcPr>
          <w:p>
            <w:pPr>
              <w:ind w:left="240"/>
              <w:spacing w:after="0"/>
              <w:rPr>
                <w:sz w:val="20"/>
                <w:szCs w:val="20"/>
                <w:color w:val="auto"/>
              </w:rPr>
            </w:pPr>
            <w:r>
              <w:rPr>
                <w:rFonts w:ascii="Arial" w:cs="Arial" w:eastAsia="Arial" w:hAnsi="Arial"/>
                <w:sz w:val="16"/>
                <w:szCs w:val="16"/>
                <w:color w:val="auto"/>
              </w:rPr>
              <w:t>Automotive Products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23,654,331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21,128,113</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71,687,923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65,221,810</w:t>
            </w:r>
          </w:p>
        </w:tc>
      </w:tr>
      <w:tr>
        <w:trPr>
          <w:trHeight w:val="217"/>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Premium Audio Products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000" w:type="dxa"/>
            <w:vAlign w:val="bottom"/>
          </w:tcPr>
          <w:p>
            <w:pPr>
              <w:ind w:left="24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839,978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638,811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2,771,198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2,077,716</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Corporate</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1,419,045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1,178,239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4,166,143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3,587,768</w:t>
            </w:r>
          </w:p>
        </w:tc>
      </w:tr>
      <w:tr>
        <w:trPr>
          <w:trHeight w:val="210"/>
        </w:trPr>
        <w:tc>
          <w:tcPr>
            <w:tcW w:w="3000" w:type="dxa"/>
            <w:vAlign w:val="bottom"/>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25,928,524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22,945,163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78,808,967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70,887,294</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300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Automotive Products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124,873,920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128,375,635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372,209,376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372,573,948</w:t>
            </w:r>
          </w:p>
        </w:tc>
      </w:tr>
      <w:tr>
        <w:trPr>
          <w:trHeight w:val="215"/>
        </w:trPr>
        <w:tc>
          <w:tcPr>
            <w:tcW w:w="3000" w:type="dxa"/>
            <w:vAlign w:val="bottom"/>
          </w:tcPr>
          <w:p>
            <w:pPr>
              <w:ind w:left="240"/>
              <w:spacing w:after="0"/>
              <w:rPr>
                <w:sz w:val="20"/>
                <w:szCs w:val="20"/>
                <w:color w:val="auto"/>
              </w:rPr>
            </w:pPr>
            <w:r>
              <w:rPr>
                <w:rFonts w:ascii="Arial" w:cs="Arial" w:eastAsia="Arial" w:hAnsi="Arial"/>
                <w:sz w:val="16"/>
                <w:szCs w:val="16"/>
                <w:color w:val="auto"/>
              </w:rPr>
              <w:t>Premium Audio Products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1,934,251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(152,398)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(4,481,233)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(2,647,483)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(18,222,799)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(2,615,462)</w:t>
            </w:r>
          </w:p>
        </w:tc>
      </w:tr>
      <w:tr>
        <w:trPr>
          <w:trHeight w:val="210"/>
        </w:trPr>
        <w:tc>
          <w:tcPr>
            <w:tcW w:w="3000" w:type="dxa"/>
            <w:vAlign w:val="bottom"/>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122,326,938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125,728,152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353,834,179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369,958,486</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3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ind w:left="900" w:right="1280" w:hanging="10"/>
        <w:spacing w:after="0" w:line="250" w:lineRule="auto"/>
        <w:tabs>
          <w:tab w:leader="none" w:pos="1143" w:val="left"/>
        </w:tabs>
        <w:numPr>
          <w:ilvl w:val="1"/>
          <w:numId w:val="17"/>
        </w:numPr>
        <w:rPr>
          <w:rFonts w:ascii="Arial" w:cs="Arial" w:eastAsia="Arial" w:hAnsi="Arial"/>
          <w:sz w:val="16"/>
          <w:szCs w:val="16"/>
          <w:color w:val="auto"/>
        </w:rPr>
      </w:pPr>
      <w:r>
        <w:rPr>
          <w:rFonts w:ascii="Arial" w:cs="Arial" w:eastAsia="Arial" w:hAnsi="Arial"/>
          <w:sz w:val="16"/>
          <w:szCs w:val="16"/>
          <w:color w:val="auto"/>
        </w:rPr>
        <w:t>Operating expenses represent expenses that are included in the segment Income (Loss) from operations measure, such as Selling, general and administrative expenses, as well as Engineering, research and development expenses.</w:t>
      </w:r>
    </w:p>
    <w:p>
      <w:pPr>
        <w:spacing w:after="0" w:line="200" w:lineRule="exact"/>
        <w:rPr>
          <w:rFonts w:ascii="Arial" w:cs="Arial" w:eastAsia="Arial" w:hAnsi="Arial"/>
          <w:sz w:val="16"/>
          <w:szCs w:val="16"/>
          <w:color w:val="auto"/>
        </w:rPr>
      </w:pPr>
    </w:p>
    <w:p>
      <w:pPr>
        <w:spacing w:after="0" w:line="342" w:lineRule="exact"/>
        <w:rPr>
          <w:rFonts w:ascii="Arial" w:cs="Arial" w:eastAsia="Arial" w:hAnsi="Arial"/>
          <w:sz w:val="16"/>
          <w:szCs w:val="16"/>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effective tax rate was 16.3% for the three months ended September 30, 2025, compared to an effective tax rate of 15.7% for the three months ended September 30, 2024. The effective tax rate was 16.7% for the nine months ended September 30, 2025, compared to an effective tax rate of 15.4% for the same period in 2024. Change in the effective tax rates during these periods were driven by lower tax benefits on stock-based compensation in the 2025 periods, compared to the 2024 periods. Generally, effective tax rates for these periods differ from statutory federal income tax rates due to provisions for state and local income</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taxes, the foreign-derived intangible income tax deduction, and research and development tax credits.</w:t>
      </w:r>
    </w:p>
    <w:p>
      <w:pPr>
        <w:spacing w:after="0" w:line="252"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following table shows the Company’s Automotive revenue, Premium Audio revenue and Other revenue disaggregated by geographical location for Automotive and Premium Audio Products for the three and nine months ended September 30, 2025 and 2024 (which did not include VOXX), respectively:</w:t>
      </w:r>
    </w:p>
    <w:p>
      <w:pPr>
        <w:spacing w:after="0" w:line="5"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31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r>
      <w:tr>
        <w:trPr>
          <w:trHeight w:val="224"/>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2880" w:type="dxa"/>
            <w:vAlign w:val="bottom"/>
          </w:tcPr>
          <w:p>
            <w:pPr>
              <w:ind w:left="12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194,079,001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170,939,124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529,664,401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501,028,383</w:t>
            </w:r>
          </w:p>
        </w:tc>
      </w:tr>
      <w:tr>
        <w:trPr>
          <w:trHeight w:val="229"/>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94,926,206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100,415,089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289,386,190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271,681,510</w:t>
            </w:r>
          </w:p>
        </w:tc>
      </w:tr>
      <w:tr>
        <w:trPr>
          <w:trHeight w:val="230"/>
        </w:trPr>
        <w:tc>
          <w:tcPr>
            <w:tcW w:w="2880" w:type="dxa"/>
            <w:vAlign w:val="bottom"/>
          </w:tcPr>
          <w:p>
            <w:pPr>
              <w:ind w:left="12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55,762,738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69,610,212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188,443,494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216,815,930</w:t>
            </w:r>
          </w:p>
        </w:tc>
      </w:tr>
      <w:tr>
        <w:trPr>
          <w:trHeight w:val="229"/>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Korea</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45,200,046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41,644,963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140,006,326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126,797,525</w:t>
            </w:r>
          </w:p>
        </w:tc>
      </w:tr>
      <w:tr>
        <w:trPr>
          <w:trHeight w:val="229"/>
        </w:trPr>
        <w:tc>
          <w:tcPr>
            <w:tcW w:w="2880" w:type="dxa"/>
            <w:vAlign w:val="bottom"/>
          </w:tcPr>
          <w:p>
            <w:pPr>
              <w:ind w:left="120"/>
              <w:spacing w:after="0"/>
              <w:rPr>
                <w:sz w:val="20"/>
                <w:szCs w:val="20"/>
                <w:color w:val="auto"/>
              </w:rPr>
            </w:pPr>
            <w:r>
              <w:rPr>
                <w:rFonts w:ascii="Arial" w:cs="Arial" w:eastAsia="Arial" w:hAnsi="Arial"/>
                <w:sz w:val="18"/>
                <w:szCs w:val="18"/>
                <w:color w:val="auto"/>
              </w:rPr>
              <w:t>Mexico</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49,303,782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57,803,114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142,655,314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143,380,199</w:t>
            </w:r>
          </w:p>
        </w:tc>
      </w:tr>
      <w:tr>
        <w:trPr>
          <w:trHeight w:val="230"/>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39,107,300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55,123,069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115,143,249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153,425,003</w:t>
            </w:r>
          </w:p>
        </w:tc>
      </w:tr>
      <w:tr>
        <w:trPr>
          <w:trHeight w:val="229"/>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95,281,115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100,983,827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310,354,499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320,283,139</w:t>
            </w: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573,660,188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596,519,398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1,715,653,473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1,733,411,689</w:t>
            </w:r>
          </w:p>
        </w:tc>
      </w:tr>
      <w:tr>
        <w:trPr>
          <w:trHeight w:val="148"/>
        </w:trPr>
        <w:tc>
          <w:tcPr>
            <w:tcW w:w="2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Audio Products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2880" w:type="dxa"/>
            <w:vAlign w:val="bottom"/>
          </w:tcPr>
          <w:p>
            <w:pPr>
              <w:ind w:left="12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20,855,043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50,788,155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22,137,311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36,694,796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Total Premium Audio Products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42,992,354</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87,482,951</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49"/>
        </w:trPr>
        <w:tc>
          <w:tcPr>
            <w:tcW w:w="2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2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38,583,513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12,006,379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86,730,931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38,265,077</w:t>
            </w:r>
          </w:p>
        </w:tc>
      </w:tr>
      <w:tr>
        <w:trPr>
          <w:trHeight w:val="24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655,236,055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608,525,777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1,889,867,355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1,771,676,766</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global supply chain constraints; unexpected changes in laws, regulations, and trade, monetary, or fiscal policy, including interest rates, foreign currency exchange rates, and changes in the rate of inflation in the U.S. and other foreign countries; labor strikes; armed conflicts and acts of terrorism and war; tariffs, quotas, customs, and other import or export restrictions; and other trade barriers.</w:t>
      </w:r>
    </w:p>
    <w:p>
      <w:pPr>
        <w:spacing w:after="0" w:line="206" w:lineRule="exact"/>
        <w:rPr>
          <w:sz w:val="20"/>
          <w:szCs w:val="20"/>
          <w:color w:val="auto"/>
        </w:rPr>
      </w:pPr>
    </w:p>
    <w:p>
      <w:pPr>
        <w:ind w:left="660" w:right="80"/>
        <w:spacing w:after="0" w:line="287" w:lineRule="auto"/>
        <w:rPr>
          <w:sz w:val="20"/>
          <w:szCs w:val="20"/>
          <w:color w:val="auto"/>
        </w:rPr>
      </w:pPr>
      <w:r>
        <w:rPr>
          <w:rFonts w:ascii="Arial" w:cs="Arial" w:eastAsia="Arial" w:hAnsi="Arial"/>
          <w:sz w:val="18"/>
          <w:szCs w:val="18"/>
          <w:color w:val="auto"/>
        </w:rPr>
        <w:t>The following table disaggregates the Company’s Automotive, Premium Audio, and Other revenue by major source for the three and nine months ended September 30, 2025 and 2024 (which did not include VOXX),</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7"/>
                <w:szCs w:val="17"/>
                <w:color w:val="auto"/>
              </w:rPr>
            </w:pPr>
          </w:p>
        </w:tc>
        <w:tc>
          <w:tcPr>
            <w:tcW w:w="30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30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2"/>
        </w:trPr>
        <w:tc>
          <w:tcPr>
            <w:tcW w:w="33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543,621,123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559,477,924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1,622,650,500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1,640,221,054</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30,039,065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37,041,474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93,002,973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93,190,635</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573,660,188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596,519,398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1,715,653,473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1,733,411,689</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Premium Audio Products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Premium Speaker Products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30,733,817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63,164,308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Premium Receiver Products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12,258,537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24,318,643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Premium Audio Products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42,992,354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87,482,951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40"/>
              <w:spacing w:after="0"/>
              <w:rPr>
                <w:sz w:val="20"/>
                <w:szCs w:val="20"/>
                <w:color w:val="auto"/>
              </w:rPr>
            </w:pPr>
            <w:r>
              <w:rPr>
                <w:rFonts w:ascii="Arial" w:cs="Arial" w:eastAsia="Arial" w:hAnsi="Arial"/>
                <w:sz w:val="18"/>
                <w:szCs w:val="18"/>
                <w:color w:val="auto"/>
              </w:rPr>
              <w:t>Fire Protection Products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5,380,623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6,924,748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20,180,600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21,114,450</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Windows Products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12,738,913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16,329,426</w:t>
            </w: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Medical Products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323,712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809,598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955,968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821,201</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Aftermarket Products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18,579,363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33,802,443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Consumer Electronic Products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7,693,064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15,170,103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Biometric Products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3,882,904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Other</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38,583,513</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12,006,379</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86,730,931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38,265,077</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655,236,055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608,525,777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1,889,867,355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1,771,676,766</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24078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40780" cy="1460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Incentives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conjunction with the acquisition of VOXX on April 1, 2025, the Company assumed liabilities for sales incentives valued at $13.4 million. Sales incentives are offered to customers in the form of (1) co-operative advertising allowances; (2) market development funds; (3) volume incentive rebates; and (4) other trade allowances. The Company accounts for sales incentives in accordance with ASC 606 "Revenue from Contracts with Customers" ("ASC 606"). These sales incentives represent variable consideration provided to customers. Depending on the specific facts and circumstances, either the most likely amount or expected value methods are utilized to estimate the effect of uncertainty on the amount of variable consideration to which the Company would be entitled. The most likely amount method considers the single most likely amount from a range of possible consideration amounts, while the expected value method is the sum of the probability-weighted amounts in a range of possible consideration amounts. Both methods are based upon the contractual terms of the incentives and historical experience with each customer. Except for other trade allowances, all sales incentives require the customer to purchase the Company's products during a specified period of time. All sales incentives require customers to claim the sales incentive within a certain time period (referred to as the "claim period") and claims are settled either by the customer claiming a deduction against an outstanding account receivable or by the customer requesting a cash payout. All costs associated with sales incentives are classified as a reduction of net sales. Although the Company makes its best estimate of its sales incentive liability, many factors, including significant unanticipated changes in the purchasing volume of its customers and the lack of claims made by customers, could have a significant impact on the sales incentives liability and reported operating results. The balance of accrued sales incentives at September 30, 2025 was $14.9 million and is included within Accrued liabilities on the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operating leases for certain sales, manufacturing, and engineering offices, as well as other vehicles and equipment, which are included within "Plant and Equipment - Net" on the Unaudited Condensed Consolidated Balance Sheets. The leases have remaining lease terms of less than 1 year to 7 years. The weighted average remaining lease term for operating leases as of September 30, 2025, was 3 years, with a weighted average discount rate of 5.1%</w:t>
      </w:r>
      <w:r>
        <w:rPr>
          <w:rFonts w:ascii="Arial" w:cs="Arial" w:eastAsia="Arial" w:hAnsi="Arial"/>
          <w:sz w:val="18"/>
          <w:szCs w:val="18"/>
          <w:color w:val="FAAC16"/>
        </w:rPr>
        <w: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September 30,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620649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06490" cy="1289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2064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(excluding the nine months ended September 30, 2025)</w:t>
            </w:r>
          </w:p>
        </w:tc>
        <w:tc>
          <w:tcPr>
            <w:tcW w:w="8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1,301,736</w:t>
            </w:r>
          </w:p>
        </w:tc>
        <w:tc>
          <w:tcPr>
            <w:tcW w:w="60" w:type="dxa"/>
            <w:vAlign w:val="bottom"/>
          </w:tcPr>
          <w:p>
            <w:pPr>
              <w:spacing w:after="0"/>
              <w:rPr>
                <w:sz w:val="19"/>
                <w:szCs w:val="19"/>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3,235,466</w:t>
            </w:r>
          </w:p>
        </w:tc>
        <w:tc>
          <w:tcPr>
            <w:tcW w:w="6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2,160,795</w:t>
            </w:r>
          </w:p>
        </w:tc>
        <w:tc>
          <w:tcPr>
            <w:tcW w:w="60" w:type="dxa"/>
            <w:vAlign w:val="bottom"/>
          </w:tcPr>
          <w:p>
            <w:pPr>
              <w:spacing w:after="0"/>
              <w:rPr>
                <w:sz w:val="19"/>
                <w:szCs w:val="19"/>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1,668,518</w:t>
            </w:r>
          </w:p>
        </w:tc>
        <w:tc>
          <w:tcPr>
            <w:tcW w:w="6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782,693</w:t>
            </w:r>
          </w:p>
        </w:tc>
        <w:tc>
          <w:tcPr>
            <w:tcW w:w="60" w:type="dxa"/>
            <w:vAlign w:val="bottom"/>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420,920</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9,570,128</w:t>
            </w:r>
          </w:p>
        </w:tc>
        <w:tc>
          <w:tcPr>
            <w:tcW w:w="60" w:type="dxa"/>
            <w:vAlign w:val="bottom"/>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(670,111)</w:t>
            </w:r>
          </w:p>
        </w:tc>
        <w:tc>
          <w:tcPr>
            <w:tcW w:w="60" w:type="dxa"/>
            <w:vAlign w:val="bottom"/>
          </w:tcPr>
          <w:p>
            <w:pPr>
              <w:spacing w:after="0"/>
              <w:rPr>
                <w:sz w:val="19"/>
                <w:szCs w:val="19"/>
                <w:color w:val="auto"/>
              </w:rPr>
            </w:pPr>
          </w:p>
        </w:tc>
      </w:tr>
      <w:tr>
        <w:trPr>
          <w:trHeight w:val="248"/>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8,900,017</w:t>
            </w:r>
          </w:p>
        </w:tc>
        <w:tc>
          <w:tcPr>
            <w:tcW w:w="60" w:type="dxa"/>
            <w:vAlign w:val="bottom"/>
          </w:tcPr>
          <w:p>
            <w:pPr>
              <w:spacing w:after="0"/>
              <w:rPr>
                <w:sz w:val="21"/>
                <w:szCs w:val="2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2"/>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September 30, 2025</w:t>
            </w:r>
          </w:p>
        </w:tc>
        <w:tc>
          <w:tcPr>
            <w:tcW w:w="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r>
        <w:trPr>
          <w:trHeight w:val="251"/>
        </w:trPr>
        <w:tc>
          <w:tcPr>
            <w:tcW w:w="7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3,438,583</w:t>
            </w:r>
          </w:p>
        </w:tc>
        <w:tc>
          <w:tcPr>
            <w:tcW w:w="60" w:type="dxa"/>
            <w:vAlign w:val="bottom"/>
            <w:shd w:val="clear" w:color="auto" w:fill="CCEEFF"/>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5,461,434</w:t>
            </w:r>
          </w:p>
        </w:tc>
        <w:tc>
          <w:tcPr>
            <w:tcW w:w="60" w:type="dxa"/>
            <w:vAlign w:val="bottom"/>
            <w:tcBorders>
              <w:bottom w:val="single" w:sz="8" w:color="auto"/>
            </w:tcBorders>
          </w:tcPr>
          <w:p>
            <w:pPr>
              <w:spacing w:after="0"/>
              <w:rPr>
                <w:sz w:val="19"/>
                <w:szCs w:val="19"/>
                <w:color w:val="auto"/>
              </w:rPr>
            </w:pPr>
          </w:p>
        </w:tc>
      </w:tr>
      <w:tr>
        <w:trPr>
          <w:trHeight w:val="248"/>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8,900,017</w:t>
            </w:r>
          </w:p>
        </w:tc>
        <w:tc>
          <w:tcPr>
            <w:tcW w:w="60" w:type="dxa"/>
            <w:vAlign w:val="bottom"/>
            <w:tcBorders>
              <w:bottom w:val="single" w:sz="8" w:color="auto"/>
            </w:tcBorders>
            <w:shd w:val="clear" w:color="auto" w:fill="CCEEFF"/>
          </w:tcPr>
          <w:p>
            <w:pPr>
              <w:spacing w:after="0"/>
              <w:rPr>
                <w:sz w:val="21"/>
                <w:szCs w:val="2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Acquisitions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BioConnect Inc.</w:t>
      </w:r>
    </w:p>
    <w:p>
      <w:pPr>
        <w:spacing w:after="0" w:line="25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On July 1, 2025, in the ordinary course of business, the Company completed its acquisition of BioConnect Inc. ("BioConnect"), for a purchase price of $13.0 million, subject to adjustment for working capital plus related transaction fees and expenses. BioConnect is a multi-modal biometric authentication platform provider for access control, and the Company intends to utilize the acquisition to expand its reach in the biometric industry. The acquisition was accounted for under the acquisition method of accounting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and accordingly, the results of operations and cash flows for BioConnect have been included in the Company's Unaudited Condensed Consolidated Financial Statements since July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summarizes the preliminary allocation of the BioConnect purchase price based on the fair value of the assets acquired and liabilities assumed, as of July 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July 1, 2025</w:t>
            </w:r>
          </w:p>
        </w:tc>
      </w:tr>
      <w:tr>
        <w:trPr>
          <w:trHeight w:val="250"/>
        </w:trPr>
        <w:tc>
          <w:tcPr>
            <w:tcW w:w="7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7380" w:type="dxa"/>
            <w:vAlign w:val="bottom"/>
          </w:tcPr>
          <w:p>
            <w:pPr>
              <w:ind w:left="160"/>
              <w:spacing w:after="0"/>
              <w:rPr>
                <w:sz w:val="20"/>
                <w:szCs w:val="20"/>
                <w:color w:val="auto"/>
              </w:rPr>
            </w:pPr>
            <w:r>
              <w:rPr>
                <w:rFonts w:ascii="Arial" w:cs="Arial" w:eastAsia="Arial" w:hAnsi="Arial"/>
                <w:sz w:val="18"/>
                <w:szCs w:val="18"/>
                <w:color w:val="auto"/>
              </w:rPr>
              <w:t>Cash paid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12,996,275</w:t>
            </w:r>
          </w:p>
        </w:tc>
      </w:tr>
      <w:tr>
        <w:trPr>
          <w:trHeight w:val="229"/>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cash acquired</w:t>
            </w:r>
          </w:p>
        </w:tc>
        <w:tc>
          <w:tcPr>
            <w:tcW w:w="4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(113,545)</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Total transaction consideration, net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12,882,730</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37"/>
        </w:trPr>
        <w:tc>
          <w:tcPr>
            <w:tcW w:w="7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Preliminary Allocation:</w:t>
            </w: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73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1,836,809</w:t>
            </w:r>
          </w:p>
        </w:tc>
      </w:tr>
      <w:tr>
        <w:trPr>
          <w:trHeight w:val="230"/>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1,176,471</w:t>
            </w:r>
          </w:p>
        </w:tc>
      </w:tr>
      <w:tr>
        <w:trPr>
          <w:trHeight w:val="229"/>
        </w:trPr>
        <w:tc>
          <w:tcPr>
            <w:tcW w:w="73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111,143</w:t>
            </w:r>
          </w:p>
        </w:tc>
      </w:tr>
      <w:tr>
        <w:trPr>
          <w:trHeight w:val="230"/>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63,866</w:t>
            </w:r>
          </w:p>
        </w:tc>
      </w:tr>
      <w:tr>
        <w:trPr>
          <w:trHeight w:val="229"/>
        </w:trPr>
        <w:tc>
          <w:tcPr>
            <w:tcW w:w="7380" w:type="dxa"/>
            <w:vAlign w:val="bottom"/>
          </w:tcPr>
          <w:p>
            <w:pPr>
              <w:ind w:left="160"/>
              <w:spacing w:after="0"/>
              <w:rPr>
                <w:sz w:val="20"/>
                <w:szCs w:val="20"/>
                <w:color w:val="auto"/>
              </w:rPr>
            </w:pPr>
            <w:r>
              <w:rPr>
                <w:rFonts w:ascii="Arial" w:cs="Arial" w:eastAsia="Arial" w:hAnsi="Arial"/>
                <w:sz w:val="18"/>
                <w:szCs w:val="18"/>
                <w:color w:val="auto"/>
              </w:rPr>
              <w:t>Trade names and trademarks</w:t>
            </w:r>
          </w:p>
        </w:tc>
        <w:tc>
          <w:tcPr>
            <w:tcW w:w="4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882,353</w:t>
            </w:r>
          </w:p>
        </w:tc>
      </w:tr>
      <w:tr>
        <w:trPr>
          <w:trHeight w:val="229"/>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Developed technology</w:t>
            </w: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6,617,647</w:t>
            </w:r>
          </w:p>
        </w:tc>
      </w:tr>
      <w:tr>
        <w:trPr>
          <w:trHeight w:val="230"/>
        </w:trPr>
        <w:tc>
          <w:tcPr>
            <w:tcW w:w="73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4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1,764,706</w:t>
            </w:r>
          </w:p>
        </w:tc>
      </w:tr>
      <w:tr>
        <w:trPr>
          <w:trHeight w:val="229"/>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3,399,491</w:t>
            </w:r>
          </w:p>
        </w:tc>
      </w:tr>
      <w:tr>
        <w:trPr>
          <w:trHeight w:val="223"/>
        </w:trPr>
        <w:tc>
          <w:tcPr>
            <w:tcW w:w="73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 acquired, excluding cash</w:t>
            </w:r>
          </w:p>
        </w:tc>
        <w:tc>
          <w:tcPr>
            <w:tcW w:w="4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15,852,486</w:t>
            </w:r>
          </w:p>
        </w:tc>
      </w:tr>
      <w:tr>
        <w:trPr>
          <w:trHeight w:val="250"/>
        </w:trPr>
        <w:tc>
          <w:tcPr>
            <w:tcW w:w="7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603,234</w:t>
            </w:r>
          </w:p>
        </w:tc>
      </w:tr>
      <w:tr>
        <w:trPr>
          <w:trHeight w:val="229"/>
        </w:trPr>
        <w:tc>
          <w:tcPr>
            <w:tcW w:w="738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369,074</w:t>
            </w:r>
          </w:p>
        </w:tc>
      </w:tr>
      <w:tr>
        <w:trPr>
          <w:trHeight w:val="230"/>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1,997,448</w:t>
            </w:r>
          </w:p>
        </w:tc>
      </w:tr>
      <w:tr>
        <w:trPr>
          <w:trHeight w:val="223"/>
        </w:trPr>
        <w:tc>
          <w:tcPr>
            <w:tcW w:w="7380" w:type="dxa"/>
            <w:vAlign w:val="bottom"/>
          </w:tcPr>
          <w:p>
            <w:pPr>
              <w:ind w:left="320"/>
              <w:spacing w:after="0"/>
              <w:rPr>
                <w:sz w:val="20"/>
                <w:szCs w:val="20"/>
                <w:color w:val="auto"/>
              </w:rPr>
            </w:pPr>
            <w:r>
              <w:rPr>
                <w:rFonts w:ascii="Arial" w:cs="Arial" w:eastAsia="Arial" w:hAnsi="Arial"/>
                <w:sz w:val="18"/>
                <w:szCs w:val="18"/>
                <w:color w:val="auto"/>
              </w:rPr>
              <w:t>Total liabilities assumed</w:t>
            </w:r>
          </w:p>
        </w:tc>
        <w:tc>
          <w:tcPr>
            <w:tcW w:w="4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2,969,756</w:t>
            </w:r>
          </w:p>
        </w:tc>
      </w:tr>
      <w:tr>
        <w:trPr>
          <w:trHeight w:val="270"/>
        </w:trPr>
        <w:tc>
          <w:tcPr>
            <w:tcW w:w="7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Net assets acquired, excluding cash</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12,882,730</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37"/>
        </w:trPr>
        <w:tc>
          <w:tcPr>
            <w:tcW w:w="7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preliminary fair values of the assets acquired were estimated with the assistance of a third-party valuation expert. The purchase price allocation above is preliminary, given the relatively recent timing of the BioConnect acquisition. The Company is in the process of refining the valuation of acquired assets and assumed liabilities, including net working capital and intangible assets, and expects to finalize the purchase price allocation no later than one year after the acquisition date, which is July 1, 2026, in accordance with applicable guidance. Finalization of the valuation during the measurement period could result in significant changes in the amounts recorded for the acquisition date fair value. The goodwill recognized in this acquisition is primarily attributable to the assembled workforce and expected synergies from the integration of the acquired business. All of the goodwill acquired in connection with the BioConnect acquisition has been allocated to the Company's biometrics business. The amount of goodwill that is deductible for tax purposes has not been finalized as of September 30, 2025.</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attributable to BioConnect in the Company's Unaudited Condensed Consolidated Statement of Income for the three and nine months ended September 30, 2025, were $2.5 million. Net income attributable to BioConnect for the three and nine months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ended September 30, 2025, was $0.4 million</w:t>
      </w:r>
      <w:r>
        <w:rPr>
          <w:rFonts w:ascii="Arial" w:cs="Arial" w:eastAsia="Arial" w:hAnsi="Arial"/>
          <w:sz w:val="21"/>
          <w:szCs w:val="21"/>
          <w:color w:val="auto"/>
        </w:rPr>
        <w:t>.</w:t>
      </w:r>
      <w:r>
        <w:rPr>
          <w:rFonts w:ascii="Arial" w:cs="Arial" w:eastAsia="Arial" w:hAnsi="Arial"/>
          <w:sz w:val="18"/>
          <w:szCs w:val="18"/>
          <w:color w:val="auto"/>
        </w:rPr>
        <w:t xml:space="preserve"> During the three and nine months ended September 30, 2025, the Company incurred $0.2 million and $0.4</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30" w:name="page31"/>
    <w:bookmarkEnd w:id="3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million, respectively in acquisition costs related to the BioConnect acquisition, which has been expensed as incurred in the "Selling, general &amp; administrative" section of its Unaudited Condensed Consolidated Statement of Income. Since July 1, 2025, BioConnect's results of operations are included in the Unaudited Condensed Consolidated Financial Statements within the Biometrics operating segment, which is presented within the Company's Other reportable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VOXX International Corporation</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April 1, 2025 (the "Closing Date"), the Company completed its acquisition of VOXX pursuant to the previously announced Merger Agreement. Pursuant to the terms and conditions set forth in the Merger Agreement, the Company acquired all of the issued and outstanding shares of VOXX common stock not already owned by the Company for a purchase price of $ 7.50 per share, resulting in VOXX becoming a wholly owned subsidiary of Gentex as of the Closing Date. Cash consideration totaling $148.3 million was paid by the Company on the Closing Date using cash on hand. The acquisition was accounted for under the acquisition method of accounting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and accordingly, the results of operations and cash flows for VOXX have been included in the Company's Unaudited Condensed Consolidated Financial Statements since the Closing Date.</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Prior to obtaining a controlling interest in VOXX, the Company owned 6,463,808 shares of VOXX Class A Common Stock, or approximately 29%, and accounted for this investment as an equity method investment, as the Company had the ability to exercise significant influence, but not control, over VOXX (see </w:t>
      </w:r>
      <w:r>
        <w:rPr>
          <w:rFonts w:ascii="Arial" w:cs="Arial" w:eastAsia="Arial" w:hAnsi="Arial"/>
          <w:sz w:val="18"/>
          <w:szCs w:val="18"/>
          <w:u w:val="single" w:color="auto"/>
          <w:color w:val="0000FF"/>
        </w:rPr>
        <w:t>Note 4</w:t>
      </w:r>
      <w:r>
        <w:rPr>
          <w:rFonts w:ascii="Arial" w:cs="Arial" w:eastAsia="Arial" w:hAnsi="Arial"/>
          <w:sz w:val="18"/>
          <w:szCs w:val="18"/>
          <w:color w:val="auto"/>
        </w:rPr>
        <w:t>). The acquisition transaction was accounted for as a business combination achieved in stages, or a step-acquisition, pursuant to ASC 805 and, as such, the Company was required to remeasure its preexisting equity interest in VOXX immediately prior to the completion of the acquisition to its estimated fair value of $48.5 million using the $ 7.50 per share acquisition price to determine the fair value of the equity investment. As the Company previously recorded changes in fair value of the equity method investment in Investment (loss) income, net, in the Unaudited Condensed Consolidated Statements of Income each reporting period, the fair value of the investment on the Closing Date was equal to the fair value of the investment on March 31, 2025, the date immediately prior to the acquisition, and no additional gain or loss was recorded on the Closing Date.</w:t>
      </w:r>
    </w:p>
    <w:p>
      <w:pPr>
        <w:spacing w:after="0" w:line="21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VOXX is a leading manufacturer and distributor of automotive OEM and aftermarket electronics, and consumer technologies for the global markets, as well as premium audio solutions through world-renowned brands such as Klipsch</w:t>
      </w:r>
      <w:r>
        <w:rPr>
          <w:rFonts w:ascii="Arial" w:cs="Arial" w:eastAsia="Arial" w:hAnsi="Arial"/>
          <w:sz w:val="23"/>
          <w:szCs w:val="23"/>
          <w:color w:val="auto"/>
          <w:vertAlign w:val="superscript"/>
        </w:rPr>
        <w:t>®</w:t>
      </w:r>
      <w:r>
        <w:rPr>
          <w:rFonts w:ascii="Arial" w:cs="Arial" w:eastAsia="Arial" w:hAnsi="Arial"/>
          <w:sz w:val="18"/>
          <w:szCs w:val="18"/>
          <w:color w:val="auto"/>
        </w:rPr>
        <w:t>, Onkyo</w:t>
      </w:r>
      <w:r>
        <w:rPr>
          <w:rFonts w:ascii="Arial" w:cs="Arial" w:eastAsia="Arial" w:hAnsi="Arial"/>
          <w:sz w:val="23"/>
          <w:szCs w:val="23"/>
          <w:color w:val="auto"/>
          <w:vertAlign w:val="superscript"/>
        </w:rPr>
        <w:t>®</w:t>
      </w:r>
      <w:r>
        <w:rPr>
          <w:rFonts w:ascii="Arial" w:cs="Arial" w:eastAsia="Arial" w:hAnsi="Arial"/>
          <w:sz w:val="18"/>
          <w:szCs w:val="18"/>
          <w:color w:val="auto"/>
        </w:rPr>
        <w:t>, and Integra</w:t>
      </w:r>
      <w:r>
        <w:rPr>
          <w:rFonts w:ascii="Arial" w:cs="Arial" w:eastAsia="Arial" w:hAnsi="Arial"/>
          <w:sz w:val="23"/>
          <w:szCs w:val="23"/>
          <w:color w:val="auto"/>
          <w:vertAlign w:val="superscript"/>
        </w:rPr>
        <w:t>®</w:t>
      </w:r>
      <w:r>
        <w:rPr>
          <w:rFonts w:ascii="Arial" w:cs="Arial" w:eastAsia="Arial" w:hAnsi="Arial"/>
          <w:sz w:val="18"/>
          <w:szCs w:val="18"/>
          <w:color w:val="auto"/>
        </w:rPr>
        <w:t>. The merger also included EyeLock LLC ("EyeLock</w:t>
      </w:r>
      <w:r>
        <w:rPr>
          <w:rFonts w:ascii="Arial" w:cs="Arial" w:eastAsia="Arial" w:hAnsi="Arial"/>
          <w:sz w:val="23"/>
          <w:szCs w:val="23"/>
          <w:color w:val="auto"/>
          <w:vertAlign w:val="superscript"/>
        </w:rPr>
        <w:t>®</w:t>
      </w:r>
      <w:r>
        <w:rPr>
          <w:rFonts w:ascii="Arial" w:cs="Arial" w:eastAsia="Arial" w:hAnsi="Arial"/>
          <w:sz w:val="18"/>
          <w:szCs w:val="18"/>
          <w:color w:val="auto"/>
        </w:rPr>
        <w:t>"), a majority-owned subsidiary of VOXX, which holds iris biometric technology through its 50% ownership interest in the BioCenturion LLC joint venture. This additional interest in BioCenturion LLC was acquired by the Company in a separate transaction as discussed below. The acquisition of VOXX is a strategic addition to the Company's portfolio of products, as VOXX's product lines will both compliment the Company's existing businesses and help the Company continue to expand in the consumer technology and connected home space. The Company has also gained all access to the EyeLock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 biometric technology, which will provide further product applications in the Gentex automotive, aerospace, and medical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31" w:name="page32"/>
    <w:bookmarkEnd w:id="3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summarizes the preliminary allocation of the purchase price based on the fair value of the assets acquired and liabilities assumed, as of the Closing Date. The fair value of the Class A Common Stock acquired through this step acquisition is included in the totals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9"/>
              </w:rPr>
              <w:t>Measurement</w:t>
            </w:r>
          </w:p>
        </w:tc>
        <w:tc>
          <w:tcPr>
            <w:tcW w:w="15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April 1, 2025 (as</w:t>
            </w:r>
          </w:p>
        </w:tc>
        <w:tc>
          <w:tcPr>
            <w:tcW w:w="0" w:type="dxa"/>
            <w:vAlign w:val="bottom"/>
          </w:tcPr>
          <w:p>
            <w:pPr>
              <w:spacing w:after="0"/>
              <w:rPr>
                <w:sz w:val="1"/>
                <w:szCs w:val="1"/>
                <w:color w:val="auto"/>
              </w:rPr>
            </w:pPr>
          </w:p>
        </w:tc>
      </w:tr>
      <w:tr>
        <w:trPr>
          <w:trHeight w:val="175"/>
        </w:trPr>
        <w:tc>
          <w:tcPr>
            <w:tcW w:w="4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April 1, 2025</w:t>
            </w: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Period</w:t>
            </w:r>
          </w:p>
        </w:tc>
        <w:tc>
          <w:tcPr>
            <w:tcW w:w="15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9"/>
              </w:rPr>
              <w:t>Adjustments</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Cash paid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148,256,998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148,256,998</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cash acquired</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(9,077,136)</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cash paid, net</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139,179,862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139,179,862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previously held investment in VOXX</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48,478,560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48,478,560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transaction consideration,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187,658,422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187,658,422</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Preliminary Allocation:</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56,719,726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56,719,726</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96,718,000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96,718,000</w:t>
            </w:r>
          </w:p>
        </w:tc>
        <w:tc>
          <w:tcPr>
            <w:tcW w:w="0" w:type="dxa"/>
            <w:vAlign w:val="bottom"/>
          </w:tcPr>
          <w:p>
            <w:pPr>
              <w:spacing w:after="0"/>
              <w:rPr>
                <w:sz w:val="1"/>
                <w:szCs w:val="1"/>
                <w:color w:val="auto"/>
              </w:rPr>
            </w:pP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20,294,973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20,294,973</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recoverable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5,243,038</w:t>
            </w:r>
          </w:p>
        </w:tc>
        <w:tc>
          <w:tcPr>
            <w:tcW w:w="0" w:type="dxa"/>
            <w:vAlign w:val="bottom"/>
          </w:tcPr>
          <w:p>
            <w:pPr>
              <w:spacing w:after="0"/>
              <w:rPr>
                <w:sz w:val="1"/>
                <w:szCs w:val="1"/>
                <w:color w:val="auto"/>
              </w:rPr>
            </w:pP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44,977,000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44,977,000</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investment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19,000,000</w:t>
            </w:r>
          </w:p>
        </w:tc>
        <w:tc>
          <w:tcPr>
            <w:tcW w:w="0" w:type="dxa"/>
            <w:vAlign w:val="bottom"/>
          </w:tcPr>
          <w:p>
            <w:pPr>
              <w:spacing w:after="0"/>
              <w:rPr>
                <w:sz w:val="1"/>
                <w:szCs w:val="1"/>
                <w:color w:val="auto"/>
              </w:rPr>
            </w:pP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32,537,099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32,537,099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12,845,539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12,845,539</w:t>
            </w:r>
          </w:p>
        </w:tc>
        <w:tc>
          <w:tcPr>
            <w:tcW w:w="0" w:type="dxa"/>
            <w:vAlign w:val="bottom"/>
          </w:tcPr>
          <w:p>
            <w:pPr>
              <w:spacing w:after="0"/>
              <w:rPr>
                <w:sz w:val="1"/>
                <w:szCs w:val="1"/>
                <w:color w:val="auto"/>
              </w:rPr>
            </w:pP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5,404,163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5,404,163</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3,445,075</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 acquired, excluding cash</w:t>
            </w: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284,339,074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12,845,539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297,184,613</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31,347,556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31,096,255</w:t>
            </w:r>
          </w:p>
        </w:tc>
        <w:tc>
          <w:tcPr>
            <w:tcW w:w="0" w:type="dxa"/>
            <w:vAlign w:val="bottom"/>
          </w:tcPr>
          <w:p>
            <w:pPr>
              <w:spacing w:after="0"/>
              <w:rPr>
                <w:sz w:val="1"/>
                <w:szCs w:val="1"/>
                <w:color w:val="auto"/>
              </w:rPr>
            </w:pP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51,772,746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13,096,840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64,869,586</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684,033</w:t>
            </w:r>
          </w:p>
        </w:tc>
        <w:tc>
          <w:tcPr>
            <w:tcW w:w="0" w:type="dxa"/>
            <w:vAlign w:val="bottom"/>
          </w:tcPr>
          <w:p>
            <w:pPr>
              <w:spacing w:after="0"/>
              <w:rPr>
                <w:sz w:val="1"/>
                <w:szCs w:val="1"/>
                <w:color w:val="auto"/>
              </w:rPr>
            </w:pP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3,909,290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3,909,290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tax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791,593</w:t>
            </w:r>
          </w:p>
        </w:tc>
        <w:tc>
          <w:tcPr>
            <w:tcW w:w="0" w:type="dxa"/>
            <w:vAlign w:val="bottom"/>
          </w:tcPr>
          <w:p>
            <w:pPr>
              <w:spacing w:after="0"/>
              <w:rPr>
                <w:sz w:val="1"/>
                <w:szCs w:val="1"/>
                <w:color w:val="auto"/>
              </w:rPr>
            </w:pP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3,435,604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3,435,604</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1,260,830</w:t>
            </w:r>
          </w:p>
        </w:tc>
        <w:tc>
          <w:tcPr>
            <w:tcW w:w="0" w:type="dxa"/>
            <w:vAlign w:val="bottom"/>
          </w:tcPr>
          <w:p>
            <w:pPr>
              <w:spacing w:after="0"/>
              <w:rPr>
                <w:sz w:val="1"/>
                <w:szCs w:val="1"/>
                <w:color w:val="auto"/>
              </w:rPr>
            </w:pPr>
          </w:p>
        </w:tc>
      </w:tr>
      <w:tr>
        <w:trPr>
          <w:trHeight w:val="223"/>
        </w:trPr>
        <w:tc>
          <w:tcPr>
            <w:tcW w:w="4940" w:type="dxa"/>
            <w:vAlign w:val="bottom"/>
          </w:tcPr>
          <w:p>
            <w:pPr>
              <w:ind w:left="320"/>
              <w:spacing w:after="0"/>
              <w:rPr>
                <w:sz w:val="20"/>
                <w:szCs w:val="20"/>
                <w:color w:val="auto"/>
              </w:rPr>
            </w:pPr>
            <w:r>
              <w:rPr>
                <w:rFonts w:ascii="Arial" w:cs="Arial" w:eastAsia="Arial" w:hAnsi="Arial"/>
                <w:sz w:val="18"/>
                <w:szCs w:val="18"/>
                <w:color w:val="auto"/>
              </w:rPr>
              <w:t>Total liabilities assumed</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93,201,652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12,845,539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106,047,191</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Redeemable and non-redeemable non-controlling interests</w:t>
            </w:r>
          </w:p>
        </w:tc>
        <w:tc>
          <w:tcPr>
            <w:tcW w:w="1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3,479,000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3,479,000</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 consolidated subsidiaries</w:t>
            </w:r>
          </w:p>
        </w:tc>
        <w:tc>
          <w:tcPr>
            <w:tcW w:w="18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Net assets acquired, excluding 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187,658,422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187,658,422</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fair values of the assets acquired were estimated with the assistance of a third-party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32" w:name="page33"/>
    <w:bookmarkEnd w:id="3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valuation expert. The purchase price allocation above is preliminary, given the relatively recent timing of the Closing Date. The Company is in the process of refining the valuation of acquired assets and assumed liabilities, including net working capital, real property, equity method investments, and non-controlling interests, and expects to finalize the purchase price allocation no later than one year after the acquisition date, which is April 1, 2026, in accordance with applicable guidance. Finalization of the valuation during the measurement period could result in significant changes in the amounts recorded for the acquisition date fair value. The Company recorded net measurement period adjustments totaling $12.8 million during the three and nine months ended September 30, 2025, relating primarily to the revised fair value estimates of liabilities for certain legal contingencies and employee compensation, which increased total liabilities assumed and increased goodwill. The goodwill recognized in this acquisition was attributable to the assembled workforce, expected synergies, and expanded market opportunities, none of which qualify for recognition as a separate intangible asset. All of the goodwill acquired in connection with the VOXX acquisition has been allocated to the Company's Premium Audio Products business. The amount of goodwill that is deductible for tax purposes has not been finalized as of September 30, 2025.</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sales attributable to VOXX in the Company's Unaudited Condensed Consolidated Statement of Income for the three and nine months ended September 30, 2025 were $84.9 million and $163.8 million, respectively. The net income (loss) attributable to VOXX</w:t>
      </w:r>
    </w:p>
    <w:p>
      <w:pPr>
        <w:jc w:val="both"/>
        <w:spacing w:after="0" w:line="252" w:lineRule="auto"/>
        <w:rPr>
          <w:sz w:val="20"/>
          <w:szCs w:val="20"/>
          <w:color w:val="auto"/>
        </w:rPr>
      </w:pPr>
      <w:r>
        <w:rPr>
          <w:rFonts w:ascii="Arial" w:cs="Arial" w:eastAsia="Arial" w:hAnsi="Arial"/>
          <w:sz w:val="18"/>
          <w:szCs w:val="18"/>
          <w:color w:val="auto"/>
        </w:rPr>
        <w:t>for the three and nine months ended September 30, 2025 was $3.7 million and $(0.3) million, respectively</w:t>
      </w:r>
      <w:r>
        <w:rPr>
          <w:rFonts w:ascii="Arial" w:cs="Arial" w:eastAsia="Arial" w:hAnsi="Arial"/>
          <w:sz w:val="21"/>
          <w:szCs w:val="21"/>
          <w:color w:val="auto"/>
        </w:rPr>
        <w:t>.</w:t>
      </w:r>
      <w:r>
        <w:rPr>
          <w:rFonts w:ascii="Arial" w:cs="Arial" w:eastAsia="Arial" w:hAnsi="Arial"/>
          <w:sz w:val="18"/>
          <w:szCs w:val="18"/>
          <w:color w:val="auto"/>
        </w:rPr>
        <w:t xml:space="preserve"> During the three and nine months ended September 30, 2025, the Company incurred $0.3 million and $3.4 million, respectively, in acquisition costs related to the VOXX acquisition, which has been expensed as incurred in the "Selling, general &amp; administrative" section of its Unaudited Condensed Consolidated Statement of Income. VOXX's results of operations are included in the consolidated financial statements of the Company within the Automotive, Premium Audio, Aftermarket, Consumer Electronics, and Biometrics operating segments. The Aftermarket, Consumer Electronics, and Biometrics operating segments are presented within the Company's Other reportable segment.</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non-controlling interests included in the net assets acquired in the transaction are comprised of a redeemable non-controlling interest in VOXX's Onkyo subsidiary, and a non-redeemable non-controlling interest in its EyeLock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subsidiary. In conjunction with VOXX's acquisition of Onkyo, a joint venture was formed between VOXX's wholly-owned Premium Audio Company ("PAC") subsidiary and its partner Sharp Corporation ("Sharp"). PAC owns 77.2% of the joint venture and has an 85.1% voting interest and Sharp owns 22.8% of the joint venture and has a 14.9% voting interest. The joint venture agreement between PAC and Sharp contains a put/call option, whereby Sharp has the right to put its interest in the joint venture back to VOXX and VOXX has the right to call Sharp’s ownership interest in the joint venture at any time after the approval of Onkyo’s annual financial statements for the year ending February 28, 2025, at a purchase price based on a formula as defined in the joint venture agreement.</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Onkyo non-controlling interest has been classified as redeemable non-controlling interest outside of equity on the accompanying Unaudited Condensed Consolidated Balance Sheet as the exercise of the put/call option is not within VOXX’s control. The following table provides the rollforward of the redeemable non-controlling interest for the nine months ended September 30,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Redeemable Non-controlling Interest</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Balance at January 1, 2025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980" w:type="dxa"/>
            <w:vAlign w:val="bottom"/>
            <w:shd w:val="clear" w:color="auto" w:fill="CCEEFF"/>
          </w:tcPr>
          <w:p>
            <w:pPr>
              <w:ind w:left="160"/>
              <w:spacing w:after="0" w:line="183" w:lineRule="exact"/>
              <w:rPr>
                <w:sz w:val="20"/>
                <w:szCs w:val="20"/>
                <w:color w:val="auto"/>
              </w:rPr>
            </w:pPr>
            <w:r>
              <w:rPr>
                <w:rFonts w:ascii="Arial" w:cs="Arial" w:eastAsia="Arial" w:hAnsi="Arial"/>
                <w:sz w:val="18"/>
                <w:szCs w:val="18"/>
                <w:color w:val="auto"/>
              </w:rPr>
              <w:t>Acquisition of redeemable non-controlling interest at fair value on April 1,</w:t>
            </w:r>
          </w:p>
        </w:tc>
        <w:tc>
          <w:tcPr>
            <w:tcW w:w="240" w:type="dxa"/>
            <w:vAlign w:val="bottom"/>
            <w:shd w:val="clear" w:color="auto" w:fill="CCEEFF"/>
          </w:tcPr>
          <w:p>
            <w:pPr>
              <w:spacing w:after="0"/>
              <w:rPr>
                <w:sz w:val="15"/>
                <w:szCs w:val="15"/>
                <w:color w:val="auto"/>
              </w:rPr>
            </w:pPr>
          </w:p>
        </w:tc>
        <w:tc>
          <w:tcPr>
            <w:tcW w:w="3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2,823,000</w:t>
            </w:r>
          </w:p>
        </w:tc>
        <w:tc>
          <w:tcPr>
            <w:tcW w:w="0" w:type="dxa"/>
            <w:vAlign w:val="bottom"/>
          </w:tcPr>
          <w:p>
            <w:pPr>
              <w:spacing w:after="0"/>
              <w:rPr>
                <w:sz w:val="1"/>
                <w:szCs w:val="1"/>
                <w:color w:val="auto"/>
              </w:rPr>
            </w:pPr>
          </w:p>
        </w:tc>
      </w:tr>
      <w:tr>
        <w:trPr>
          <w:trHeight w:val="235"/>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20"/>
                <w:szCs w:val="20"/>
                <w:color w:val="auto"/>
              </w:rPr>
            </w:pPr>
          </w:p>
        </w:tc>
        <w:tc>
          <w:tcPr>
            <w:tcW w:w="36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60"/>
              <w:spacing w:after="0"/>
              <w:rPr>
                <w:sz w:val="20"/>
                <w:szCs w:val="20"/>
                <w:color w:val="auto"/>
              </w:rPr>
            </w:pPr>
            <w:r>
              <w:rPr>
                <w:rFonts w:ascii="Arial" w:cs="Arial" w:eastAsia="Arial" w:hAnsi="Arial"/>
                <w:sz w:val="18"/>
                <w:szCs w:val="18"/>
                <w:color w:val="auto"/>
              </w:rPr>
              <w:t>Net loss attributable to non-controlling interest</w:t>
            </w:r>
          </w:p>
        </w:tc>
        <w:tc>
          <w:tcPr>
            <w:tcW w:w="240" w:type="dxa"/>
            <w:vAlign w:val="bottom"/>
          </w:tcPr>
          <w:p>
            <w:pPr>
              <w:spacing w:after="0"/>
              <w:rPr>
                <w:sz w:val="19"/>
                <w:szCs w:val="19"/>
                <w:color w:val="auto"/>
              </w:rPr>
            </w:pPr>
          </w:p>
        </w:tc>
        <w:tc>
          <w:tcPr>
            <w:tcW w:w="3600" w:type="dxa"/>
            <w:vAlign w:val="bottom"/>
          </w:tcPr>
          <w:p>
            <w:pPr>
              <w:jc w:val="right"/>
              <w:spacing w:after="0"/>
              <w:rPr>
                <w:sz w:val="20"/>
                <w:szCs w:val="20"/>
                <w:color w:val="auto"/>
              </w:rPr>
            </w:pPr>
            <w:r>
              <w:rPr>
                <w:rFonts w:ascii="Arial" w:cs="Arial" w:eastAsia="Arial" w:hAnsi="Arial"/>
                <w:sz w:val="18"/>
                <w:szCs w:val="18"/>
                <w:color w:val="auto"/>
              </w:rPr>
              <w:t>(414,641)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loss attributable to non-controlling interest</w:t>
            </w:r>
          </w:p>
        </w:tc>
        <w:tc>
          <w:tcPr>
            <w:tcW w:w="240" w:type="dxa"/>
            <w:vAlign w:val="bottom"/>
            <w:shd w:val="clear" w:color="auto" w:fill="CCEEFF"/>
          </w:tcPr>
          <w:p>
            <w:pPr>
              <w:spacing w:after="0"/>
              <w:rPr>
                <w:sz w:val="19"/>
                <w:szCs w:val="19"/>
                <w:color w:val="auto"/>
              </w:rPr>
            </w:pP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(132,005)</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43,304</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2025</w:t>
            </w:r>
          </w:p>
        </w:tc>
        <w:tc>
          <w:tcPr>
            <w:tcW w:w="240" w:type="dxa"/>
            <w:vAlign w:val="bottom"/>
            <w:tcBorders>
              <w:bottom w:val="single" w:sz="8" w:color="auto"/>
            </w:tcBorders>
            <w:shd w:val="clear" w:color="auto" w:fill="CCEEFF"/>
          </w:tcPr>
          <w:p>
            <w:pPr>
              <w:spacing w:after="0"/>
              <w:rPr>
                <w:sz w:val="21"/>
                <w:szCs w:val="21"/>
                <w:color w:val="auto"/>
              </w:rPr>
            </w:pP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2,319,658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33" w:name="page34"/>
    <w:bookmarkEnd w:id="33"/>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As of April 1, 2025, the net assets acquired in the VOXX transaction also included VOXX's non-redeemable non-controlling interest in its EyeLock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subsidiary. On August 18, 2025, the Company further acquired the remaining equity interests in EyeLock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its</w:t>
      </w:r>
    </w:p>
    <w:p>
      <w:pPr>
        <w:spacing w:after="0"/>
        <w:rPr>
          <w:sz w:val="20"/>
          <w:szCs w:val="20"/>
          <w:color w:val="auto"/>
        </w:rPr>
      </w:pPr>
      <w:r>
        <w:rPr>
          <w:rFonts w:ascii="Arial" w:cs="Arial" w:eastAsia="Arial" w:hAnsi="Arial"/>
          <w:sz w:val="18"/>
          <w:szCs w:val="18"/>
          <w:color w:val="auto"/>
        </w:rPr>
        <w:t>minority owners for cash consideration totaling $0.1 million</w:t>
      </w:r>
      <w:r>
        <w:rPr>
          <w:rFonts w:ascii="Arial" w:cs="Arial" w:eastAsia="Arial" w:hAnsi="Arial"/>
          <w:sz w:val="21"/>
          <w:szCs w:val="2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GalvanEyes LLC</w:t>
      </w:r>
    </w:p>
    <w:p>
      <w:pPr>
        <w:spacing w:after="0" w:line="2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November 2024, the Company, in the ordinary course of business, acquired GalvanEyes LLC ("GalvanEyes"), which is the managing partner and 50% owner of the BioCenturion joint venture with Eyelock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The Company paid $2.9 million in cash, as well as an earnout over the following fifteen calendar years, not to exceed $15 million in the aggregate, for which the acquisition date fair value was $1.5 million. The earnout is based on adjusted earnings before interest and taxes. The Company accounted for the acquisition under the provisions of ASC 805 and consolidated GalvanEyes, and the joint venture BioCenturion, in the Company's Consolidated Balance Sheets as of September 30, 2025 and December 31, 2024 in accordance with ASC 810, </w:t>
      </w:r>
      <w:r>
        <w:rPr>
          <w:rFonts w:ascii="Arial" w:cs="Arial" w:eastAsia="Arial" w:hAnsi="Arial"/>
          <w:sz w:val="18"/>
          <w:szCs w:val="18"/>
          <w:i w:val="1"/>
          <w:iCs w:val="1"/>
          <w:color w:val="auto"/>
        </w:rPr>
        <w:t>Consolidation.</w:t>
      </w:r>
    </w:p>
    <w:p>
      <w:pPr>
        <w:spacing w:after="0" w:line="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$0.3 million and $1.4 million of combined revenue and $0.4 million and $2.2 million of combined net loss of the businesses of GalvanEyes and BioCenturion is included in the Company's Unaudited Condensed Consolidated Statements of Income and Comprehensive Income for the three and nine months ended September 30, 2025, in each case respectively. GalvanEyes and BioCenturion's results of operations are included in the consolidated financial statements of the Company within its Biometrics operating segment, which is presented within the Company's Other reportable segment.</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2024, the Company had $4.1 million in non-controlling interest related to BioCenturion. In conjunction with the acquisition of VOXX on April 1, 2025, the Company acquired VOXX's interest in BioCenturion through its majority ownership of Eyelock for cash consideration of $4.1 million. Prior to the acquisition of this additional equity interest, the Company's 50% interest in BioCenturion was accounted for as a variable interest entity for which Gentex was the primary beneficiary, and was consolidated within the Company's financial statements, with the remaining 50% interest of BioCenturion presented within non-controlling interest.</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THIRD QUARTER 2025 VERSUS THIRD QUARTER 2024</w:t>
      </w:r>
    </w:p>
    <w:p>
      <w:pPr>
        <w:spacing w:after="0" w:line="14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net sales for the third quarter of 2025 increased by $46.7 million or 8%, when compared with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2024, which did not include VOXX. VOXX, one hundred percent of which was acquired on April 1, 2025, contributed $84.9 million of revenue for the third quarter of 2025. Core Gentex revenue (excluding VOXX) was $570.3 million in the third quarter of 2025, which was a 6% decline versus the third quarter of 2024, in comparison to light vehicle production in the Company's primary markets that increased by approximately 2% in the third quarter of 2025 versus the third quarter of 2024.</w:t>
      </w:r>
    </w:p>
    <w:p>
      <w:pPr>
        <w:spacing w:after="0" w:line="11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Core Gentex Automotive net sales (excluding VOXX) for the third quarter of 2025 were $558.0 million, a 6% decrease when compared with automotive net sales of $596.5 million in the third quarter of 2024. The 8% decrease in automotive mirror unit shipments in the third quarter of 2025 to 11.2 million units, compared with 12.2 million units in the third quarter of 2024, was driven by a 12% quarter over quarter decrease in international mirror unit shipments, while mirror shipments in North America were essentially flat.</w:t>
      </w:r>
    </w:p>
    <w:p>
      <w:pPr>
        <w:spacing w:after="0" w:line="206"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nine months ended September 30, 2025, and 2024 </w:t>
      </w:r>
      <w:r>
        <w:rPr>
          <w:rFonts w:ascii="Arial" w:cs="Arial" w:eastAsia="Arial" w:hAnsi="Arial"/>
          <w:sz w:val="18"/>
          <w:szCs w:val="18"/>
          <w:i w:val="1"/>
          <w:iCs w:val="1"/>
          <w:color w:val="auto"/>
        </w:rPr>
        <w:t>(in thousands):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33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2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6,755</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6,899</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4,440</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4,858</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(9)%</w:t>
            </w:r>
          </w:p>
        </w:tc>
      </w:tr>
      <w:tr>
        <w:trPr>
          <w:trHeight w:val="223"/>
        </w:trPr>
        <w:tc>
          <w:tcPr>
            <w:tcW w:w="3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Total North American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11,195</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11,757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70"/>
        </w:trPr>
        <w:tc>
          <w:tcPr>
            <w:tcW w:w="3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(12)%</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15,349</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16,313</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5"/>
              </w:rPr>
              <w:t>(11)%</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7,820</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8,808</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(11)%</w:t>
            </w:r>
          </w:p>
        </w:tc>
      </w:tr>
      <w:tr>
        <w:trPr>
          <w:trHeight w:val="223"/>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International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(12)%</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23,169</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25,120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70"/>
        </w:trPr>
        <w:tc>
          <w:tcPr>
            <w:tcW w:w="3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(9)%</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22,104</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23,211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(7)%</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12,260</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13,665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(10)%</w:t>
            </w:r>
          </w:p>
        </w:tc>
      </w:tr>
      <w:tr>
        <w:trPr>
          <w:trHeight w:val="248"/>
        </w:trPr>
        <w:tc>
          <w:tcPr>
            <w:tcW w:w="3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Total Auto-Dimming Mirror Units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color w:val="auto"/>
                <w:w w:val="99"/>
              </w:rPr>
              <w:t>(8)%</w:t>
            </w:r>
          </w:p>
        </w:tc>
        <w:tc>
          <w:tcPr>
            <w:tcW w:w="11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34,364</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36,877</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Core Gentex Other net sales (excluding VOXX) were $12.3 million in the third quarter of 2025, compared to $12.0 million in the third quarter of 2024, an increase of 3%. Other net sales for the third quarter of 2025 included biometric product sales of $2.8 million, primarily generated from the Company's BioConnect subsidiary acquired on July 1, 2025. Fire protection sales were $5.4 million in the third quarter of 2025, compared to $ 6.9 million in the same quarter of last year. Dimmable aircraft window sales decreased during the third quarter of 2025 to $3.9 million, compared to $4.3 million in the same quarter of last year.</w:t>
      </w:r>
    </w:p>
    <w:p>
      <w:pPr>
        <w:spacing w:after="0" w:line="20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65.6% for the third quarter of 2025, versus 66.5%</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quarter last year, which did not include VOXX. The quarter over quarter increase in the gross margin resulted primarily from purchasing cost reductions, improved North American customer and product mix, and operational efficiencies, which were partially offset by tariff related costs that were not reimbursed in the quarter. The core Gentex gross margin (excluding VOXX) was 34.9% in the third quarter of 2025, representing a 140 basis-point increase compared to the third quarter of 2024.</w:t>
      </w:r>
    </w:p>
    <w:p>
      <w:pPr>
        <w:spacing w:after="0" w:line="11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Total operating expenses were $102.8 million in the third quarter of 2025, an increase of 31% quarter over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or $24.5 million, compared to $78.3 million in the third quarter of 2024, which</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5" w:name="page36"/>
    <w:bookmarkEnd w:id="35"/>
    <w:p>
      <w:pPr>
        <w:jc w:val="both"/>
        <w:ind w:left="660"/>
        <w:spacing w:after="0" w:line="262" w:lineRule="auto"/>
        <w:rPr>
          <w:sz w:val="20"/>
          <w:szCs w:val="20"/>
          <w:color w:val="auto"/>
        </w:rPr>
      </w:pPr>
      <w:r>
        <w:rPr>
          <w:rFonts w:ascii="Arial" w:cs="Arial" w:eastAsia="Arial" w:hAnsi="Arial"/>
          <w:sz w:val="18"/>
          <w:szCs w:val="18"/>
          <w:color w:val="auto"/>
        </w:rPr>
        <w:t>did not include VOXX. The increase was primarily due to the VOXX acquisition, which accounted for $23.7 million of the increase. Core Gentex operating expenses (excluding VOXX) were $79.2 million in the third quarter of 2025, compared to $78.3 million during the third quarter of 2024. The quarter over quarter increase in core Gentex operating expenses included $0.6 million in acquisition-related costs and $0.5 million attributable to Gentex-specific severance expenses.</w:t>
      </w:r>
    </w:p>
    <w:p>
      <w:pPr>
        <w:spacing w:after="0" w:line="20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Engineering, research and development ("E, R &amp; D") expenses for the third quarter of 2025 increased by $4.4 million, when compared with the third quarter of 2024, primarily due to the VOXX acquisition, as well as staffing and engineering related professional fees.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Selling, general and administrative ("S, G &amp; A") expenses increased by 65% or $19.6 million for the third quarter of 2025, compared to the third quarter of 2024, primarily due to the VOXX acquisition. S, G &amp; A expenses were approximately 8% of net sales in the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quarter of 2025, compared to 5% in the third quarter of 2024, which did not include VOXX.</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u w:val="single" w:color="auto"/>
          <w:color w:val="auto"/>
        </w:rPr>
        <w:t>Total Other (Loss) Income, Net.</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loss, net for the third quarter of 2025 was $1.8 million, when compared with total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net, of $19.7 million for the third quarter of 2024. During the third quarter of 2025, the total other loss, net, included an impairment of $2.2 million related to one of the Company's technology investments and credit loss reserves of $4.8 million related to loans receivable. In comparison, total other income, net, in the third quarter of 2024 included a gain of $14.9 million related to the fair value adjustment of the Company's original investment in VOXX.</w:t>
      </w:r>
    </w:p>
    <w:p>
      <w:pPr>
        <w:spacing w:after="0" w:line="139" w:lineRule="exact"/>
        <w:rPr>
          <w:sz w:val="20"/>
          <w:szCs w:val="20"/>
          <w:color w:val="auto"/>
        </w:rPr>
      </w:pPr>
    </w:p>
    <w:p>
      <w:pPr>
        <w:jc w:val="both"/>
        <w:ind w:left="660"/>
        <w:spacing w:after="0" w:line="254" w:lineRule="auto"/>
        <w:rPr>
          <w:sz w:val="20"/>
          <w:szCs w:val="20"/>
          <w:color w:val="auto"/>
        </w:rPr>
      </w:pPr>
      <w:r>
        <w:rPr>
          <w:rFonts w:ascii="Arial" w:cs="Arial" w:eastAsia="Arial" w:hAnsi="Arial"/>
          <w:sz w:val="17"/>
          <w:szCs w:val="17"/>
          <w:i w:val="1"/>
          <w:iCs w:val="1"/>
          <w:u w:val="single" w:color="auto"/>
          <w:color w:val="auto"/>
        </w:rPr>
        <w:t>Provision for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tax rate was 16.3% for, and an income tax expense of $ 19.7 million was recorded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third quarter of 2025, compared to an effective tax rate of 15.7% for, and an income tax expense of $22.9 million recorded in, the same quarter of 2024. The quarter over quarter change in the effective tax rate was driven by lower tax benefits on stock-based compensation in the third quarter of 2025, compared to the third quarter of 2024, as well as reduced quarter over quarter benefit from</w:t>
      </w:r>
    </w:p>
    <w:p>
      <w:pPr>
        <w:jc w:val="both"/>
        <w:ind w:left="660"/>
        <w:spacing w:after="0" w:line="237" w:lineRule="auto"/>
        <w:rPr>
          <w:sz w:val="20"/>
          <w:szCs w:val="20"/>
          <w:color w:val="auto"/>
        </w:rPr>
      </w:pPr>
      <w:r>
        <w:rPr>
          <w:rFonts w:ascii="Arial" w:cs="Arial" w:eastAsia="Arial" w:hAnsi="Arial"/>
          <w:sz w:val="18"/>
          <w:szCs w:val="18"/>
          <w:color w:val="auto"/>
        </w:rPr>
        <w:t>the Foreign-Derived Intangible Income ("FDII") deduction. Generally, effective tax rates for the Company differ from statutory federal income tax rates, due to provisions for state and local income taxes, the FDII deduction, and research and development tax credits.</w:t>
      </w:r>
    </w:p>
    <w:p>
      <w:pPr>
        <w:spacing w:after="0" w:line="127"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u w:val="single" w:color="auto"/>
          <w:color w:val="auto"/>
        </w:rPr>
        <w:t>Net Income Attributable to Gentex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attributable to Gentex for the third quarter of 2025 was $101.0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down 18% from a net income attributable to Gentex of $ 122.5 million in the third quarter of 2024, which did not include VOXX. The quarter over quarter decrease in net income for the third quarter of 2025 was largely due to the prior year quarter gain related to the Company's investment in VOXX.</w:t>
      </w:r>
    </w:p>
    <w:p>
      <w:pPr>
        <w:spacing w:after="0" w:line="12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u w:val="single" w:color="auto"/>
          <w:color w:val="auto"/>
        </w:rPr>
        <w:t>Earnings Per Share Attributable to Gentex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attributable to Gentex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2025 of $0.46, which compared to earnings per diluted share of $0.53 for the third quarter of 2024, which did not include VOXX. Though VOXX was not consolidated in the third quarter of 2024, earnings per diluted share for that quarter were positively impacted by the gain on the Company's original investment in VOXX.</w:t>
      </w: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NINE MONTHS ENDED SEPTEMBER 30, 2025 VERSUS NINE MONTHS ENDED SEPTEMBER 30, 2024</w:t>
      </w:r>
    </w:p>
    <w:p>
      <w:pPr>
        <w:spacing w:after="0" w:line="17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net sales for the nine months ended September 30, 2025 increased by $118.2 million or 7%,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same period in 2024, with VOXX contributing $163.8 million of revenue during the nine months ended September 30, 2025 and nothing in the prior year period. Core Gentex revenue (excluding VOXX) was $1.7 billion in the nine months ended September 30, 2025, which was a 3% decrease versus the nine months ended September 30, 2024, in comparison to light vehicle production in the Company's primary markets for the nine months ended September 30, 2025, that was relatively flat versus the comparable 2024 period.</w:t>
      </w:r>
    </w:p>
    <w:p>
      <w:pPr>
        <w:spacing w:after="0" w:line="12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Core Gentex Automotive net sales (excluding VOXX) declined $45.1 million or 3%, when comparing the nine months ended September 30, 2025 to the same period in 2024. Sales during the nine months ended September 30, 2025, were negatively impacted by lower sales into the China market due to the impact of counter-tariffs, as well as lower sales in Europe due to vehicle mix and certain customer-specific product challenges. There was a 7% decrease in automotive mirror unit shipments in the nine months ended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6" w:name="page37"/>
    <w:bookmarkEnd w:id="36"/>
    <w:p>
      <w:pPr>
        <w:jc w:val="both"/>
        <w:ind w:left="660"/>
        <w:spacing w:after="0" w:line="268" w:lineRule="auto"/>
        <w:rPr>
          <w:sz w:val="20"/>
          <w:szCs w:val="20"/>
          <w:color w:val="auto"/>
        </w:rPr>
      </w:pPr>
      <w:r>
        <w:rPr>
          <w:rFonts w:ascii="Arial" w:cs="Arial" w:eastAsia="Arial" w:hAnsi="Arial"/>
          <w:sz w:val="18"/>
          <w:szCs w:val="18"/>
          <w:color w:val="auto"/>
        </w:rPr>
        <w:t>September 30, 2025, to 34.4 million units, compared with 36.9 million units in the same period in 2024, which was driven by a 5% period over period decrease in interior auto-dimming mirror unit shipments, and a 10% period over period decrease in exterior auto-dimming mirror unit shipments.</w:t>
      </w:r>
    </w:p>
    <w:p>
      <w:pPr>
        <w:spacing w:after="0" w:line="9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Core Gentex Other net sales (excluding VOXX) were $37.8 million in the nine months ended September 30, 2025, compared to $38.3 million in the same period of 2024 (which also excluded VOXX), a decrease of 1%. Other net sales for the nine months ended September 30, 2025, included biometric product sales of $ 3.9 million primarily generated from the Company's BioConnect subsidiary acquired on July 1, 2025. Fire protection sales were $20.2 million in the nine months ended September 30, 2025, compared to $21.1 million in the same period of last year. Dimmable aircraft window sales decreased during the nine months ended September 30, 2025 to $12.7 million, compared to $16.3 million in the same period of last year.</w:t>
      </w:r>
    </w:p>
    <w:p>
      <w:pPr>
        <w:spacing w:after="0" w:line="20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66.0%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2025, versus 66.4% in the same period last year, which did not include VOXX. The improvement in the gross margin for the nine months ended September 30, 2025 was driven by purchasing cost reductions, improved product mix, and operational efficiencies. This was partially offset by the addition of VOXX, which had a negative impact of 50 basis points for the nine months ended September 30, 2025, as well as tariff related costs that were not reimbursed in the nine months ended September 30, 2025.</w:t>
      </w:r>
    </w:p>
    <w:p>
      <w:pPr>
        <w:spacing w:after="0" w:line="11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Total operating expenses were $ 288.4 million in the nine months ended September 30, 2025,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28% period over period, or $63.5 million, compared to $224.9 million in the same period of 2024, which did not include VOXX. The increase was largely due to the VOXX acquisition, which accounted for $49.7 million of the increase. Core Gentex operating expenses (excluding VOXX) were $238.6 million in the nine months ended September 30, 2025, compared to $224.9 million during the same period of 2024. The period over period increase in core Gentex operating expenses included $2.3 million in acquisition-related costs and $9.6 million attributable to Gentex-specific severance expenses.</w:t>
      </w:r>
    </w:p>
    <w:p>
      <w:pPr>
        <w:spacing w:after="0" w:line="209"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E, R &amp; D expenses for the nine months ended September 30, 2025 increased by $15.6 million, when compared with the same period of 2024, due in large part to the VOXX acquisition, as well as staffing and engineering related professional fees.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S, G &amp; A expenses for the nine months ended September 30, 2025 increased $37.6 million to $128.1 million, when compared to $90.5 million for the same period in 2024. S, G &amp; A expenses were approximately 7% of net sales in the nine months ended September 30, 2025, and approximately 5% of net sales in the same period in 2024. S, G, &amp; A expenses increased on a year over year basis primarily due to the VOXX acquisition.</w:t>
      </w:r>
    </w:p>
    <w:p>
      <w:pPr>
        <w:spacing w:after="0" w:line="11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u w:val="single" w:color="auto"/>
          <w:color w:val="auto"/>
        </w:rPr>
        <w:t>Total Other (Loss) Income, Net.</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loss, net, for the nine months ended September 30, 2025, was $4.2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$4.5 million for the same period last year. During the nine months ended September 30, 2025, the total other loss, net, included impairments of $8.4 million related to two of the Company's technology investments, as well as credit loss reserves of $4.8 million related to loans receivable. In comparison, the nine months ended September 30, 2024, included a $9.0 million loss resulting from the fair value adjustment of the Company's original investment in VOXX.</w:t>
      </w:r>
    </w:p>
    <w:p>
      <w:pPr>
        <w:spacing w:after="0" w:line="12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16.7% for the nine months ended September 30, 2025, compared to 15.4%</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of 2024. The period over period change in the effective tax rate was driven by lower tax benefits on stock-based compensation compared to the first nine months of 2024. Generally, effective tax rates for the Company differ from statutory federal income tax rates, due to provisions for state and local income taxes, the FDII deduction, and research and development tax credits.</w:t>
      </w:r>
    </w:p>
    <w:p>
      <w:pPr>
        <w:spacing w:after="0" w:line="12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u w:val="single" w:color="auto"/>
          <w:color w:val="auto"/>
        </w:rPr>
        <w:t>Net Income Attributable to Gentex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attributable to Gentex Corporation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2025 decreased by $24.9 million or 8% to $291.9 million, compared to $316.8 million in the same period last year, which did not include VOXX. The decrease in net income for the nine months ended September 30, 2025, was primarily the result of lower income from operations and higher operating expenses compared to the same prior period.</w:t>
      </w:r>
    </w:p>
    <w:p>
      <w:pPr>
        <w:spacing w:after="0" w:line="12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u w:val="single" w:color="auto"/>
          <w:color w:val="auto"/>
        </w:rPr>
        <w:t>Earnings Per Share Attributable to Gentex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attributable to Gentex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2025 of $1.31, compared to earnings per diluted share of $1.38 for the nine months ended September 30, 2024, which did not include VOXX.</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Financial information for the nine months ended September 30, 2025 is provided in accordance with Generally Accepted Accounting Principles ("GAAP"). In addition, the Company believes that it is useful for the nine months ended September 30, 2025 to provide certain non-GAAP measures, including Adjusted Gross Profit, Adjusted Gross Margin, Adjusted Operating Expenses, Adjusted Income (Loss) from Operations, Adjusted Net Income (Loss) Attributable to Gentex Corporation, and Adjusted Earnings per Diluted Share Attributable to Gentex Corporation, with the adjustments set forth in the "Reconciliation of Non-GAAP Measures" table below. This non-GAAP financial information allows investors to evaluate current performance in the Company's core business in relation to historical performance by excluding the impact of certain purchase price adjustments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acquisition related costs, and severance costs set forth in the table below.</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that the presentation of these non-GAAP financial measures provides insight into the Company's core performance and trends with respect to the same. Management of the Company similarly uses such non-GAAP financial measures in assessing the business internally. A reconciliation of Adjusted Gross Profit, Adjusted Gross Margin, Adjusted Operating Expenses, Adjusted Income (Loss) from Operations, Adjusted Net Income (Loss) Attributable to Gentex Corporation, and Adjusted Earnings per Diluted Share Attributable to Gentex Corporation to the most directly comparable GAAP measures is provided in the "Reconciliation of non-GAAP Measures" tables below. Like all non-GAAP financial measures, these non-GAAP measures are intended to</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8" w:name="page39"/>
    <w:bookmarkEnd w:id="38"/>
    <w:p>
      <w:pPr>
        <w:jc w:val="both"/>
        <w:ind w:right="20"/>
        <w:spacing w:after="0" w:line="287" w:lineRule="auto"/>
        <w:rPr>
          <w:sz w:val="20"/>
          <w:szCs w:val="20"/>
          <w:color w:val="auto"/>
        </w:rPr>
      </w:pPr>
      <w:r>
        <w:rPr>
          <w:rFonts w:ascii="Arial" w:cs="Arial" w:eastAsia="Arial" w:hAnsi="Arial"/>
          <w:sz w:val="18"/>
          <w:szCs w:val="18"/>
          <w:color w:val="auto"/>
        </w:rPr>
        <w:t>supplement, not to replace, GAAP measures. All non-GAAP financial measures are subject to inherent limitations because not all of the expenses required by GAAP are included.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40" w:type="dxa"/>
            <w:vAlign w:val="bottom"/>
            <w:shd w:val="clear" w:color="auto" w:fill="CCEEFF"/>
          </w:tcPr>
          <w:p>
            <w:pPr>
              <w:spacing w:after="0"/>
              <w:rPr>
                <w:sz w:val="19"/>
                <w:szCs w:val="19"/>
                <w:color w:val="auto"/>
              </w:rPr>
            </w:pPr>
          </w:p>
        </w:tc>
        <w:tc>
          <w:tcPr>
            <w:tcW w:w="3700" w:type="dxa"/>
            <w:vAlign w:val="bottom"/>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Non-GAAP Measures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10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12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380" w:type="dxa"/>
            <w:vAlign w:val="bottom"/>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rPr>
              <w:t>Supplemental Information</w:t>
            </w:r>
          </w:p>
        </w:tc>
        <w:tc>
          <w:tcPr>
            <w:tcW w:w="220" w:type="dxa"/>
            <w:vAlign w:val="bottom"/>
            <w:shd w:val="clear" w:color="auto" w:fill="CCEEFF"/>
          </w:tcPr>
          <w:p>
            <w:pPr>
              <w:spacing w:after="0"/>
              <w:rPr>
                <w:sz w:val="19"/>
                <w:szCs w:val="19"/>
                <w:color w:val="auto"/>
              </w:rPr>
            </w:pPr>
          </w:p>
        </w:tc>
        <w:tc>
          <w:tcPr>
            <w:tcW w:w="338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color w:val="auto"/>
              </w:rPr>
              <w:t>Gentex</w:t>
            </w:r>
          </w:p>
        </w:tc>
        <w:tc>
          <w:tcPr>
            <w:tcW w:w="360" w:type="dxa"/>
            <w:vAlign w:val="bottom"/>
          </w:tcPr>
          <w:p>
            <w:pPr>
              <w:spacing w:after="0"/>
              <w:rPr>
                <w:sz w:val="19"/>
                <w:szCs w:val="19"/>
                <w:color w:val="auto"/>
              </w:rPr>
            </w:pPr>
          </w:p>
        </w:tc>
        <w:tc>
          <w:tcPr>
            <w:tcW w:w="1480" w:type="dxa"/>
            <w:vAlign w:val="bottom"/>
            <w:gridSpan w:val="3"/>
          </w:tcPr>
          <w:p>
            <w:pPr>
              <w:ind w:left="260"/>
              <w:spacing w:after="0"/>
              <w:rPr>
                <w:sz w:val="20"/>
                <w:szCs w:val="20"/>
                <w:color w:val="auto"/>
              </w:rPr>
            </w:pPr>
            <w:r>
              <w:rPr>
                <w:rFonts w:ascii="Arial" w:cs="Arial" w:eastAsia="Arial" w:hAnsi="Arial"/>
                <w:sz w:val="18"/>
                <w:szCs w:val="18"/>
                <w:b w:val="1"/>
                <w:bCs w:val="1"/>
                <w:color w:val="auto"/>
              </w:rPr>
              <w:t>VOXX</w:t>
            </w:r>
          </w:p>
        </w:tc>
        <w:tc>
          <w:tcPr>
            <w:tcW w:w="1840" w:type="dxa"/>
            <w:vAlign w:val="bottom"/>
            <w:gridSpan w:val="3"/>
          </w:tcPr>
          <w:p>
            <w:pPr>
              <w:ind w:left="80"/>
              <w:spacing w:after="0"/>
              <w:rPr>
                <w:sz w:val="20"/>
                <w:szCs w:val="20"/>
                <w:color w:val="auto"/>
              </w:rPr>
            </w:pPr>
            <w:r>
              <w:rPr>
                <w:rFonts w:ascii="Arial" w:cs="Arial" w:eastAsia="Arial" w:hAnsi="Arial"/>
                <w:sz w:val="18"/>
                <w:szCs w:val="18"/>
                <w:b w:val="1"/>
                <w:bCs w:val="1"/>
                <w:color w:val="auto"/>
              </w:rPr>
              <w:t>Consolidated 2025</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Consolidated 2024</w:t>
            </w:r>
          </w:p>
        </w:tc>
        <w:tc>
          <w:tcPr>
            <w:tcW w:w="0" w:type="dxa"/>
            <w:vAlign w:val="bottom"/>
          </w:tcPr>
          <w:p>
            <w:pPr>
              <w:spacing w:after="0"/>
              <w:rPr>
                <w:sz w:val="1"/>
                <w:szCs w:val="1"/>
                <w:color w:val="auto"/>
              </w:rPr>
            </w:pPr>
          </w:p>
        </w:tc>
      </w:tr>
      <w:tr>
        <w:trPr>
          <w:trHeight w:val="250"/>
        </w:trPr>
        <w:tc>
          <w:tcPr>
            <w:tcW w:w="39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Gross Profit - GAAP</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595,127,667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47,063,560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642,191,227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594,864,551</w:t>
            </w: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Inventory purchase price step-up adjustments</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2,498,442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2,498,442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pursuance to ASC 805</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gridSpan w:val="2"/>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Adjusted Gross Profit - (Non-GAAP)</w:t>
            </w:r>
          </w:p>
        </w:tc>
        <w:tc>
          <w:tcPr>
            <w:tcW w:w="3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595,127,667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49,562,002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644,689,669</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594,864,551</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Gross Margin - GAAP</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34.0 %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Margin - (Non-GAAP)</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 GAAP</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238,632,884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49,724,164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288,357,048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224,906,065</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Related Costs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2,281,458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1,515,844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3,797,302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Severance Costs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9,604,204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587,234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10,191,438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Expenses - (Non-GAAP)</w:t>
            </w:r>
          </w:p>
        </w:tc>
        <w:tc>
          <w:tcPr>
            <w:tcW w:w="3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226,747,222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47,621,086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274,368,308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224,906,065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 - GAAP</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356,494,783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(2,660,604)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353,834,179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369,958,486</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Inventory purchase price step-up adjustments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2,498,442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vMerge w:val="restart"/>
          </w:tcPr>
          <w:p>
            <w:pPr>
              <w:jc w:val="right"/>
              <w:ind w:right="150"/>
              <w:spacing w:after="0"/>
              <w:rPr>
                <w:sz w:val="20"/>
                <w:szCs w:val="20"/>
                <w:color w:val="auto"/>
              </w:rPr>
            </w:pPr>
            <w:r>
              <w:rPr>
                <w:rFonts w:ascii="Arial" w:cs="Arial" w:eastAsia="Arial" w:hAnsi="Arial"/>
                <w:sz w:val="18"/>
                <w:szCs w:val="18"/>
                <w:color w:val="auto"/>
              </w:rPr>
              <w:t>2,498,442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pursuance to ASC 805</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Related Costs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2,281,458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1,515,844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3,797,302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Severance Costs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9,604,204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587,234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10,191,438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Adjusted Income from Operations - (Non-</w:t>
            </w: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368,380,445</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1,940,916</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370,321,361</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369,958,486</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320" w:type="dxa"/>
            <w:vAlign w:val="bottom"/>
            <w:tcBorders>
              <w:bottom w:val="single" w:sz="8" w:color="auto"/>
            </w:tcBorders>
            <w:gridSpan w:val="2"/>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u w:val="single" w:color="auto"/>
          <w:color w:val="auto"/>
        </w:rPr>
        <w:t>Adjusted Net Income (Loss) and Adjusted Earnings per Diluted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Net Income Attributable to Gentex 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Earnings per Diluted Share Attributable to Gentex Corporation are also presented as supplemental measures of the Company's performance for the same reasons set forth above. Adjusted Net Income (Loss) is defined as Net Income (Loss) adjusted for purchase price adjustments pursuant to ASC 805,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ind w:right="20"/>
        <w:spacing w:after="0" w:line="287" w:lineRule="auto"/>
        <w:rPr>
          <w:sz w:val="20"/>
          <w:szCs w:val="20"/>
          <w:color w:val="auto"/>
        </w:rPr>
      </w:pPr>
      <w:r>
        <w:rPr>
          <w:rFonts w:ascii="Arial" w:cs="Arial" w:eastAsia="Arial" w:hAnsi="Arial"/>
          <w:sz w:val="18"/>
          <w:szCs w:val="18"/>
          <w:color w:val="auto"/>
        </w:rPr>
        <w:t>acquisition related costs, and severance costs during the second quarter of 2025. Adjusted Earnings per Diluted Share is defined as Adjusted Net Income (Loss) divided by weighted average diluted shares outstanding.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60" w:type="dxa"/>
            <w:vAlign w:val="bottom"/>
            <w:shd w:val="clear" w:color="auto" w:fill="CCEEFF"/>
          </w:tcPr>
          <w:p>
            <w:pPr>
              <w:spacing w:after="0"/>
              <w:rPr>
                <w:sz w:val="19"/>
                <w:szCs w:val="19"/>
                <w:color w:val="auto"/>
              </w:rPr>
            </w:pPr>
          </w:p>
        </w:tc>
        <w:tc>
          <w:tcPr>
            <w:tcW w:w="440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Reconciliation of Non-GAAP Measures (continued)</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Borders>
              <w:top w:val="single" w:sz="8" w:color="CCEEFF"/>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gridSpan w:val="3"/>
          </w:tcPr>
          <w:p>
            <w:pPr>
              <w:ind w:left="1020"/>
              <w:spacing w:after="0"/>
              <w:rPr>
                <w:sz w:val="20"/>
                <w:szCs w:val="20"/>
                <w:color w:val="auto"/>
              </w:rPr>
            </w:pPr>
            <w:r>
              <w:rPr>
                <w:rFonts w:ascii="Arial" w:cs="Arial" w:eastAsia="Arial" w:hAnsi="Arial"/>
                <w:sz w:val="18"/>
                <w:szCs w:val="18"/>
                <w:b w:val="1"/>
                <w:bCs w:val="1"/>
                <w:color w:val="auto"/>
              </w:rPr>
              <w:t>(Unaudited)</w:t>
            </w:r>
          </w:p>
        </w:tc>
        <w:tc>
          <w:tcPr>
            <w:tcW w:w="1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Gentex</w:t>
            </w:r>
          </w:p>
        </w:tc>
        <w:tc>
          <w:tcPr>
            <w:tcW w:w="360" w:type="dxa"/>
            <w:vAlign w:val="bottom"/>
          </w:tcPr>
          <w:p>
            <w:pPr>
              <w:spacing w:after="0"/>
              <w:rPr>
                <w:sz w:val="19"/>
                <w:szCs w:val="19"/>
                <w:color w:val="auto"/>
              </w:rPr>
            </w:pPr>
          </w:p>
        </w:tc>
        <w:tc>
          <w:tcPr>
            <w:tcW w:w="1400" w:type="dxa"/>
            <w:vAlign w:val="bottom"/>
            <w:gridSpan w:val="3"/>
          </w:tcPr>
          <w:p>
            <w:pPr>
              <w:ind w:left="220"/>
              <w:spacing w:after="0"/>
              <w:rPr>
                <w:sz w:val="20"/>
                <w:szCs w:val="20"/>
                <w:color w:val="auto"/>
              </w:rPr>
            </w:pPr>
            <w:r>
              <w:rPr>
                <w:rFonts w:ascii="Arial" w:cs="Arial" w:eastAsia="Arial" w:hAnsi="Arial"/>
                <w:sz w:val="18"/>
                <w:szCs w:val="18"/>
                <w:b w:val="1"/>
                <w:bCs w:val="1"/>
                <w:color w:val="auto"/>
              </w:rPr>
              <w:t>VOXX</w:t>
            </w: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Consolidated 2025</w:t>
            </w: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2024</w:t>
            </w: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Income (Loss) Attributable to Gentex</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292,191,013</w:t>
            </w:r>
          </w:p>
        </w:tc>
        <w:tc>
          <w:tcPr>
            <w:tcW w:w="8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(309,474)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291,881,539</w:t>
            </w:r>
          </w:p>
        </w:tc>
        <w:tc>
          <w:tcPr>
            <w:tcW w:w="10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316,820,194</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Corporation - GAAP</w:t>
            </w:r>
          </w:p>
        </w:tc>
        <w:tc>
          <w:tcPr>
            <w:tcW w:w="3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Inventory purchase price step-up adjustments</w:t>
            </w:r>
          </w:p>
        </w:tc>
        <w:tc>
          <w:tcPr>
            <w:tcW w:w="32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2,081,202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2,081,202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pursuance to ASC 805, net of tax</w:t>
            </w:r>
          </w:p>
        </w:tc>
        <w:tc>
          <w:tcPr>
            <w:tcW w:w="320" w:type="dxa"/>
            <w:vAlign w:val="bottom"/>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Acquisition Related Costs, net of tax</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1,900,455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1,262,698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3,163,153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Costs,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8,000,302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8,489,468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436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Adjusted Net Income Attributable to Gentex</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302,091,770</w:t>
            </w:r>
          </w:p>
        </w:tc>
        <w:tc>
          <w:tcPr>
            <w:tcW w:w="8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3,523,592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305,615,362</w:t>
            </w:r>
          </w:p>
        </w:tc>
        <w:tc>
          <w:tcPr>
            <w:tcW w:w="100" w:type="dxa"/>
            <w:vAlign w:val="bottom"/>
          </w:tcPr>
          <w:p>
            <w:pPr>
              <w:spacing w:after="0"/>
              <w:rPr>
                <w:sz w:val="13"/>
                <w:szCs w:val="13"/>
                <w:color w:val="auto"/>
              </w:rPr>
            </w:pP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316,820,194</w:t>
            </w:r>
          </w:p>
        </w:tc>
        <w:tc>
          <w:tcPr>
            <w:tcW w:w="0" w:type="dxa"/>
            <w:vAlign w:val="bottom"/>
          </w:tcPr>
          <w:p>
            <w:pPr>
              <w:spacing w:after="0"/>
              <w:rPr>
                <w:sz w:val="1"/>
                <w:szCs w:val="1"/>
                <w:color w:val="auto"/>
              </w:rPr>
            </w:pPr>
          </w:p>
        </w:tc>
      </w:tr>
      <w:tr>
        <w:trPr>
          <w:trHeight w:val="221"/>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Corporation - (Non-GAAP)</w:t>
            </w:r>
          </w:p>
        </w:tc>
        <w:tc>
          <w:tcPr>
            <w:tcW w:w="3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Adjusted Earnings Per Share:</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cash equivalents, and restricted cash as of September 30, 2025 were $181.4 million, a decrease of $51.9 million, compared to $ 233.3 million as of December 31, 2024. The decrease was primarily due to cash outflows related to the share repurchases, as well as the acquisitions of VOXX and BioConnect, capital expenditures, dividend payments, and investment purchases, which was partially offset by cash flows from operations and proceeds from the sale of investments during the nine months ended September 30, 2025.</w:t>
      </w:r>
    </w:p>
    <w:p>
      <w:pPr>
        <w:spacing w:after="0" w:line="1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Short-term investments as of September 30, 2025 were $ 4.8 million, down from $ 22.3 million as of December 31, 2024, and long-term investments were $247.4 million as of September 30, 2025, down from $339.6 million as of December 31, 2024.</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receivable as of September 30, 2025 increased approximately $89.3 million compared to December 31, 2024, primarily due to the timing of customer payments during the nine months ended September 30, 2025, as well as the addition of VOXX sales.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Inventories as of September 30, 2025 were $499.2 million, compared to $436.5 million as of December 31, 2024, primarily due to an increase in finished goods primarily as a result of the acquisition of VOXX.</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payable as of September 30, 2025 increased approximately $83.7 million to $252.0 million, compared to December 31, 2024, primarily driven by timing of payments within the period and the addition of VOXX.</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Accrued liabilities as of September 30, 2025 increased approximately $53.9 million compared to December 31, 2024, primarily due to increases in accrued salaries and wages and accrued royalties payable driven by the VOXX acquisition.</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flow from operating activities for the nine months ended September 30, 2025 increased $117.8 million to $461.6 million, compared with $343.8 million during the same period last year, primarily due to changes in working capital.</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Capital expenditures for the nine months ended September 30, 2025 were approximately $103.4 million, compared with approximately $103.0 million for the same period last year.</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During the fourth quarter of 2024, the Company completed construction on two building expansions. The Company expanded its current distribution center by an additional 300,000 square feet, at a total cost of approximately $ 40 million. The Company also expanded one of its manufacturing facilities by an additional 60,000 square feet, with a total cost of approximately $20 million. Both of these expansion projects were funded with cash and cash equivalents on hand. The Company also entered into a multi-year lease for 32,000 square feet of manufacturing space at a location approximately 20 miles from its main campus that began operations during the second quarter of 2023.</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2023, the Company began the design and initial build phase of the previously announced Gentex Discovery Preschool, an on-site daycare and preschool designed to provide Company employees with convenient, cost-effective access to quality childcare. As previously disclosed, construction began in the third quarter of 2024, with an expected completion date in the fourth quarter of 2025. The total cost of the building project is expected to be $15 - $20 million, which is also being funded with cash on hand.</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estimates that it currently has building capacity to manufacture approximately 42 - 45 million interior mirror units annually and approximately 19 - 22 million exterior mirror units annually, based on current product mix. The Company also evaluates equipment capacity on an ongoing basis and adds equipment as needed.</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774,017,673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784,635,494</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Fixed Income Long-Term Investments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85,874,936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141,961,474</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859,892,609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926,596,968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market trends, and other factors the Company deems appropriate (including, but not limited to, the market price of the stock, anti-dilutive effect of repurchases, and available cash). During the nine months ended September 30, 2025, the Company repurchased 9,805,995 shares. The Company had 39,643,403 shares remaining available for repurchase under the plan as of September 30, 2025, as is further detailed in </w:t>
      </w:r>
      <w:r>
        <w:rPr>
          <w:rFonts w:ascii="Arial" w:cs="Arial" w:eastAsia="Arial" w:hAnsi="Arial"/>
          <w:sz w:val="18"/>
          <w:szCs w:val="18"/>
          <w:u w:val="single" w:color="auto"/>
          <w:color w:val="auto"/>
        </w:rPr>
        <w:t>Part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Item 2</w:t>
      </w:r>
      <w:r>
        <w:rPr>
          <w:rFonts w:ascii="Arial" w:cs="Arial" w:eastAsia="Arial" w:hAnsi="Arial"/>
          <w:sz w:val="18"/>
          <w:szCs w:val="18"/>
          <w:color w:val="auto"/>
        </w:rPr>
        <w:t xml:space="preserve"> of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third quarter of 2025, the Company reported net sales of $655.2 million, compared to net sales of $608.5 million in the third quarter of 2024 (which did not include VOXX), an 8% increase quarter over quarter. Core Gentex revenue (excluding VOXX) for the third quarter of 2025 declined 6% versus the third quarter of 2024, while global light vehicle production in North America, Europe, and Japan/Korea increased approximately 2% in the third quarter of 2025, when compared to the third quarter of 2024.</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2025, the Company had 42 net new nameplate launches of interior and exterior auto-dimming mirrors and electronic features. Over half of the net launches in the quarter included advanced feature launches,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the primary technologies.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Mirror Systems</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2023, The People's Republic of China newly issued GB15084 and the related procedures, which allow for the Company's frameless inside mirrors to be used on vehicles in the China domestic market.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United Nations Economic Commission (UN ECE) recently established a working group (Task Force Glare Protection) on the subject of glare in road traffic. The Task Force Glare Protection will investigate the burden and danger of road glare from vehicle headlamps and initiate necessary measures. The Company believes its auto-dimming mirror products can be a solution for necessary measures initiated by this UN ECE task force.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 -dimming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 The Company remains confident that ongoing discussions with other</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42" w:name="page43"/>
    <w:bookmarkEnd w:id="42"/>
    <w:p>
      <w:pPr>
        <w:jc w:val="both"/>
        <w:spacing w:after="0" w:line="232" w:lineRule="auto"/>
        <w:rPr>
          <w:sz w:val="20"/>
          <w:szCs w:val="20"/>
          <w:color w:val="auto"/>
        </w:rPr>
      </w:pPr>
      <w:r>
        <w:rPr>
          <w:rFonts w:ascii="Arial" w:cs="Arial" w:eastAsia="Arial" w:hAnsi="Arial"/>
          <w:sz w:val="18"/>
          <w:szCs w:val="18"/>
          <w:color w:val="auto"/>
        </w:rPr>
        <w:t>customers may cause such customers to consider more fully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monitoring systems to replace mirrors in Japan and European countries. Since January 2017, camera monitoring systems are also permitted as an alternative to replace mirrors in the Korea market. As noted, China released an updated version of its GB15084, effective in 2023, which allows for camera monitoring systems, frameless mirrors and aspheric (free form) glass surfaces. Notwithstanding the foregoing, the Company continues to believe rearview mirrors provide a robust, simple and cost-effective means to view the surrounding areas of a vehicle and remain a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The Company has also previously announced that it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is increased competition.</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began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Digital Video Recording ("DVR") capability in 2020. This mirror and system launched in the Japan market and combines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the added capability to record video from the rearward facing and forward-facing cameras simultaneously. The data is stored to an SD storage card as requested by the customer. This integrated solution provides consumers with the features they want, while allowing the OEM to control the integration and execution in the vehicle. In the first quarter of 2025, the Company launched the Gentex ReVu app, which allows a user to connect to the mirror and download the images or recordings from the DVR to the app on the user's phone. Shipments to customers of this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DVR to be used with the app are underway.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Connected Car</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In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app, which uses both RF and wireless cloud-based</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28" w:right="339" w:bottom="1440" w:gutter="0" w:footer="0" w:header="0"/>
        </w:sectPr>
      </w:pPr>
    </w:p>
    <w:bookmarkStart w:id="43" w:name="page44"/>
    <w:bookmarkEnd w:id="43"/>
    <w:p>
      <w:pPr>
        <w:jc w:val="both"/>
        <w:spacing w:after="0" w:line="235" w:lineRule="auto"/>
        <w:rPr>
          <w:sz w:val="20"/>
          <w:szCs w:val="20"/>
          <w:color w:val="auto"/>
        </w:rPr>
      </w:pPr>
      <w:r>
        <w:rPr>
          <w:rFonts w:ascii="Arial" w:cs="Arial" w:eastAsia="Arial" w:hAnsi="Arial"/>
          <w:sz w:val="18"/>
          <w:szCs w:val="18"/>
          <w:color w:val="auto"/>
        </w:rPr>
        <w:t>connectivity to deliver complete vehicle-to-home automation. With the HomeLink app,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app on the user’s smartphone. The app contains predefined, user-programmed actions, from single device operations to entire home automation scenes. The app, in turn, communicates to the home’s smart hub over the cloud, activating the appropriate devices, including security systems, door locks, thermostats, lighting, and other home automation devices, providing comprehensive vehicle-to-home automation. The ability to prepare the home for arrival or departure can occur with one button press. For automakers, this functionality allows them to offer customizable, yet proven solutions without the engineering efforts or security concerns associated with integrating third party software into the vehicle’s computer network. The Company also continues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In 2021, the Company announced Volkswagen as the first automaker to offer Bluetooth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enabled mirror for home automation that works in conjunction with the HomeLink app.</w:t>
      </w:r>
    </w:p>
    <w:p>
      <w:pPr>
        <w:spacing w:after="0" w:line="1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can still represent another growth opportunity over the next several years.</w:t>
      </w:r>
    </w:p>
    <w:p>
      <w:pPr>
        <w:spacing w:after="0" w:line="22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previously announced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11 Audi platforms, which are: the A4, A5, A6, A7, A8, Q5, Q5 Sportback,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during 2025. The Company is also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 second OEM customer, Mercedes, for the EQS model. In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recognizes automotive suppliers for superior innovation, technological advancement, and business performance.</w:t>
      </w:r>
    </w:p>
    <w:p>
      <w:pPr>
        <w:spacing w:after="0" w:line="22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current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w:t>
      </w:r>
    </w:p>
    <w:p>
      <w:pPr>
        <w:spacing w:after="0" w:line="2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3"/>
          <w:szCs w:val="23"/>
          <w:color w:val="auto"/>
          <w:vertAlign w:val="superscript"/>
        </w:rPr>
        <w:t>®</w:t>
      </w:r>
      <w:r>
        <w:rPr>
          <w:rFonts w:ascii="Arial" w:cs="Arial" w:eastAsia="Arial" w:hAnsi="Arial"/>
          <w:sz w:val="18"/>
          <w:szCs w:val="18"/>
          <w:color w:val="auto"/>
        </w:rPr>
        <w:t>, which, again, is the automotive industry’s leading car-to-home automation system.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consists of vehicle-integrated buttons that can be programmed to operate a myriad of home automation devices. Integration of Simplenight into 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is underway and will allow users to program their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buttons and control cloud-based devices from their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2019, the Company announced that its latest generation of dimmable aircraft windows will be offered as optional content on the new Boeing 777X. In 2019, the first production shipments of variably dimmable windows were made to Boeing for the 777X program. As also previously announced, Airbus is now offering, as optional content, the Company's dimmable aircraft windows on its aircraft, with production having begun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Through 2025, the Company has continued to further develop and work on the intelligent medical lighting system in order to assess system performance and work toward obtaining any necessary approvals.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in the ordinary course of business, the Company acquired certain technology assets from eSight. The technology acquired provides the most advanced and versatile low-vision smart glasses available for those with visual impairments and is compatible with more than 20 eye conditions including Macular Degeneration, Diabetic Retinopathy, and Stargardt disease. eSight4 is a Class 1 Medical Device that is registered with the FDA, registered with EUDAMED, and inspected by Health Canada. During 2024, the Company recorded its first official sales of medical devices from shipments of the e-Sight Go product.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Biometric Products</w:t>
      </w:r>
    </w:p>
    <w:p>
      <w:pPr>
        <w:spacing w:after="0" w:line="25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2024, the Company acquired GalvanEyes, LLC, which is the managing partner and 50% owner of the BioCenturion joint venture with Eyelock, a majority-owned subsidiary of VOXX. BioCenturion specializes in creating and deploying authentication solutions to help clients secure their worlds, optimize their workloads, and organize their data through customized biometric solutions. BioCenturion's significant IP portfolio, including more than 100 patents granted, patents pending, and proprietary technology enables a high-speed, convenient, touchless, contactless, frictionless, and secure authentication of individuals across different business verticals. With the acquisition of VOXX on April 1, 2025, which included its majority-owned subsidiary EyeLock</w:t>
      </w:r>
      <w:r>
        <w:rPr>
          <w:rFonts w:ascii="Arial" w:cs="Arial" w:eastAsia="Arial" w:hAnsi="Arial"/>
          <w:sz w:val="23"/>
          <w:szCs w:val="23"/>
          <w:color w:val="auto"/>
          <w:vertAlign w:val="superscript"/>
        </w:rPr>
        <w:t>®</w:t>
      </w:r>
      <w:r>
        <w:rPr>
          <w:rFonts w:ascii="Arial" w:cs="Arial" w:eastAsia="Arial" w:hAnsi="Arial"/>
          <w:sz w:val="18"/>
          <w:szCs w:val="18"/>
          <w:color w:val="auto"/>
        </w:rPr>
        <w:t>, and the subsequent acquisition of the remaining interest in EyeLock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August 2025, the Company now owns 100% of BioCenturion. These acquisitions have also enabled the Company to gain full access to the EyeLock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 biometric technology, which will provide more product applications in the Company's automotive, aerospace, and medical markets. In July 2025, the Company acquired BioConnect Inc., a multi-modal biometric authentication platform provider for physical and digital access control, serving a number of industries. The Company intends to utilize this acquisition to further expand its reach in the biometric space.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Fire Protection</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2025, the Company began shipments of its PLACE product line. PLACE is a suite of advanced, multi-functional smoke and carbon monoxide alarms designed to elevate home safety, comfort, and security through room-specific intelligence. The system is managed via an intuitive mobile app and features an industry-first low-frequency sounder, engineered to improve alarm effectiveness for deep sleepers, children, and individuals with hearing impairments. It also aligns with emerging safety standards, including updated residential codes adopted in states like California.</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auto"/>
        </w:rPr>
        <w:t>VOXX Products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the acquisition of VOXX on April 1, 2025, the Company made a strategic addition to its portfolio of products, as VOXX's product lines will both compliment the Company's existing businesses and help Gentex continue to expand in the consumer technology and connected home space. As a subsidiary of Gentex, VOXX will continue to manufacture and distribute various products across the automotive OEM and aftermarket electronics, consumer technologies, and premium audio global markets.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Automotive revenues represented approximately 88% - 91% of the Company's total revenue during the three and nine months ended September 30, 2025, consisting of interior and exterior electrochromic automatic-dimming rearview mirrors and other automotive electronics.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been, is being, and will continue to be impacted by tariffs, trade regulatory actions, and changes in international trade policies as further explained below.</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continues to experience pricing pressure from automotive customers and competitors, in addition to tariff increases, raw material cost increases, labor cost increases, and logistics cost increases, which will continue to cause downward pressure on its sales and profit margins. The Company works continuously to offset these supply chain issues and inflationary pressures with engineering and purchasing cost reductions, productivity improvements, increases in unit sales volume, and negotiations with customers to reduce the impact of the inflationary pressures, but there is no assurance the Company will be able to do so in the future.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is affected by uncertain economic conditions that reduce demand for its products, including the current inflationary environment and tariffs. The Company is likewise affected by industry-wide parts shortages and global supply constraints and labor shortages.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premium audio, aerospace, medical, and biometrics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3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Company’s current forecasts for light vehicle production for the fourth quarter of 2025, and full years 2025 and 2026, are based on the mid-October 2025 S&amp;P Global Mobility forecast for light vehicle production in North America, Europe, Japan/Korea, and</w:t>
      </w:r>
    </w:p>
    <w:p>
      <w:pPr>
        <w:spacing w:after="0" w:line="226" w:lineRule="auto"/>
        <w:rPr>
          <w:sz w:val="20"/>
          <w:szCs w:val="20"/>
          <w:color w:val="auto"/>
        </w:rPr>
      </w:pPr>
      <w:r>
        <w:rPr>
          <w:rFonts w:ascii="Arial" w:cs="Arial" w:eastAsia="Arial" w:hAnsi="Arial"/>
          <w:sz w:val="18"/>
          <w:szCs w:val="18"/>
          <w:color w:val="auto"/>
        </w:rPr>
        <w:t>China. Global light vehicle production for the fourth quarter of 2025 is expected to be decline approximately 4%, versus the fourth quarter of 2024. Full-year 2025 production in the Company's primary markets is expected to be down 1% year-over-year, while</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production in North America is projected to fall approximately 2% in 2025 compared to 2024. Fourth quarter of 2025, and calendar years 2025 and 2026, forecasted light vehicle production volumes are shown below:</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Light Vehicle Production (per S&amp;P Global Mobility mid-October light vehicle production forecast)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tbl>
      <w:tblPr>
        <w:tblLayout w:type="fixed"/>
        <w:tblInd w:w="0" w:type="dxa"/>
        <w:tblCellMar>
          <w:top w:w="0" w:type="dxa"/>
          <w:left w:w="0" w:type="dxa"/>
          <w:bottom w:w="0" w:type="dxa"/>
          <w:right w:w="0" w:type="dxa"/>
        </w:tblCellMar>
      </w:tblPr>
      <w:tr>
        <w:trPr>
          <w:trHeight w:val="178"/>
        </w:trPr>
        <w:tc>
          <w:tcPr>
            <w:tcW w:w="1940" w:type="dxa"/>
            <w:vAlign w:val="bottom"/>
            <w:vMerge w:val="restart"/>
          </w:tcPr>
          <w:p>
            <w:pPr>
              <w:ind w:left="20"/>
              <w:spacing w:after="0"/>
              <w:rPr>
                <w:sz w:val="20"/>
                <w:szCs w:val="20"/>
                <w:color w:val="auto"/>
              </w:rPr>
            </w:pPr>
            <w:r>
              <w:rPr>
                <w:rFonts w:ascii="Arial" w:cs="Arial" w:eastAsia="Arial" w:hAnsi="Arial"/>
                <w:sz w:val="16"/>
                <w:szCs w:val="16"/>
                <w:color w:val="auto"/>
              </w:rPr>
              <w:t>Region</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Q4 2025</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Q4 2024</w:t>
            </w: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Change</w:t>
            </w:r>
          </w:p>
        </w:tc>
        <w:tc>
          <w:tcPr>
            <w:tcW w:w="940" w:type="dxa"/>
            <w:vAlign w:val="bottom"/>
          </w:tcPr>
          <w:p>
            <w:pPr>
              <w:jc w:val="right"/>
              <w:ind w:right="53"/>
              <w:spacing w:after="0" w:line="178" w:lineRule="exact"/>
              <w:rPr>
                <w:sz w:val="20"/>
                <w:szCs w:val="20"/>
                <w:color w:val="auto"/>
              </w:rPr>
            </w:pPr>
            <w:r>
              <w:rPr>
                <w:rFonts w:ascii="Arial" w:cs="Arial" w:eastAsia="Arial" w:hAnsi="Arial"/>
                <w:sz w:val="16"/>
                <w:szCs w:val="16"/>
                <w:b w:val="1"/>
                <w:bCs w:val="1"/>
                <w:color w:val="auto"/>
              </w:rPr>
              <w:t>Calendar</w:t>
            </w:r>
          </w:p>
        </w:tc>
        <w:tc>
          <w:tcPr>
            <w:tcW w:w="920" w:type="dxa"/>
            <w:vAlign w:val="bottom"/>
          </w:tcPr>
          <w:p>
            <w:pPr>
              <w:jc w:val="right"/>
              <w:ind w:right="33"/>
              <w:spacing w:after="0" w:line="178" w:lineRule="exact"/>
              <w:rPr>
                <w:sz w:val="20"/>
                <w:szCs w:val="20"/>
                <w:color w:val="auto"/>
              </w:rPr>
            </w:pPr>
            <w:r>
              <w:rPr>
                <w:rFonts w:ascii="Arial" w:cs="Arial" w:eastAsia="Arial" w:hAnsi="Arial"/>
                <w:sz w:val="16"/>
                <w:szCs w:val="16"/>
                <w:b w:val="1"/>
                <w:bCs w:val="1"/>
                <w:color w:val="auto"/>
              </w:rPr>
              <w:t>Calendar</w:t>
            </w:r>
          </w:p>
        </w:tc>
        <w:tc>
          <w:tcPr>
            <w:tcW w:w="1060" w:type="dxa"/>
            <w:vAlign w:val="bottom"/>
            <w:gridSpan w:val="2"/>
          </w:tcPr>
          <w:p>
            <w:pPr>
              <w:jc w:val="center"/>
              <w:ind w:right="140"/>
              <w:spacing w:after="0" w:line="178" w:lineRule="exact"/>
              <w:rPr>
                <w:sz w:val="20"/>
                <w:szCs w:val="20"/>
                <w:color w:val="auto"/>
              </w:rPr>
            </w:pPr>
            <w:r>
              <w:rPr>
                <w:rFonts w:ascii="Arial" w:cs="Arial" w:eastAsia="Arial" w:hAnsi="Arial"/>
                <w:sz w:val="16"/>
                <w:szCs w:val="16"/>
                <w:b w:val="1"/>
                <w:bCs w:val="1"/>
                <w:color w:val="auto"/>
                <w:w w:val="99"/>
              </w:rPr>
              <w:t>Calendar</w:t>
            </w:r>
          </w:p>
        </w:tc>
        <w:tc>
          <w:tcPr>
            <w:tcW w:w="1220" w:type="dxa"/>
            <w:vAlign w:val="bottom"/>
          </w:tcPr>
          <w:p>
            <w:pPr>
              <w:jc w:val="right"/>
              <w:ind w:right="33"/>
              <w:spacing w:after="0" w:line="178" w:lineRule="exact"/>
              <w:rPr>
                <w:sz w:val="20"/>
                <w:szCs w:val="20"/>
                <w:color w:val="auto"/>
              </w:rPr>
            </w:pPr>
            <w:r>
              <w:rPr>
                <w:rFonts w:ascii="Arial" w:cs="Arial" w:eastAsia="Arial" w:hAnsi="Arial"/>
                <w:sz w:val="16"/>
                <w:szCs w:val="16"/>
                <w:b w:val="1"/>
                <w:bCs w:val="1"/>
                <w:color w:val="auto"/>
              </w:rPr>
              <w:t>2026 vs 2025</w:t>
            </w:r>
          </w:p>
        </w:tc>
        <w:tc>
          <w:tcPr>
            <w:tcW w:w="1220" w:type="dxa"/>
            <w:vAlign w:val="bottom"/>
          </w:tcPr>
          <w:p>
            <w:pPr>
              <w:jc w:val="right"/>
              <w:ind w:right="53"/>
              <w:spacing w:after="0" w:line="178" w:lineRule="exact"/>
              <w:rPr>
                <w:sz w:val="20"/>
                <w:szCs w:val="20"/>
                <w:color w:val="auto"/>
              </w:rPr>
            </w:pPr>
            <w:r>
              <w:rPr>
                <w:rFonts w:ascii="Arial" w:cs="Arial" w:eastAsia="Arial" w:hAnsi="Arial"/>
                <w:sz w:val="16"/>
                <w:szCs w:val="16"/>
                <w:b w:val="1"/>
                <w:bCs w:val="1"/>
                <w:color w:val="auto"/>
              </w:rPr>
              <w:t>2025 vs 2024</w:t>
            </w: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6"/>
                <w:szCs w:val="16"/>
                <w:b w:val="1"/>
                <w:bCs w:val="1"/>
                <w:color w:val="auto"/>
              </w:rPr>
              <w:t>Year 2026</w:t>
            </w:r>
          </w:p>
        </w:tc>
        <w:tc>
          <w:tcPr>
            <w:tcW w:w="920" w:type="dxa"/>
            <w:vAlign w:val="bottom"/>
          </w:tcPr>
          <w:p>
            <w:pPr>
              <w:jc w:val="right"/>
              <w:ind w:right="13"/>
              <w:spacing w:after="0"/>
              <w:rPr>
                <w:sz w:val="20"/>
                <w:szCs w:val="20"/>
                <w:color w:val="auto"/>
              </w:rPr>
            </w:pPr>
            <w:r>
              <w:rPr>
                <w:rFonts w:ascii="Arial" w:cs="Arial" w:eastAsia="Arial" w:hAnsi="Arial"/>
                <w:sz w:val="16"/>
                <w:szCs w:val="16"/>
                <w:b w:val="1"/>
                <w:bCs w:val="1"/>
                <w:color w:val="auto"/>
              </w:rPr>
              <w:t>Year 2025</w:t>
            </w: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Year 2024</w:t>
            </w:r>
          </w:p>
        </w:tc>
        <w:tc>
          <w:tcPr>
            <w:tcW w:w="1220" w:type="dxa"/>
            <w:vAlign w:val="bottom"/>
          </w:tcPr>
          <w:p>
            <w:pPr>
              <w:jc w:val="right"/>
              <w:ind w:right="133"/>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1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14.75</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Europe</w:t>
            </w:r>
          </w:p>
        </w:tc>
        <w:tc>
          <w:tcPr>
            <w:tcW w:w="760" w:type="dxa"/>
            <w:vAlign w:val="bottom"/>
          </w:tcPr>
          <w:p>
            <w:pPr>
              <w:jc w:val="right"/>
              <w:spacing w:after="0"/>
              <w:rPr>
                <w:sz w:val="20"/>
                <w:szCs w:val="20"/>
                <w:color w:val="auto"/>
              </w:rPr>
            </w:pPr>
            <w:r>
              <w:rPr>
                <w:rFonts w:ascii="Arial" w:cs="Arial" w:eastAsia="Arial" w:hAnsi="Arial"/>
                <w:sz w:val="18"/>
                <w:szCs w:val="18"/>
                <w:color w:val="auto"/>
              </w:rPr>
              <w:t>4.26</w:t>
            </w:r>
          </w:p>
        </w:tc>
        <w:tc>
          <w:tcPr>
            <w:tcW w:w="760" w:type="dxa"/>
            <w:vAlign w:val="bottom"/>
          </w:tcPr>
          <w:p>
            <w:pPr>
              <w:jc w:val="right"/>
              <w:spacing w:after="0"/>
              <w:rPr>
                <w:sz w:val="20"/>
                <w:szCs w:val="20"/>
                <w:color w:val="auto"/>
              </w:rPr>
            </w:pPr>
            <w:r>
              <w:rPr>
                <w:rFonts w:ascii="Arial" w:cs="Arial" w:eastAsia="Arial" w:hAnsi="Arial"/>
                <w:sz w:val="18"/>
                <w:szCs w:val="18"/>
                <w:color w:val="auto"/>
              </w:rPr>
              <w:t>4.35</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16.84</w:t>
            </w:r>
          </w:p>
        </w:tc>
        <w:tc>
          <w:tcPr>
            <w:tcW w:w="920" w:type="dxa"/>
            <w:vAlign w:val="bottom"/>
          </w:tcPr>
          <w:p>
            <w:pPr>
              <w:jc w:val="right"/>
              <w:spacing w:after="0"/>
              <w:rPr>
                <w:sz w:val="20"/>
                <w:szCs w:val="20"/>
                <w:color w:val="auto"/>
              </w:rPr>
            </w:pPr>
            <w:r>
              <w:rPr>
                <w:rFonts w:ascii="Arial" w:cs="Arial" w:eastAsia="Arial" w:hAnsi="Arial"/>
                <w:sz w:val="18"/>
                <w:szCs w:val="18"/>
                <w:color w:val="auto"/>
              </w:rPr>
              <w:t>16.87</w:t>
            </w:r>
          </w:p>
        </w:tc>
        <w:tc>
          <w:tcPr>
            <w:tcW w:w="920" w:type="dxa"/>
            <w:vAlign w:val="bottom"/>
          </w:tcPr>
          <w:p>
            <w:pPr>
              <w:jc w:val="right"/>
              <w:spacing w:after="0"/>
              <w:rPr>
                <w:sz w:val="20"/>
                <w:szCs w:val="20"/>
                <w:color w:val="auto"/>
              </w:rPr>
            </w:pPr>
            <w:r>
              <w:rPr>
                <w:rFonts w:ascii="Arial" w:cs="Arial" w:eastAsia="Arial" w:hAnsi="Arial"/>
                <w:sz w:val="18"/>
                <w:szCs w:val="18"/>
                <w:color w:val="auto"/>
              </w:rPr>
              <w:t>17.17</w:t>
            </w:r>
          </w:p>
        </w:tc>
        <w:tc>
          <w:tcPr>
            <w:tcW w:w="14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31.71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64"/>
        </w:trPr>
        <w:tc>
          <w:tcPr>
            <w:tcW w:w="19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Total Light Vehicle</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74.84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40" w:type="dxa"/>
            <w:vAlign w:val="bottom"/>
            <w:shd w:val="clear" w:color="auto" w:fill="CCEEFF"/>
          </w:tcPr>
          <w:p>
            <w:pPr>
              <w:spacing w:after="0"/>
              <w:rPr>
                <w:sz w:val="14"/>
                <w:szCs w:val="14"/>
                <w:color w:val="auto"/>
              </w:rPr>
            </w:pPr>
          </w:p>
        </w:tc>
        <w:tc>
          <w:tcPr>
            <w:tcW w:w="12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8"/>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Based on the aforementioned light vehicle production forecast, 2025 nine-month results, reduced demand in the China market stemming from recently implemented counter-tariffs, and the expected incremental sales contribution from the VOXX acquisition, Gentex announced certain changes to its full-year 2025 guidance as of October 24, 2025. This most recent guidance reflects the anticipated impact of all known tariffs effective as of October 23, 2025.</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2025 Annual Guidance </w:t>
      </w:r>
      <w:r>
        <w:rPr>
          <w:rFonts w:ascii="Arial" w:cs="Arial" w:eastAsia="Arial" w:hAnsi="Arial"/>
          <w:sz w:val="18"/>
          <w:szCs w:val="18"/>
          <w:b w:val="1"/>
          <w:bCs w:val="1"/>
          <w:i w:val="1"/>
          <w:iCs w:val="1"/>
          <w:color w:val="auto"/>
        </w:rPr>
        <w:t>(as of October 24, 2025)</w:t>
      </w:r>
    </w:p>
    <w:p>
      <w:pPr>
        <w:spacing w:after="0" w:line="104" w:lineRule="exact"/>
        <w:rPr>
          <w:sz w:val="20"/>
          <w:szCs w:val="20"/>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Consolidated Revenue: $2.50 – $2.60 billion </w:t>
      </w:r>
      <w:r>
        <w:rPr>
          <w:rFonts w:ascii="Arial" w:cs="Arial" w:eastAsia="Arial" w:hAnsi="Arial"/>
          <w:sz w:val="18"/>
          <w:szCs w:val="18"/>
          <w:i w:val="1"/>
          <w:iCs w:val="1"/>
          <w:color w:val="auto"/>
        </w:rPr>
        <w:t>(previously: $2.44 – $2.61 billion)</w:t>
      </w:r>
    </w:p>
    <w:p>
      <w:pPr>
        <w:spacing w:after="0" w:line="27"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Gentex primary markets: $2.14 – $2.15 billion </w:t>
      </w:r>
      <w:r>
        <w:rPr>
          <w:rFonts w:ascii="Arial" w:cs="Arial" w:eastAsia="Arial" w:hAnsi="Arial"/>
          <w:sz w:val="18"/>
          <w:szCs w:val="18"/>
          <w:i w:val="1"/>
          <w:iCs w:val="1"/>
          <w:color w:val="auto"/>
        </w:rPr>
        <w:t>(previously: $2.10 – $2.20 billion)</w:t>
      </w:r>
    </w:p>
    <w:p>
      <w:pPr>
        <w:spacing w:after="0" w:line="9"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Gentex China market: $134 – $145 million </w:t>
      </w:r>
      <w:r>
        <w:rPr>
          <w:rFonts w:ascii="Arial" w:cs="Arial" w:eastAsia="Arial" w:hAnsi="Arial"/>
          <w:sz w:val="18"/>
          <w:szCs w:val="18"/>
          <w:i w:val="1"/>
          <w:iCs w:val="1"/>
          <w:color w:val="auto"/>
        </w:rPr>
        <w:t>(previously: $100 – $125 million)</w:t>
      </w:r>
    </w:p>
    <w:p>
      <w:pPr>
        <w:spacing w:after="0" w:line="9"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VOXX Revenue estimate: $250 – $275 million </w:t>
      </w:r>
      <w:r>
        <w:rPr>
          <w:rFonts w:ascii="Arial" w:cs="Arial" w:eastAsia="Arial" w:hAnsi="Arial"/>
          <w:sz w:val="18"/>
          <w:szCs w:val="18"/>
          <w:i w:val="1"/>
          <w:iCs w:val="1"/>
          <w:color w:val="auto"/>
        </w:rPr>
        <w:t>(previously: $240 – $280 million)</w:t>
      </w:r>
    </w:p>
    <w:p>
      <w:pPr>
        <w:spacing w:after="0" w:line="234"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Gross Margin: 33.5% – 34% </w:t>
      </w:r>
      <w:r>
        <w:rPr>
          <w:rFonts w:ascii="Arial" w:cs="Arial" w:eastAsia="Arial" w:hAnsi="Arial"/>
          <w:sz w:val="18"/>
          <w:szCs w:val="18"/>
          <w:i w:val="1"/>
          <w:iCs w:val="1"/>
          <w:color w:val="auto"/>
        </w:rPr>
        <w:t>(previously 33% - 34%)</w:t>
      </w:r>
    </w:p>
    <w:p>
      <w:pPr>
        <w:spacing w:after="0" w:line="27"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Gentex (stand-alone): 34.25% – 34.75% (</w:t>
      </w:r>
      <w:r>
        <w:rPr>
          <w:rFonts w:ascii="Arial" w:cs="Arial" w:eastAsia="Arial" w:hAnsi="Arial"/>
          <w:sz w:val="18"/>
          <w:szCs w:val="18"/>
          <w:i w:val="1"/>
          <w:iCs w:val="1"/>
          <w:color w:val="auto"/>
        </w:rPr>
        <w:t>previously 34% - 34.5%</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VOXX (stand-alone): 28% – 29% (</w:t>
      </w:r>
      <w:r>
        <w:rPr>
          <w:rFonts w:ascii="Arial" w:cs="Arial" w:eastAsia="Arial" w:hAnsi="Arial"/>
          <w:sz w:val="18"/>
          <w:szCs w:val="18"/>
          <w:i w:val="1"/>
          <w:iCs w:val="1"/>
          <w:color w:val="auto"/>
        </w:rPr>
        <w:t>previously 27% - 29%</w:t>
      </w:r>
      <w:r>
        <w:rPr>
          <w:rFonts w:ascii="Arial" w:cs="Arial" w:eastAsia="Arial" w:hAnsi="Arial"/>
          <w:sz w:val="18"/>
          <w:szCs w:val="18"/>
          <w:color w:val="auto"/>
        </w:rPr>
        <w:t>)</w:t>
      </w:r>
    </w:p>
    <w:p>
      <w:pPr>
        <w:spacing w:after="0" w:line="234"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Operating Expenses </w:t>
      </w:r>
      <w:r>
        <w:rPr>
          <w:rFonts w:ascii="Arial" w:cs="Arial" w:eastAsia="Arial" w:hAnsi="Arial"/>
          <w:sz w:val="18"/>
          <w:szCs w:val="18"/>
          <w:i w:val="1"/>
          <w:iCs w:val="1"/>
          <w:color w:val="auto"/>
        </w:rPr>
        <w:t>(excluding severance</w:t>
      </w:r>
      <w:r>
        <w:rPr>
          <w:rFonts w:ascii="Arial" w:cs="Arial" w:eastAsia="Arial" w:hAnsi="Arial"/>
          <w:sz w:val="18"/>
          <w:szCs w:val="18"/>
          <w:color w:val="auto"/>
        </w:rPr>
        <w:t>): $380 – $390 million (</w:t>
      </w:r>
      <w:r>
        <w:rPr>
          <w:rFonts w:ascii="Arial" w:cs="Arial" w:eastAsia="Arial" w:hAnsi="Arial"/>
          <w:sz w:val="18"/>
          <w:szCs w:val="18"/>
          <w:i w:val="1"/>
          <w:iCs w:val="1"/>
          <w:color w:val="auto"/>
        </w:rPr>
        <w:t>previously $370 - $390 million</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Gentex: $305 – $310 million (</w:t>
      </w:r>
      <w:r>
        <w:rPr>
          <w:rFonts w:ascii="Arial" w:cs="Arial" w:eastAsia="Arial" w:hAnsi="Arial"/>
          <w:sz w:val="18"/>
          <w:szCs w:val="18"/>
          <w:i w:val="1"/>
          <w:iCs w:val="1"/>
          <w:color w:val="auto"/>
        </w:rPr>
        <w:t>previously $300 - $310 million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i w:val="1"/>
          <w:iCs w:val="1"/>
          <w:color w:val="auto"/>
        </w:rPr>
      </w:pPr>
      <w:r>
        <w:rPr>
          <w:rFonts w:ascii="Arial" w:cs="Arial" w:eastAsia="Arial" w:hAnsi="Arial"/>
          <w:sz w:val="18"/>
          <w:szCs w:val="18"/>
          <w:color w:val="auto"/>
        </w:rPr>
        <w:t>VOXX: $75 – $80 million (</w:t>
      </w:r>
      <w:r>
        <w:rPr>
          <w:rFonts w:ascii="Arial" w:cs="Arial" w:eastAsia="Arial" w:hAnsi="Arial"/>
          <w:sz w:val="18"/>
          <w:szCs w:val="18"/>
          <w:i w:val="1"/>
          <w:iCs w:val="1"/>
          <w:color w:val="auto"/>
        </w:rPr>
        <w:t>previously $70 - $80 million</w:t>
      </w:r>
      <w:r>
        <w:rPr>
          <w:rFonts w:ascii="Arial" w:cs="Arial" w:eastAsia="Arial" w:hAnsi="Arial"/>
          <w:sz w:val="18"/>
          <w:szCs w:val="18"/>
          <w:color w:val="auto"/>
        </w:rPr>
        <w:t>)</w:t>
      </w:r>
    </w:p>
    <w:p>
      <w:pPr>
        <w:spacing w:after="0" w:line="234" w:lineRule="exact"/>
        <w:rPr>
          <w:rFonts w:ascii="Arial" w:cs="Arial" w:eastAsia="Arial" w:hAnsi="Arial"/>
          <w:sz w:val="18"/>
          <w:szCs w:val="18"/>
          <w:i w:val="1"/>
          <w:iCs w:val="1"/>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Tax Rate: 16% – 16.5% </w:t>
      </w:r>
      <w:r>
        <w:rPr>
          <w:rFonts w:ascii="Arial" w:cs="Arial" w:eastAsia="Arial" w:hAnsi="Arial"/>
          <w:sz w:val="18"/>
          <w:szCs w:val="18"/>
          <w:i w:val="1"/>
          <w:iCs w:val="1"/>
          <w:color w:val="auto"/>
        </w:rPr>
        <w:t>(previously: 16% – 17%)</w:t>
      </w:r>
    </w:p>
    <w:p>
      <w:pPr>
        <w:spacing w:after="0" w:line="252"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Capital Expenditures: $115 – $125 million (</w:t>
      </w:r>
      <w:r>
        <w:rPr>
          <w:rFonts w:ascii="Arial" w:cs="Arial" w:eastAsia="Arial" w:hAnsi="Arial"/>
          <w:sz w:val="18"/>
          <w:szCs w:val="18"/>
          <w:i w:val="1"/>
          <w:iCs w:val="1"/>
          <w:color w:val="auto"/>
        </w:rPr>
        <w:t>previously $110 - $125 million</w:t>
      </w:r>
      <w:r>
        <w:rPr>
          <w:rFonts w:ascii="Arial" w:cs="Arial" w:eastAsia="Arial" w:hAnsi="Arial"/>
          <w:sz w:val="18"/>
          <w:szCs w:val="18"/>
          <w:color w:val="auto"/>
        </w:rPr>
        <w:t>)</w:t>
      </w:r>
    </w:p>
    <w:p>
      <w:pPr>
        <w:spacing w:after="0" w:line="252" w:lineRule="exact"/>
        <w:rPr>
          <w:rFonts w:ascii="Arial" w:cs="Arial" w:eastAsia="Arial" w:hAnsi="Arial"/>
          <w:sz w:val="18"/>
          <w:szCs w:val="18"/>
          <w:i w:val="1"/>
          <w:iCs w:val="1"/>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&amp; Amortization: $96 – $99 million (</w:t>
      </w:r>
      <w:r>
        <w:rPr>
          <w:rFonts w:ascii="Arial" w:cs="Arial" w:eastAsia="Arial" w:hAnsi="Arial"/>
          <w:sz w:val="18"/>
          <w:szCs w:val="18"/>
          <w:i w:val="1"/>
          <w:iCs w:val="1"/>
          <w:color w:val="auto"/>
        </w:rPr>
        <w:t>previously $91 - $98 million</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280" w:hanging="312"/>
        <w:spacing w:after="0"/>
        <w:tabs>
          <w:tab w:leader="none" w:pos="1280" w:val="left"/>
        </w:tabs>
        <w:numPr>
          <w:ilvl w:val="1"/>
          <w:numId w:val="21"/>
        </w:numPr>
        <w:rPr>
          <w:rFonts w:ascii="Arial" w:cs="Arial" w:eastAsia="Arial" w:hAnsi="Arial"/>
          <w:sz w:val="18"/>
          <w:szCs w:val="18"/>
          <w:i w:val="1"/>
          <w:iCs w:val="1"/>
          <w:color w:val="auto"/>
        </w:rPr>
      </w:pPr>
      <w:r>
        <w:rPr>
          <w:rFonts w:ascii="Arial" w:cs="Arial" w:eastAsia="Arial" w:hAnsi="Arial"/>
          <w:sz w:val="18"/>
          <w:szCs w:val="18"/>
          <w:color w:val="auto"/>
        </w:rPr>
        <w:t>Gentex: $95 – $96 million (</w:t>
      </w:r>
      <w:r>
        <w:rPr>
          <w:rFonts w:ascii="Arial" w:cs="Arial" w:eastAsia="Arial" w:hAnsi="Arial"/>
          <w:sz w:val="18"/>
          <w:szCs w:val="18"/>
          <w:i w:val="1"/>
          <w:iCs w:val="1"/>
          <w:color w:val="auto"/>
        </w:rPr>
        <w:t>previously $90 - $95 million</w:t>
      </w:r>
      <w:r>
        <w:rPr>
          <w:rFonts w:ascii="Arial" w:cs="Arial" w:eastAsia="Arial" w:hAnsi="Arial"/>
          <w:sz w:val="18"/>
          <w:szCs w:val="18"/>
          <w:color w:val="auto"/>
        </w:rPr>
        <w:t>)</w:t>
      </w:r>
    </w:p>
    <w:p>
      <w:pPr>
        <w:spacing w:after="0" w:line="9" w:lineRule="exact"/>
        <w:rPr>
          <w:rFonts w:ascii="Arial" w:cs="Arial" w:eastAsia="Arial" w:hAnsi="Arial"/>
          <w:sz w:val="18"/>
          <w:szCs w:val="18"/>
          <w:i w:val="1"/>
          <w:iCs w:val="1"/>
          <w:color w:val="auto"/>
        </w:rPr>
      </w:pPr>
    </w:p>
    <w:p>
      <w:pPr>
        <w:ind w:left="1280" w:hanging="312"/>
        <w:spacing w:after="0"/>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VOXX: $1 - $3 million (</w:t>
      </w:r>
      <w:r>
        <w:rPr>
          <w:rFonts w:ascii="Arial" w:cs="Arial" w:eastAsia="Arial" w:hAnsi="Arial"/>
          <w:sz w:val="18"/>
          <w:szCs w:val="18"/>
          <w:i w:val="1"/>
          <w:iCs w:val="1"/>
          <w:color w:val="auto"/>
        </w:rPr>
        <w:t>unchanged</w:t>
      </w:r>
      <w:r>
        <w:rPr>
          <w:rFonts w:ascii="Arial" w:cs="Arial" w:eastAsia="Arial" w:hAnsi="Arial"/>
          <w:sz w:val="18"/>
          <w:szCs w:val="18"/>
          <w:color w:val="auto"/>
        </w:rPr>
        <w:t>)</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Due to ongoing volatility in customer orders and vehicle production volumes, uncertainty related to tariffs, the Ukraine-Russia war, Israel-Hamas war, supply-end labor shortages, supply chain constraints, and overall economic uncertainty, the Company believes that revenue remains difficult to forecast for the remainder of the year and beyond. Ongoing uncertainties remain, including: prolonged and intensifying trade wars, including the impacts of those already in place, and potential additional future tariffs, trade restrictions, and retaliatory measures; light vehicle production levels; impacts of regulation changes;</w:t>
      </w:r>
    </w:p>
    <w:p>
      <w:pPr>
        <w:sectPr>
          <w:pgSz w:w="11900" w:h="16838" w:orient="portrait"/>
          <w:cols w:equalWidth="0" w:num="1">
            <w:col w:w="10580"/>
          </w:cols>
          <w:pgMar w:left="980" w:top="1187"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type w:val="continuous"/>
        </w:sectPr>
      </w:pPr>
    </w:p>
    <w:bookmarkStart w:id="47" w:name="page48"/>
    <w:bookmarkEnd w:id="47"/>
    <w:p>
      <w:pPr>
        <w:jc w:val="both"/>
        <w:spacing w:after="0" w:line="252" w:lineRule="auto"/>
        <w:rPr>
          <w:sz w:val="20"/>
          <w:szCs w:val="20"/>
          <w:color w:val="auto"/>
        </w:rPr>
      </w:pPr>
      <w:r>
        <w:rPr>
          <w:rFonts w:ascii="Arial" w:cs="Arial" w:eastAsia="Arial" w:hAnsi="Arial"/>
          <w:sz w:val="18"/>
          <w:szCs w:val="18"/>
          <w:color w:val="auto"/>
        </w:rPr>
        <w:t>automotive plant shutdowns; vehicle sales rates in Europe, Asia and North America; OEM strategies and cost pressures; supply chain constraints: customer inventory management and the impact of potential automotive customer (including their Tier 1 suppliers) and supplier bankruptcies; etc., all of which are disrupting and will further disrupt shipments to customers, disrupt global capital flows, and heighten market volatility.</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Given the current geopolitical environment, tariff landscape, and evolving customer sourcing strategies, the Company will continue to withhold revenue guidance for calendar year 2026, until the needed visibility to support future guidance is available.</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 As of September 30, 2025, the Company had 39.6 million shares remaining available for repurchase under the previously announced share repurchase plan.</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herein and in its Annual Report on Form 10-K for the fiscal year ended December 31, 2024.</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interest rate risk, commodity price risk, and tariffs. For the quarter ended September 30, 2025, any material changes in risk factors that were disclosed in the Company's report on Form 10-K for the year ended December 31, 2024 are set forth herein.</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Fluctuating interest rates could negatively impact the Company's financial performance due to realized losses on the sale of fixed income investments and/or recognized losses due to an impairment adjustment on investment securities, as well as the impact on demand for light vehicles.</w:t>
      </w:r>
    </w:p>
    <w:p>
      <w:pPr>
        <w:spacing w:after="0" w:line="10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including tariffs and inflation, and supply chain constraints that have reduced, and will continue to reduce, demand for its products, to the extent they persist.</w:t>
      </w:r>
    </w:p>
    <w:p>
      <w:pPr>
        <w:spacing w:after="0" w:line="101"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The geopolitical environment between the Unites States and other jurisdictions, most significantly China, continues to cause uncertainty, especially in light of recently imposed incremental tariffs and tariffs threatened to be imposed, in addition to those already existing. Company input costs are already, and will continue to be, affected by a variety of factors, including: economic and market conditions; inflation; changes in customer demand; supply shortages, constraints, and disruptions; interest rate changes; foreign currency fluctuations; industry actions; and uncertainties in vehicle production schedules, as well as the aforementioned tariffs, trade regulatory actions, and changes in international trade policies, agreements, and/or regulation and competitor activity. Previously enacted tariffs have already increased the Company's input costs and challenge the Company's competitive position. The possibility of even more tariffs and tariff increases persists. While the Company continues to assess the impact of the current tariff and trade environment, tariffs and trade disputes in the geopolitical environment have interfered with and have disrupted automotive supply chains. While further actions regarding tariffs or trade relations between the U.S. and other governments are impossible to predict, the current trade environment has already, and will continue to, negatively impact the Company’s business, financial condition, and results of operations, especially since the Company primarily manufactures and ships from one location. Any continuance of tariffs currently in place and/or escalation of tariffs and trade disputes will have further adverse impact on the Company’s business.</w:t>
      </w:r>
    </w:p>
    <w:p>
      <w:pPr>
        <w:spacing w:after="0" w:line="10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49" w:name="page50"/>
    <w:bookmarkEnd w:id="49"/>
    <w:p>
      <w:pPr>
        <w:jc w:val="both"/>
        <w:spacing w:after="0" w:line="287" w:lineRule="auto"/>
        <w:rPr>
          <w:sz w:val="20"/>
          <w:szCs w:val="20"/>
          <w:color w:val="auto"/>
        </w:rPr>
      </w:pPr>
      <w:r>
        <w:rPr>
          <w:rFonts w:ascii="Arial" w:cs="Arial" w:eastAsia="Arial" w:hAnsi="Arial"/>
          <w:sz w:val="18"/>
          <w:szCs w:val="18"/>
          <w:color w:val="auto"/>
        </w:rPr>
        <w:t>procedures (as defined in Exchange Act Rules 13a-15(e) and 15d-15(e)) as of September 30, 2025, and have concluded that as of that date, the Company's disclosure controls and procedures are effective.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September 30, 2025 that materially affected, or are reasonably likely to materially affect, the Company's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w:t>
      </w:r>
    </w:p>
    <w:p>
      <w:pPr>
        <w:jc w:val="both"/>
        <w:spacing w:after="0" w:line="226" w:lineRule="auto"/>
        <w:rPr>
          <w:sz w:val="20"/>
          <w:szCs w:val="20"/>
          <w:color w:val="auto"/>
        </w:rPr>
      </w:pPr>
      <w:r>
        <w:rPr>
          <w:rFonts w:ascii="Arial" w:cs="Arial" w:eastAsia="Arial" w:hAnsi="Arial"/>
          <w:sz w:val="18"/>
          <w:szCs w:val="18"/>
          <w:color w:val="auto"/>
        </w:rPr>
        <w:t>statements. Forward-looking statements give the Company’s current expectations or forecasts of future events. These forward-looking statements generally can be identified by the use of words such as “anticipate,” “believe,” “could,” “estimate,” “expect,”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w:t>
      </w:r>
    </w:p>
    <w:p>
      <w:pPr>
        <w:spacing w:after="0" w:line="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currencies or interest rates in the regions in which we operate; costs or difficulties related to the integration and/or ability to maximize the value of any new or acquired technologies and businesses; changes in regulatory conditions; warranty and recall claims and</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w:t>
      </w:r>
    </w:p>
    <w:p>
      <w:pPr>
        <w:spacing w:after="0"/>
        <w:rPr>
          <w:sz w:val="20"/>
          <w:szCs w:val="20"/>
          <w:color w:val="auto"/>
        </w:rPr>
      </w:pPr>
      <w:r>
        <w:rPr>
          <w:rFonts w:ascii="Arial" w:cs="Arial" w:eastAsia="Arial" w:hAnsi="Arial"/>
          <w:sz w:val="18"/>
          <w:szCs w:val="18"/>
          <w:color w:val="auto"/>
        </w:rPr>
        <w:t>of the date they are made.</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tariffs and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October 15, 2025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2024. There have been no material changes to the risk factors previously disclosed in the Company’s report on Form 10-K for the year ended December 31, 2024, except to the extent described in Part I – Item 2 and Item 3 of this Form 10-Q, and otherwise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On July 16, 2025, the Company announced a new share repurchase authorization of 40 million shares in addition to the Company's prior repurchase authorization. During the first nine months of 2025, the Company repurchased 9.8 million shares under the share repurchase plan. As previously disclosed,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w:t>
      </w:r>
    </w:p>
    <w:p>
      <w:pPr>
        <w:spacing w:after="0" w:line="21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After the Company repurchased 9,805,995 shares during the first nine months of 2025, the Company had 39,643,403 shares remaining under the plan as of September 30, 2025.</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each month of the nine-month period ended September 30, 2025:</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400" w:type="dxa"/>
            <w:vAlign w:val="bottom"/>
            <w:shd w:val="clear" w:color="auto" w:fill="CCEEFF"/>
          </w:tcPr>
          <w:p>
            <w:pPr>
              <w:spacing w:after="0"/>
              <w:rPr>
                <w:sz w:val="17"/>
                <w:szCs w:val="17"/>
                <w:color w:val="auto"/>
              </w:rPr>
            </w:pPr>
          </w:p>
        </w:tc>
        <w:tc>
          <w:tcPr>
            <w:tcW w:w="5320" w:type="dxa"/>
            <w:vAlign w:val="bottom"/>
            <w:gridSpan w:val="4"/>
            <w:shd w:val="clear" w:color="auto" w:fill="CCEEFF"/>
          </w:tcPr>
          <w:p>
            <w:pPr>
              <w:jc w:val="right"/>
              <w:ind w:right="1500"/>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4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8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Purchased As Part of aMaximum Number of Shares</w:t>
            </w:r>
          </w:p>
        </w:tc>
        <w:tc>
          <w:tcPr>
            <w:tcW w:w="0" w:type="dxa"/>
            <w:vAlign w:val="bottom"/>
          </w:tcPr>
          <w:p>
            <w:pPr>
              <w:spacing w:after="0"/>
              <w:rPr>
                <w:sz w:val="1"/>
                <w:szCs w:val="1"/>
                <w:color w:val="auto"/>
              </w:rPr>
            </w:pPr>
          </w:p>
        </w:tc>
      </w:tr>
      <w:tr>
        <w:trPr>
          <w:trHeight w:val="144"/>
        </w:trPr>
        <w:tc>
          <w:tcPr>
            <w:tcW w:w="2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2"/>
                <w:szCs w:val="12"/>
                <w:color w:val="auto"/>
              </w:rPr>
            </w:pPr>
          </w:p>
        </w:tc>
        <w:tc>
          <w:tcPr>
            <w:tcW w:w="14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4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Purchased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2025</w:t>
            </w:r>
          </w:p>
        </w:tc>
        <w:tc>
          <w:tcPr>
            <w:tcW w:w="20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9,449,398</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February 2025</w:t>
            </w:r>
          </w:p>
        </w:tc>
        <w:tc>
          <w:tcPr>
            <w:tcW w:w="1800" w:type="dxa"/>
            <w:vAlign w:val="bottom"/>
          </w:tcPr>
          <w:p>
            <w:pPr>
              <w:jc w:val="right"/>
              <w:spacing w:after="0"/>
              <w:rPr>
                <w:sz w:val="20"/>
                <w:szCs w:val="20"/>
                <w:color w:val="auto"/>
              </w:rPr>
            </w:pPr>
            <w:r>
              <w:rPr>
                <w:rFonts w:ascii="Arial" w:cs="Arial" w:eastAsia="Arial" w:hAnsi="Arial"/>
                <w:sz w:val="18"/>
                <w:szCs w:val="18"/>
                <w:color w:val="auto"/>
              </w:rPr>
              <w:t>250,015</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24.74</w:t>
            </w:r>
          </w:p>
        </w:tc>
        <w:tc>
          <w:tcPr>
            <w:tcW w:w="2060" w:type="dxa"/>
            <w:vAlign w:val="bottom"/>
          </w:tcPr>
          <w:p>
            <w:pPr>
              <w:jc w:val="right"/>
              <w:spacing w:after="0"/>
              <w:rPr>
                <w:sz w:val="20"/>
                <w:szCs w:val="20"/>
                <w:color w:val="auto"/>
              </w:rPr>
            </w:pPr>
            <w:r>
              <w:rPr>
                <w:rFonts w:ascii="Arial" w:cs="Arial" w:eastAsia="Arial" w:hAnsi="Arial"/>
                <w:sz w:val="18"/>
                <w:szCs w:val="18"/>
                <w:color w:val="auto"/>
              </w:rPr>
              <w:t>250,015</w:t>
            </w:r>
          </w:p>
        </w:tc>
        <w:tc>
          <w:tcPr>
            <w:tcW w:w="2060" w:type="dxa"/>
            <w:vAlign w:val="bottom"/>
          </w:tcPr>
          <w:p>
            <w:pPr>
              <w:jc w:val="right"/>
              <w:spacing w:after="0"/>
              <w:rPr>
                <w:sz w:val="20"/>
                <w:szCs w:val="20"/>
                <w:color w:val="auto"/>
              </w:rPr>
            </w:pPr>
            <w:r>
              <w:rPr>
                <w:rFonts w:ascii="Arial" w:cs="Arial" w:eastAsia="Arial" w:hAnsi="Arial"/>
                <w:sz w:val="18"/>
                <w:szCs w:val="18"/>
                <w:color w:val="auto"/>
              </w:rPr>
              <w:t>9,199,383</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2,850,336</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2,850,336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6,349,047</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color w:val="auto"/>
              </w:rPr>
              <w:t>1st Quarter 2025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3,100,351</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24.52</w:t>
            </w:r>
          </w:p>
        </w:tc>
        <w:tc>
          <w:tcPr>
            <w:tcW w:w="2060" w:type="dxa"/>
            <w:vAlign w:val="bottom"/>
          </w:tcPr>
          <w:p>
            <w:pPr>
              <w:jc w:val="right"/>
              <w:spacing w:after="0"/>
              <w:rPr>
                <w:sz w:val="20"/>
                <w:szCs w:val="20"/>
                <w:color w:val="auto"/>
              </w:rPr>
            </w:pPr>
            <w:r>
              <w:rPr>
                <w:rFonts w:ascii="Arial" w:cs="Arial" w:eastAsia="Arial" w:hAnsi="Arial"/>
                <w:sz w:val="18"/>
                <w:szCs w:val="18"/>
                <w:color w:val="auto"/>
              </w:rPr>
              <w:t>3,100,351</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April 2025</w:t>
            </w:r>
          </w:p>
        </w:tc>
        <w:tc>
          <w:tcPr>
            <w:tcW w:w="1800" w:type="dxa"/>
            <w:vAlign w:val="bottom"/>
          </w:tcPr>
          <w:p>
            <w:pPr>
              <w:jc w:val="right"/>
              <w:spacing w:after="0"/>
              <w:rPr>
                <w:sz w:val="20"/>
                <w:szCs w:val="20"/>
                <w:color w:val="auto"/>
              </w:rPr>
            </w:pPr>
            <w:r>
              <w:rPr>
                <w:rFonts w:ascii="Arial" w:cs="Arial" w:eastAsia="Arial" w:hAnsi="Arial"/>
                <w:sz w:val="18"/>
                <w:szCs w:val="18"/>
                <w:color w:val="auto"/>
              </w:rPr>
              <w:t>300,084</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22.02</w:t>
            </w:r>
          </w:p>
        </w:tc>
        <w:tc>
          <w:tcPr>
            <w:tcW w:w="2060" w:type="dxa"/>
            <w:vAlign w:val="bottom"/>
          </w:tcPr>
          <w:p>
            <w:pPr>
              <w:jc w:val="right"/>
              <w:spacing w:after="0"/>
              <w:rPr>
                <w:sz w:val="20"/>
                <w:szCs w:val="20"/>
                <w:color w:val="auto"/>
              </w:rPr>
            </w:pPr>
            <w:r>
              <w:rPr>
                <w:rFonts w:ascii="Arial" w:cs="Arial" w:eastAsia="Arial" w:hAnsi="Arial"/>
                <w:sz w:val="18"/>
                <w:szCs w:val="18"/>
                <w:color w:val="auto"/>
              </w:rPr>
              <w:t>300,084</w:t>
            </w:r>
          </w:p>
        </w:tc>
        <w:tc>
          <w:tcPr>
            <w:tcW w:w="2060" w:type="dxa"/>
            <w:vAlign w:val="bottom"/>
          </w:tcPr>
          <w:p>
            <w:pPr>
              <w:jc w:val="right"/>
              <w:spacing w:after="0"/>
              <w:rPr>
                <w:sz w:val="20"/>
                <w:szCs w:val="20"/>
                <w:color w:val="auto"/>
              </w:rPr>
            </w:pPr>
            <w:r>
              <w:rPr>
                <w:rFonts w:ascii="Arial" w:cs="Arial" w:eastAsia="Arial" w:hAnsi="Arial"/>
                <w:sz w:val="18"/>
                <w:szCs w:val="18"/>
                <w:color w:val="auto"/>
              </w:rPr>
              <w:t>6,048,963</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2,400,790</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2,400,790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3,648,173</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June 2025</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3,001,190</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3,001,190</w:t>
            </w: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646,983</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2nd Quarter 2025 Total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5,702,064</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5,702,064</w:t>
            </w: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40,646,983</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August 2025</w:t>
            </w:r>
          </w:p>
        </w:tc>
        <w:tc>
          <w:tcPr>
            <w:tcW w:w="1800" w:type="dxa"/>
            <w:vAlign w:val="bottom"/>
          </w:tcPr>
          <w:p>
            <w:pPr>
              <w:jc w:val="right"/>
              <w:spacing w:after="0"/>
              <w:rPr>
                <w:sz w:val="20"/>
                <w:szCs w:val="20"/>
                <w:color w:val="auto"/>
              </w:rPr>
            </w:pPr>
            <w:r>
              <w:rPr>
                <w:rFonts w:ascii="Arial" w:cs="Arial" w:eastAsia="Arial" w:hAnsi="Arial"/>
                <w:sz w:val="18"/>
                <w:szCs w:val="18"/>
                <w:color w:val="auto"/>
              </w:rPr>
              <w:t>476,501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27.70</w:t>
            </w:r>
          </w:p>
        </w:tc>
        <w:tc>
          <w:tcPr>
            <w:tcW w:w="2060" w:type="dxa"/>
            <w:vAlign w:val="bottom"/>
          </w:tcPr>
          <w:p>
            <w:pPr>
              <w:jc w:val="right"/>
              <w:spacing w:after="0"/>
              <w:rPr>
                <w:sz w:val="20"/>
                <w:szCs w:val="20"/>
                <w:color w:val="auto"/>
              </w:rPr>
            </w:pPr>
            <w:r>
              <w:rPr>
                <w:rFonts w:ascii="Arial" w:cs="Arial" w:eastAsia="Arial" w:hAnsi="Arial"/>
                <w:sz w:val="18"/>
                <w:szCs w:val="18"/>
                <w:color w:val="auto"/>
              </w:rPr>
              <w:t>476,501</w:t>
            </w:r>
          </w:p>
        </w:tc>
        <w:tc>
          <w:tcPr>
            <w:tcW w:w="2060" w:type="dxa"/>
            <w:vAlign w:val="bottom"/>
          </w:tcPr>
          <w:p>
            <w:pPr>
              <w:jc w:val="right"/>
              <w:spacing w:after="0"/>
              <w:rPr>
                <w:sz w:val="20"/>
                <w:szCs w:val="20"/>
                <w:color w:val="auto"/>
              </w:rPr>
            </w:pPr>
            <w:r>
              <w:rPr>
                <w:rFonts w:ascii="Arial" w:cs="Arial" w:eastAsia="Arial" w:hAnsi="Arial"/>
                <w:sz w:val="18"/>
                <w:szCs w:val="18"/>
                <w:color w:val="auto"/>
              </w:rPr>
              <w:t>40,170,482</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527,079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527,079</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39,643,403</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color w:val="auto"/>
              </w:rPr>
              <w:t>3rd Quarter 2025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1,003,580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28.18</w:t>
            </w:r>
          </w:p>
        </w:tc>
        <w:tc>
          <w:tcPr>
            <w:tcW w:w="2060" w:type="dxa"/>
            <w:vAlign w:val="bottom"/>
          </w:tcPr>
          <w:p>
            <w:pPr>
              <w:jc w:val="right"/>
              <w:spacing w:after="0"/>
              <w:rPr>
                <w:sz w:val="20"/>
                <w:szCs w:val="20"/>
                <w:color w:val="auto"/>
              </w:rPr>
            </w:pPr>
            <w:r>
              <w:rPr>
                <w:rFonts w:ascii="Arial" w:cs="Arial" w:eastAsia="Arial" w:hAnsi="Arial"/>
                <w:sz w:val="18"/>
                <w:szCs w:val="18"/>
                <w:color w:val="auto"/>
              </w:rPr>
              <w:t>1,003,580</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2025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9,805,995</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9,805,995</w:t>
            </w:r>
          </w:p>
        </w:tc>
        <w:tc>
          <w:tcPr>
            <w:tcW w:w="2060" w:type="dxa"/>
            <w:vAlign w:val="bottom"/>
          </w:tcPr>
          <w:p>
            <w:pPr>
              <w:jc w:val="right"/>
              <w:spacing w:after="0"/>
              <w:rPr>
                <w:sz w:val="20"/>
                <w:szCs w:val="20"/>
                <w:color w:val="auto"/>
              </w:rPr>
            </w:pPr>
            <w:r>
              <w:rPr>
                <w:rFonts w:ascii="Arial" w:cs="Arial" w:eastAsia="Arial" w:hAnsi="Arial"/>
                <w:sz w:val="18"/>
                <w:szCs w:val="18"/>
                <w:color w:val="auto"/>
              </w:rPr>
              <w:t>39,643,403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right="440"/>
        <w:spacing w:after="0" w:line="287" w:lineRule="auto"/>
        <w:rPr>
          <w:sz w:val="20"/>
          <w:szCs w:val="20"/>
          <w:color w:val="auto"/>
        </w:rPr>
      </w:pPr>
      <w:r>
        <w:rPr>
          <w:rFonts w:ascii="Arial" w:cs="Arial" w:eastAsia="Arial" w:hAnsi="Arial"/>
          <w:sz w:val="18"/>
          <w:szCs w:val="18"/>
          <w:color w:val="auto"/>
        </w:rPr>
        <w:t>As of September 30, 2025, the Company has repurchased 172,356,325 shares at a total cost of $3,183,243,432 under its share repurchase plan or as otherwise previously disclosed.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53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November 7, 2025</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November 7, 2025</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30"/>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r>
        <w:trPr>
          <w:trHeight w:val="189"/>
        </w:trPr>
        <w:tc>
          <w:tcPr>
            <w:tcW w:w="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680" w:type="dxa"/>
            <w:vAlign w:val="bottom"/>
          </w:tcPr>
          <w:p>
            <w:pPr>
              <w:ind w:left="20"/>
              <w:spacing w:after="0" w:line="189"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47"/>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6"/>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31.1</w:t>
            </w:r>
          </w:p>
        </w:tc>
        <w:tc>
          <w:tcPr>
            <w:tcW w:w="988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Borders>
              <w:top w:val="single" w:sz="8" w:color="CCEEFF"/>
            </w:tcBorders>
            <w:shd w:val="clear" w:color="auto" w:fill="CCEEFF"/>
          </w:tcPr>
          <w:p>
            <w:pPr>
              <w:spacing w:after="0"/>
              <w:rPr>
                <w:sz w:val="14"/>
                <w:szCs w:val="14"/>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2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0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 w:lineRule="exact"/>
        <w:rPr>
          <w:sz w:val="20"/>
          <w:szCs w:val="20"/>
          <w:color w:val="auto"/>
        </w:rPr>
      </w:pPr>
    </w:p>
    <w:p>
      <w:pPr>
        <w:ind w:left="1320" w:right="300" w:hanging="1294"/>
        <w:spacing w:after="0" w:line="248"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06285" cy="265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1040" w:type="dxa"/>
            <w:vAlign w:val="bottom"/>
          </w:tcPr>
          <w:p>
            <w:pPr>
              <w:ind w:left="20"/>
              <w:spacing w:after="0" w:line="180" w:lineRule="exact"/>
              <w:rPr>
                <w:sz w:val="20"/>
                <w:szCs w:val="20"/>
                <w:color w:val="auto"/>
              </w:rPr>
            </w:pPr>
            <w:r>
              <w:rPr>
                <w:rFonts w:ascii="Arial" w:cs="Arial" w:eastAsia="Arial" w:hAnsi="Arial"/>
                <w:sz w:val="18"/>
                <w:szCs w:val="18"/>
                <w:color w:val="auto"/>
              </w:rPr>
              <w:t>101.INS</w:t>
            </w:r>
          </w:p>
        </w:tc>
        <w:tc>
          <w:tcPr>
            <w:tcW w:w="10160" w:type="dxa"/>
            <w:vAlign w:val="bottom"/>
          </w:tcPr>
          <w:p>
            <w:pPr>
              <w:ind w:left="280"/>
              <w:spacing w:after="0" w:line="180"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5"/>
        </w:trPr>
        <w:tc>
          <w:tcPr>
            <w:tcW w:w="1040" w:type="dxa"/>
            <w:vAlign w:val="bottom"/>
          </w:tcPr>
          <w:p>
            <w:pPr>
              <w:spacing w:after="0"/>
              <w:rPr>
                <w:sz w:val="20"/>
                <w:szCs w:val="20"/>
                <w:color w:val="auto"/>
              </w:rPr>
            </w:pPr>
          </w:p>
        </w:tc>
        <w:tc>
          <w:tcPr>
            <w:tcW w:w="10160" w:type="dxa"/>
            <w:vAlign w:val="bottom"/>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93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3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31"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80" w:lineRule="exact"/>
        <w:rPr>
          <w:sz w:val="20"/>
          <w:szCs w:val="20"/>
          <w:color w:val="auto"/>
        </w:rPr>
      </w:pPr>
    </w:p>
    <w:p>
      <w:pPr>
        <w:ind w:left="240" w:hanging="232"/>
        <w:spacing w:after="0" w:line="287" w:lineRule="auto"/>
        <w:tabs>
          <w:tab w:leader="none" w:pos="2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2025, which this statement accompanies, fully complies with the requirements of Section 13(a) or 15(d) of the Securities Exchange Act of 1934; and</w:t>
      </w:r>
    </w:p>
    <w:p>
      <w:pPr>
        <w:spacing w:after="0" w:line="179" w:lineRule="exact"/>
        <w:rPr>
          <w:rFonts w:ascii="Arial" w:cs="Arial" w:eastAsia="Arial" w:hAnsi="Arial"/>
          <w:sz w:val="18"/>
          <w:szCs w:val="18"/>
          <w:color w:val="auto"/>
        </w:rPr>
      </w:pPr>
    </w:p>
    <w:p>
      <w:pPr>
        <w:ind w:left="240" w:right="20" w:hanging="232"/>
        <w:spacing w:after="0" w:line="287" w:lineRule="auto"/>
        <w:tabs>
          <w:tab w:leader="none" w:pos="2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September 30, 2025,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decimal"/>
      <w:start w:val="1"/>
    </w:lvl>
    <w:lvl w:ilvl="1">
      <w:lvlJc w:val="left"/>
      <w:lvlText w:val="(%2)"/>
      <w:numFmt w:val="decimal"/>
      <w:start w:val="1"/>
    </w:lvl>
  </w:abstractNum>
  <w:abstractNum w:abstractNumId="17">
    <w:nsid w:val="721DA317"/>
    <w:multiLevelType w:val="hybridMultilevel"/>
    <w:lvl w:ilvl="0">
      <w:lvlJc w:val="left"/>
      <w:lvlText w:val="(%1)"/>
      <w:numFmt w:val="decimal"/>
      <w:start w:val="13"/>
    </w:lvl>
    <w:lvl w:ilvl="1">
      <w:lvlJc w:val="left"/>
      <w:lvlText w:val="%2"/>
      <w:numFmt w:val="decimal"/>
      <w:start w:val="1"/>
    </w:lvl>
  </w:abstractNum>
  <w:abstractNum w:abstractNumId="18">
    <w:nsid w:val="2443A858"/>
    <w:multiLevelType w:val="hybridMultilevel"/>
    <w:lvl w:ilvl="0">
      <w:lvlJc w:val="left"/>
      <w:lvlText w:val="(%1)"/>
      <w:numFmt w:val="decimal"/>
      <w:start w:val="14"/>
    </w:lvl>
  </w:abstractNum>
  <w:abstractNum w:abstractNumId="19">
    <w:nsid w:val="2D1D5AE9"/>
    <w:multiLevelType w:val="hybridMultilevel"/>
    <w:lvl w:ilvl="0">
      <w:lvlJc w:val="left"/>
      <w:lvlText w:val="(%1)"/>
      <w:numFmt w:val="decimal"/>
      <w:start w:val="15"/>
    </w:lvl>
  </w:abstractNum>
  <w:abstractNum w:abstractNumId="20">
    <w:nsid w:val="6763845E"/>
    <w:multiLevelType w:val="hybridMultilevel"/>
    <w:lvl w:ilvl="0">
      <w:lvlJc w:val="left"/>
      <w:lvlText w:val="•"/>
      <w:numFmt w:val="bullet"/>
      <w:start w:val="1"/>
    </w:lvl>
    <w:lvl w:ilvl="1">
      <w:lvlJc w:val="left"/>
      <w:lvlText w:val="◦"/>
      <w:numFmt w:val="bullet"/>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decimal"/>
      <w:start w:val="32"/>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2025-11-07T10:31:18Z</dcterms:created>
  <dcterms:modified xsi:type="dcterms:W3CDTF">2025-11-07T10:31:18Z</dcterms:modified>
</cp:coreProperties>
</file>