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85" w:lineRule="exact"/>
        <w:rPr>
          <w:sz w:val="24"/>
          <w:szCs w:val="24"/>
          <w:color w:val="auto"/>
        </w:rPr>
      </w:pPr>
    </w:p>
    <w:p>
      <w:pPr>
        <w:ind w:left="580" w:hanging="384"/>
        <w:spacing w:after="0"/>
        <w:tabs>
          <w:tab w:leader="none" w:pos="580" w:val="left"/>
        </w:tabs>
        <w:numPr>
          <w:ilvl w:val="0"/>
          <w:numId w:val="1"/>
        </w:numPr>
        <w:rPr>
          <w:rFonts w:ascii="MS PGothic" w:cs="MS PGothic" w:eastAsia="MS PGothic" w:hAnsi="MS PGothic"/>
          <w:sz w:val="20"/>
          <w:szCs w:val="20"/>
          <w:color w:val="auto"/>
        </w:rPr>
      </w:pPr>
      <w:r>
        <w:rPr>
          <w:rFonts w:ascii="Arial" w:cs="Arial" w:eastAsia="Arial" w:hAnsi="Arial"/>
          <w:sz w:val="15"/>
          <w:szCs w:val="15"/>
          <w:b w:val="1"/>
          <w:bCs w:val="1"/>
          <w:color w:val="auto"/>
        </w:rPr>
        <w:t>ANNUAL REPORT PURSUANT TO SECTION 13 OR 15(d) OF THE SECURITIES EXCHANGE ACT OF 1934</w:t>
      </w:r>
    </w:p>
    <w:p>
      <w:pPr>
        <w:spacing w:after="0" w:line="86" w:lineRule="exact"/>
        <w:rPr>
          <w:sz w:val="24"/>
          <w:szCs w:val="24"/>
          <w:color w:val="auto"/>
        </w:rPr>
      </w:pPr>
    </w:p>
    <w:p>
      <w:pPr>
        <w:ind w:left="520"/>
        <w:spacing w:after="0"/>
        <w:rPr>
          <w:sz w:val="20"/>
          <w:szCs w:val="20"/>
          <w:color w:val="auto"/>
        </w:rPr>
      </w:pPr>
      <w:r>
        <w:rPr>
          <w:rFonts w:ascii="Arial" w:cs="Arial" w:eastAsia="Arial" w:hAnsi="Arial"/>
          <w:sz w:val="15"/>
          <w:szCs w:val="15"/>
          <w:color w:val="auto"/>
        </w:rPr>
        <w:t xml:space="preserve">for the fiscal year ended December 31, 2023 </w:t>
      </w:r>
      <w:r>
        <w:rPr>
          <w:rFonts w:ascii="Arial" w:cs="Arial" w:eastAsia="Arial" w:hAnsi="Arial"/>
          <w:sz w:val="15"/>
          <w:szCs w:val="15"/>
          <w:b w:val="1"/>
          <w:bCs w:val="1"/>
          <w:color w:val="auto"/>
        </w:rPr>
        <w:t>or</w:t>
      </w:r>
    </w:p>
    <w:p>
      <w:pPr>
        <w:spacing w:after="0" w:line="205" w:lineRule="exact"/>
        <w:rPr>
          <w:sz w:val="24"/>
          <w:szCs w:val="24"/>
          <w:color w:val="auto"/>
        </w:rPr>
      </w:pPr>
    </w:p>
    <w:p>
      <w:pPr>
        <w:ind w:left="580" w:hanging="384"/>
        <w:spacing w:after="0"/>
        <w:tabs>
          <w:tab w:leader="none" w:pos="580" w:val="left"/>
        </w:tabs>
        <w:numPr>
          <w:ilvl w:val="0"/>
          <w:numId w:val="2"/>
        </w:numPr>
        <w:rPr>
          <w:rFonts w:ascii="MS PGothic" w:cs="MS PGothic" w:eastAsia="MS PGothic" w:hAnsi="MS PGothic"/>
          <w:sz w:val="20"/>
          <w:szCs w:val="20"/>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61" w:lineRule="exact"/>
        <w:rPr>
          <w:sz w:val="24"/>
          <w:szCs w:val="24"/>
          <w:color w:val="auto"/>
        </w:rPr>
      </w:pPr>
    </w:p>
    <w:p>
      <w:pPr>
        <w:ind w:left="420"/>
        <w:spacing w:after="0"/>
        <w:rPr>
          <w:sz w:val="20"/>
          <w:szCs w:val="20"/>
          <w:color w:val="auto"/>
        </w:rPr>
      </w:pPr>
      <w:r>
        <w:rPr>
          <w:rFonts w:ascii="Arial" w:cs="Arial" w:eastAsia="Arial" w:hAnsi="Arial"/>
          <w:sz w:val="15"/>
          <w:szCs w:val="15"/>
          <w:color w:val="auto"/>
        </w:rPr>
        <w:t>For the transition period from __________ to _________</w:t>
      </w:r>
    </w:p>
    <w:p>
      <w:pPr>
        <w:spacing w:after="0" w:line="142" w:lineRule="exact"/>
        <w:rPr>
          <w:sz w:val="24"/>
          <w:szCs w:val="24"/>
          <w:color w:val="auto"/>
        </w:rPr>
      </w:pPr>
    </w:p>
    <w:p>
      <w:pPr>
        <w:spacing w:after="0"/>
        <w:rPr>
          <w:sz w:val="20"/>
          <w:szCs w:val="20"/>
          <w:color w:val="auto"/>
        </w:rPr>
      </w:pPr>
      <w:r>
        <w:rPr>
          <w:rFonts w:ascii="Arial" w:cs="Arial" w:eastAsia="Arial" w:hAnsi="Arial"/>
          <w:sz w:val="15"/>
          <w:szCs w:val="15"/>
          <w:color w:val="auto"/>
        </w:rPr>
        <w:t>Commission File No.</w:t>
      </w:r>
      <w:r>
        <w:rPr>
          <w:rFonts w:ascii="Arial" w:cs="Arial" w:eastAsia="Arial" w:hAnsi="Arial"/>
          <w:sz w:val="15"/>
          <w:szCs w:val="15"/>
          <w:b w:val="1"/>
          <w:bCs w:val="1"/>
          <w:color w:val="auto"/>
        </w:rPr>
        <w:t>: 000-10235</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58"/>
        </w:trPr>
        <w:tc>
          <w:tcPr>
            <w:tcW w:w="3520" w:type="dxa"/>
            <w:vAlign w:val="bottom"/>
          </w:tcPr>
          <w:p>
            <w:pPr>
              <w:spacing w:after="0"/>
              <w:rPr>
                <w:sz w:val="22"/>
                <w:szCs w:val="22"/>
                <w:color w:val="auto"/>
              </w:rPr>
            </w:pPr>
          </w:p>
        </w:tc>
        <w:tc>
          <w:tcPr>
            <w:tcW w:w="6160" w:type="dxa"/>
            <w:vAlign w:val="bottom"/>
            <w:gridSpan w:val="2"/>
          </w:tcPr>
          <w:p>
            <w:pPr>
              <w:jc w:val="center"/>
              <w:ind w:right="1871"/>
              <w:spacing w:after="0"/>
              <w:rPr>
                <w:sz w:val="20"/>
                <w:szCs w:val="20"/>
                <w:color w:val="auto"/>
              </w:rPr>
            </w:pPr>
            <w:r>
              <w:rPr>
                <w:rFonts w:ascii="Arial" w:cs="Arial" w:eastAsia="Arial" w:hAnsi="Arial"/>
                <w:sz w:val="20"/>
                <w:szCs w:val="20"/>
                <w:b w:val="1"/>
                <w:bCs w:val="1"/>
                <w:color w:val="auto"/>
              </w:rPr>
              <w:t>GENTEX CORPORATION</w:t>
            </w:r>
          </w:p>
        </w:tc>
      </w:tr>
      <w:tr>
        <w:trPr>
          <w:trHeight w:val="175"/>
        </w:trPr>
        <w:tc>
          <w:tcPr>
            <w:tcW w:w="3520" w:type="dxa"/>
            <w:vAlign w:val="bottom"/>
          </w:tcPr>
          <w:p>
            <w:pPr>
              <w:spacing w:after="0"/>
              <w:rPr>
                <w:sz w:val="15"/>
                <w:szCs w:val="15"/>
                <w:color w:val="auto"/>
              </w:rPr>
            </w:pPr>
          </w:p>
        </w:tc>
        <w:tc>
          <w:tcPr>
            <w:tcW w:w="6160" w:type="dxa"/>
            <w:vAlign w:val="bottom"/>
            <w:gridSpan w:val="2"/>
          </w:tcPr>
          <w:p>
            <w:pPr>
              <w:jc w:val="center"/>
              <w:ind w:right="1871"/>
              <w:spacing w:after="0"/>
              <w:rPr>
                <w:sz w:val="20"/>
                <w:szCs w:val="20"/>
                <w:color w:val="auto"/>
              </w:rPr>
            </w:pPr>
            <w:r>
              <w:rPr>
                <w:rFonts w:ascii="Arial" w:cs="Arial" w:eastAsia="Arial" w:hAnsi="Arial"/>
                <w:sz w:val="13"/>
                <w:szCs w:val="13"/>
                <w:color w:val="auto"/>
              </w:rPr>
              <w:t>(Exact name of registrant as specified in its charter)</w:t>
            </w:r>
          </w:p>
        </w:tc>
      </w:tr>
      <w:tr>
        <w:trPr>
          <w:trHeight w:val="315"/>
        </w:trPr>
        <w:tc>
          <w:tcPr>
            <w:tcW w:w="3520" w:type="dxa"/>
            <w:vAlign w:val="bottom"/>
          </w:tcPr>
          <w:p>
            <w:pPr>
              <w:jc w:val="center"/>
              <w:ind w:left="610"/>
              <w:spacing w:after="0"/>
              <w:rPr>
                <w:sz w:val="20"/>
                <w:szCs w:val="20"/>
                <w:color w:val="auto"/>
              </w:rPr>
            </w:pPr>
            <w:r>
              <w:rPr>
                <w:rFonts w:ascii="Arial" w:cs="Arial" w:eastAsia="Arial" w:hAnsi="Arial"/>
                <w:sz w:val="15"/>
                <w:szCs w:val="15"/>
                <w:b w:val="1"/>
                <w:bCs w:val="1"/>
                <w:color w:val="auto"/>
                <w:w w:val="98"/>
              </w:rPr>
              <w:t>Michigan</w:t>
            </w:r>
          </w:p>
        </w:tc>
        <w:tc>
          <w:tcPr>
            <w:tcW w:w="2440" w:type="dxa"/>
            <w:vAlign w:val="bottom"/>
          </w:tcPr>
          <w:p>
            <w:pPr>
              <w:spacing w:after="0"/>
              <w:rPr>
                <w:sz w:val="24"/>
                <w:szCs w:val="24"/>
                <w:color w:val="auto"/>
              </w:rPr>
            </w:pPr>
          </w:p>
        </w:tc>
        <w:tc>
          <w:tcPr>
            <w:tcW w:w="3720" w:type="dxa"/>
            <w:vAlign w:val="bottom"/>
          </w:tcPr>
          <w:p>
            <w:pPr>
              <w:jc w:val="right"/>
              <w:ind w:right="311"/>
              <w:spacing w:after="0"/>
              <w:rPr>
                <w:sz w:val="20"/>
                <w:szCs w:val="20"/>
                <w:color w:val="auto"/>
              </w:rPr>
            </w:pPr>
            <w:r>
              <w:rPr>
                <w:rFonts w:ascii="Arial" w:cs="Arial" w:eastAsia="Arial" w:hAnsi="Arial"/>
                <w:sz w:val="15"/>
                <w:szCs w:val="15"/>
                <w:b w:val="1"/>
                <w:bCs w:val="1"/>
                <w:color w:val="auto"/>
              </w:rPr>
              <w:t>38-2030505</w:t>
            </w:r>
          </w:p>
        </w:tc>
      </w:tr>
      <w:tr>
        <w:trPr>
          <w:trHeight w:val="138"/>
        </w:trPr>
        <w:tc>
          <w:tcPr>
            <w:tcW w:w="3520" w:type="dxa"/>
            <w:vAlign w:val="bottom"/>
          </w:tcPr>
          <w:p>
            <w:pPr>
              <w:jc w:val="center"/>
              <w:ind w:left="610"/>
              <w:spacing w:after="0" w:line="139" w:lineRule="exact"/>
              <w:rPr>
                <w:sz w:val="20"/>
                <w:szCs w:val="20"/>
                <w:color w:val="auto"/>
              </w:rPr>
            </w:pPr>
            <w:r>
              <w:rPr>
                <w:rFonts w:ascii="Arial" w:cs="Arial" w:eastAsia="Arial" w:hAnsi="Arial"/>
                <w:sz w:val="13"/>
                <w:szCs w:val="13"/>
                <w:color w:val="auto"/>
              </w:rPr>
              <w:t>State or other jurisdiction of</w:t>
            </w:r>
          </w:p>
        </w:tc>
        <w:tc>
          <w:tcPr>
            <w:tcW w:w="2440" w:type="dxa"/>
            <w:vAlign w:val="bottom"/>
          </w:tcPr>
          <w:p>
            <w:pPr>
              <w:spacing w:after="0"/>
              <w:rPr>
                <w:sz w:val="12"/>
                <w:szCs w:val="12"/>
                <w:color w:val="auto"/>
              </w:rPr>
            </w:pPr>
          </w:p>
        </w:tc>
        <w:tc>
          <w:tcPr>
            <w:tcW w:w="3720" w:type="dxa"/>
            <w:vAlign w:val="bottom"/>
          </w:tcPr>
          <w:p>
            <w:pPr>
              <w:jc w:val="center"/>
              <w:ind w:left="2071"/>
              <w:spacing w:after="0" w:line="139" w:lineRule="exact"/>
              <w:rPr>
                <w:sz w:val="20"/>
                <w:szCs w:val="20"/>
                <w:color w:val="auto"/>
              </w:rPr>
            </w:pPr>
            <w:r>
              <w:rPr>
                <w:rFonts w:ascii="Arial" w:cs="Arial" w:eastAsia="Arial" w:hAnsi="Arial"/>
                <w:sz w:val="13"/>
                <w:szCs w:val="13"/>
                <w:color w:val="auto"/>
              </w:rPr>
              <w:t>(I.R.S. Employer</w:t>
            </w:r>
          </w:p>
        </w:tc>
      </w:tr>
      <w:tr>
        <w:trPr>
          <w:trHeight w:val="175"/>
        </w:trPr>
        <w:tc>
          <w:tcPr>
            <w:tcW w:w="3520" w:type="dxa"/>
            <w:vAlign w:val="bottom"/>
          </w:tcPr>
          <w:p>
            <w:pPr>
              <w:jc w:val="center"/>
              <w:ind w:left="630"/>
              <w:spacing w:after="0"/>
              <w:rPr>
                <w:sz w:val="20"/>
                <w:szCs w:val="20"/>
                <w:color w:val="auto"/>
              </w:rPr>
            </w:pPr>
            <w:r>
              <w:rPr>
                <w:rFonts w:ascii="Arial" w:cs="Arial" w:eastAsia="Arial" w:hAnsi="Arial"/>
                <w:sz w:val="13"/>
                <w:szCs w:val="13"/>
                <w:color w:val="auto"/>
              </w:rPr>
              <w:t>incorporation or organization</w:t>
            </w:r>
          </w:p>
        </w:tc>
        <w:tc>
          <w:tcPr>
            <w:tcW w:w="2440" w:type="dxa"/>
            <w:vAlign w:val="bottom"/>
          </w:tcPr>
          <w:p>
            <w:pPr>
              <w:spacing w:after="0"/>
              <w:rPr>
                <w:sz w:val="15"/>
                <w:szCs w:val="15"/>
                <w:color w:val="auto"/>
              </w:rPr>
            </w:pPr>
          </w:p>
        </w:tc>
        <w:tc>
          <w:tcPr>
            <w:tcW w:w="3720" w:type="dxa"/>
            <w:vAlign w:val="bottom"/>
          </w:tcPr>
          <w:p>
            <w:pPr>
              <w:jc w:val="center"/>
              <w:ind w:left="2071"/>
              <w:spacing w:after="0"/>
              <w:rPr>
                <w:sz w:val="20"/>
                <w:szCs w:val="20"/>
                <w:color w:val="auto"/>
              </w:rPr>
            </w:pPr>
            <w:r>
              <w:rPr>
                <w:rFonts w:ascii="Arial" w:cs="Arial" w:eastAsia="Arial" w:hAnsi="Arial"/>
                <w:sz w:val="13"/>
                <w:szCs w:val="13"/>
                <w:color w:val="auto"/>
              </w:rPr>
              <w:t>Identification No.)</w:t>
            </w:r>
          </w:p>
        </w:tc>
      </w:tr>
      <w:tr>
        <w:trPr>
          <w:trHeight w:val="248"/>
        </w:trPr>
        <w:tc>
          <w:tcPr>
            <w:tcW w:w="3520" w:type="dxa"/>
            <w:vAlign w:val="bottom"/>
          </w:tcPr>
          <w:p>
            <w:pPr>
              <w:jc w:val="center"/>
              <w:ind w:left="610"/>
              <w:spacing w:after="0"/>
              <w:rPr>
                <w:sz w:val="20"/>
                <w:szCs w:val="20"/>
                <w:color w:val="auto"/>
              </w:rPr>
            </w:pPr>
            <w:r>
              <w:rPr>
                <w:rFonts w:ascii="Arial" w:cs="Arial" w:eastAsia="Arial" w:hAnsi="Arial"/>
                <w:sz w:val="15"/>
                <w:szCs w:val="15"/>
                <w:b w:val="1"/>
                <w:bCs w:val="1"/>
                <w:color w:val="auto"/>
              </w:rPr>
              <w:t>600 N. Centennial Street,</w:t>
            </w:r>
          </w:p>
        </w:tc>
        <w:tc>
          <w:tcPr>
            <w:tcW w:w="2440" w:type="dxa"/>
            <w:vAlign w:val="bottom"/>
          </w:tcPr>
          <w:p>
            <w:pPr>
              <w:spacing w:after="0"/>
              <w:rPr>
                <w:sz w:val="21"/>
                <w:szCs w:val="21"/>
                <w:color w:val="auto"/>
              </w:rPr>
            </w:pPr>
          </w:p>
        </w:tc>
        <w:tc>
          <w:tcPr>
            <w:tcW w:w="3720" w:type="dxa"/>
            <w:vAlign w:val="bottom"/>
          </w:tcPr>
          <w:p>
            <w:pPr>
              <w:jc w:val="right"/>
              <w:ind w:right="511"/>
              <w:spacing w:after="0"/>
              <w:rPr>
                <w:sz w:val="20"/>
                <w:szCs w:val="20"/>
                <w:color w:val="auto"/>
              </w:rPr>
            </w:pPr>
            <w:r>
              <w:rPr>
                <w:rFonts w:ascii="Arial" w:cs="Arial" w:eastAsia="Arial" w:hAnsi="Arial"/>
                <w:sz w:val="15"/>
                <w:szCs w:val="15"/>
                <w:b w:val="1"/>
                <w:bCs w:val="1"/>
                <w:color w:val="auto"/>
              </w:rPr>
              <w:t>49464</w:t>
            </w:r>
          </w:p>
        </w:tc>
      </w:tr>
      <w:tr>
        <w:trPr>
          <w:trHeight w:val="206"/>
        </w:trPr>
        <w:tc>
          <w:tcPr>
            <w:tcW w:w="3520" w:type="dxa"/>
            <w:vAlign w:val="bottom"/>
          </w:tcPr>
          <w:p>
            <w:pPr>
              <w:ind w:left="1480"/>
              <w:spacing w:after="0"/>
              <w:rPr>
                <w:sz w:val="20"/>
                <w:szCs w:val="20"/>
                <w:color w:val="auto"/>
              </w:rPr>
            </w:pPr>
            <w:r>
              <w:rPr>
                <w:rFonts w:ascii="Arial" w:cs="Arial" w:eastAsia="Arial" w:hAnsi="Arial"/>
                <w:sz w:val="15"/>
                <w:szCs w:val="15"/>
                <w:b w:val="1"/>
                <w:bCs w:val="1"/>
                <w:color w:val="auto"/>
              </w:rPr>
              <w:t>Zeeland, Michigan</w:t>
            </w:r>
          </w:p>
        </w:tc>
        <w:tc>
          <w:tcPr>
            <w:tcW w:w="244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175"/>
        </w:trPr>
        <w:tc>
          <w:tcPr>
            <w:tcW w:w="3520" w:type="dxa"/>
            <w:vAlign w:val="bottom"/>
          </w:tcPr>
          <w:p>
            <w:pPr>
              <w:jc w:val="center"/>
              <w:ind w:left="610"/>
              <w:spacing w:after="0"/>
              <w:rPr>
                <w:sz w:val="20"/>
                <w:szCs w:val="20"/>
                <w:color w:val="auto"/>
              </w:rPr>
            </w:pPr>
            <w:r>
              <w:rPr>
                <w:rFonts w:ascii="Arial" w:cs="Arial" w:eastAsia="Arial" w:hAnsi="Arial"/>
                <w:sz w:val="13"/>
                <w:szCs w:val="13"/>
                <w:color w:val="auto"/>
              </w:rPr>
              <w:t>(Address of principal executive offices)</w:t>
            </w:r>
          </w:p>
        </w:tc>
        <w:tc>
          <w:tcPr>
            <w:tcW w:w="2440" w:type="dxa"/>
            <w:vAlign w:val="bottom"/>
          </w:tcPr>
          <w:p>
            <w:pPr>
              <w:spacing w:after="0"/>
              <w:rPr>
                <w:sz w:val="15"/>
                <w:szCs w:val="15"/>
                <w:color w:val="auto"/>
              </w:rPr>
            </w:pPr>
          </w:p>
        </w:tc>
        <w:tc>
          <w:tcPr>
            <w:tcW w:w="3720" w:type="dxa"/>
            <w:vAlign w:val="bottom"/>
          </w:tcPr>
          <w:p>
            <w:pPr>
              <w:jc w:val="center"/>
              <w:ind w:left="2071"/>
              <w:spacing w:after="0"/>
              <w:rPr>
                <w:sz w:val="20"/>
                <w:szCs w:val="20"/>
                <w:color w:val="auto"/>
              </w:rPr>
            </w:pPr>
            <w:r>
              <w:rPr>
                <w:rFonts w:ascii="Arial" w:cs="Arial" w:eastAsia="Arial" w:hAnsi="Arial"/>
                <w:sz w:val="13"/>
                <w:szCs w:val="13"/>
                <w:color w:val="auto"/>
              </w:rPr>
              <w:t>(Zip Code)</w:t>
            </w:r>
          </w:p>
        </w:tc>
      </w:tr>
      <w:tr>
        <w:trPr>
          <w:trHeight w:val="285"/>
        </w:trPr>
        <w:tc>
          <w:tcPr>
            <w:tcW w:w="3520" w:type="dxa"/>
            <w:vAlign w:val="bottom"/>
          </w:tcPr>
          <w:p>
            <w:pPr>
              <w:spacing w:after="0"/>
              <w:rPr>
                <w:sz w:val="24"/>
                <w:szCs w:val="24"/>
                <w:color w:val="auto"/>
              </w:rPr>
            </w:pPr>
          </w:p>
        </w:tc>
        <w:tc>
          <w:tcPr>
            <w:tcW w:w="6160" w:type="dxa"/>
            <w:vAlign w:val="bottom"/>
            <w:gridSpan w:val="2"/>
          </w:tcPr>
          <w:p>
            <w:pPr>
              <w:jc w:val="center"/>
              <w:ind w:right="1891"/>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616-772-1800</w:t>
            </w:r>
          </w:p>
        </w:tc>
      </w:tr>
      <w:tr>
        <w:trPr>
          <w:trHeight w:val="382"/>
        </w:trPr>
        <w:tc>
          <w:tcPr>
            <w:tcW w:w="352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24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05"/>
        </w:trPr>
        <w:tc>
          <w:tcPr>
            <w:tcW w:w="3520" w:type="dxa"/>
            <w:vAlign w:val="bottom"/>
            <w:tcBorders>
              <w:bottom w:val="single" w:sz="8" w:color="auto"/>
            </w:tcBorders>
          </w:tcPr>
          <w:p>
            <w:pPr>
              <w:jc w:val="center"/>
              <w:ind w:left="30"/>
              <w:spacing w:after="0"/>
              <w:rPr>
                <w:sz w:val="20"/>
                <w:szCs w:val="20"/>
                <w:color w:val="auto"/>
              </w:rPr>
            </w:pPr>
            <w:r>
              <w:rPr>
                <w:rFonts w:ascii="Arial" w:cs="Arial" w:eastAsia="Arial" w:hAnsi="Arial"/>
                <w:sz w:val="13"/>
                <w:szCs w:val="13"/>
                <w:color w:val="auto"/>
              </w:rPr>
              <w:t>Title of each Class</w:t>
            </w:r>
          </w:p>
        </w:tc>
        <w:tc>
          <w:tcPr>
            <w:tcW w:w="2440" w:type="dxa"/>
            <w:vAlign w:val="bottom"/>
            <w:tcBorders>
              <w:bottom w:val="single" w:sz="8" w:color="auto"/>
            </w:tcBorders>
          </w:tcPr>
          <w:p>
            <w:pPr>
              <w:jc w:val="center"/>
              <w:ind w:left="126"/>
              <w:spacing w:after="0"/>
              <w:rPr>
                <w:sz w:val="20"/>
                <w:szCs w:val="20"/>
                <w:color w:val="auto"/>
              </w:rPr>
            </w:pPr>
            <w:r>
              <w:rPr>
                <w:rFonts w:ascii="Arial" w:cs="Arial" w:eastAsia="Arial" w:hAnsi="Arial"/>
                <w:sz w:val="13"/>
                <w:szCs w:val="13"/>
                <w:color w:val="auto"/>
              </w:rPr>
              <w:t>Trading Symbol(s)</w:t>
            </w:r>
          </w:p>
        </w:tc>
        <w:tc>
          <w:tcPr>
            <w:tcW w:w="3720" w:type="dxa"/>
            <w:vAlign w:val="bottom"/>
            <w:tcBorders>
              <w:bottom w:val="single" w:sz="8" w:color="auto"/>
            </w:tcBorders>
          </w:tcPr>
          <w:p>
            <w:pPr>
              <w:jc w:val="center"/>
              <w:ind w:left="31"/>
              <w:spacing w:after="0"/>
              <w:rPr>
                <w:sz w:val="20"/>
                <w:szCs w:val="20"/>
                <w:color w:val="auto"/>
              </w:rPr>
            </w:pPr>
            <w:r>
              <w:rPr>
                <w:rFonts w:ascii="Arial" w:cs="Arial" w:eastAsia="Arial" w:hAnsi="Arial"/>
                <w:sz w:val="13"/>
                <w:szCs w:val="13"/>
                <w:color w:val="auto"/>
              </w:rPr>
              <w:t>Name of each exchange on which registered</w:t>
            </w:r>
          </w:p>
        </w:tc>
      </w:tr>
      <w:tr>
        <w:trPr>
          <w:trHeight w:val="185"/>
        </w:trPr>
        <w:tc>
          <w:tcPr>
            <w:tcW w:w="3520" w:type="dxa"/>
            <w:vAlign w:val="bottom"/>
          </w:tcPr>
          <w:p>
            <w:pPr>
              <w:jc w:val="center"/>
              <w:ind w:left="30"/>
              <w:spacing w:after="0"/>
              <w:rPr>
                <w:sz w:val="20"/>
                <w:szCs w:val="20"/>
                <w:color w:val="auto"/>
              </w:rPr>
            </w:pPr>
            <w:r>
              <w:rPr>
                <w:rFonts w:ascii="Arial" w:cs="Arial" w:eastAsia="Arial" w:hAnsi="Arial"/>
                <w:sz w:val="13"/>
                <w:szCs w:val="13"/>
                <w:b w:val="1"/>
                <w:bCs w:val="1"/>
                <w:color w:val="auto"/>
              </w:rPr>
              <w:t>Common Stock, par value $.06 per share</w:t>
            </w:r>
          </w:p>
        </w:tc>
        <w:tc>
          <w:tcPr>
            <w:tcW w:w="2440" w:type="dxa"/>
            <w:vAlign w:val="bottom"/>
          </w:tcPr>
          <w:p>
            <w:pPr>
              <w:jc w:val="center"/>
              <w:ind w:left="126"/>
              <w:spacing w:after="0"/>
              <w:rPr>
                <w:sz w:val="20"/>
                <w:szCs w:val="20"/>
                <w:color w:val="auto"/>
              </w:rPr>
            </w:pPr>
            <w:r>
              <w:rPr>
                <w:rFonts w:ascii="Arial" w:cs="Arial" w:eastAsia="Arial" w:hAnsi="Arial"/>
                <w:sz w:val="13"/>
                <w:szCs w:val="13"/>
                <w:b w:val="1"/>
                <w:bCs w:val="1"/>
                <w:color w:val="auto"/>
                <w:w w:val="99"/>
              </w:rPr>
              <w:t>GNTX</w:t>
            </w:r>
          </w:p>
        </w:tc>
        <w:tc>
          <w:tcPr>
            <w:tcW w:w="3720" w:type="dxa"/>
            <w:vAlign w:val="bottom"/>
          </w:tcPr>
          <w:p>
            <w:pPr>
              <w:jc w:val="center"/>
              <w:ind w:left="31"/>
              <w:spacing w:after="0"/>
              <w:rPr>
                <w:sz w:val="20"/>
                <w:szCs w:val="20"/>
                <w:color w:val="auto"/>
              </w:rPr>
            </w:pPr>
            <w:r>
              <w:rPr>
                <w:rFonts w:ascii="Arial" w:cs="Arial" w:eastAsia="Arial" w:hAnsi="Arial"/>
                <w:sz w:val="13"/>
                <w:szCs w:val="13"/>
                <w:b w:val="1"/>
                <w:bCs w:val="1"/>
                <w:color w:val="auto"/>
              </w:rPr>
              <w:t>NASDAQ Global Select Market</w:t>
            </w:r>
          </w:p>
        </w:tc>
      </w:tr>
    </w:tbl>
    <w:p>
      <w:pPr>
        <w:spacing w:after="0" w:line="81"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None</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(Title of Class)</w:t>
      </w:r>
    </w:p>
    <w:p>
      <w:pPr>
        <w:spacing w:after="0" w:line="2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52" w:lineRule="exact"/>
        <w:rPr>
          <w:sz w:val="24"/>
          <w:szCs w:val="24"/>
          <w:color w:val="auto"/>
        </w:rPr>
      </w:pPr>
    </w:p>
    <w:p>
      <w:pPr>
        <w:ind w:left="140"/>
        <w:spacing w:after="0" w:line="184" w:lineRule="exact"/>
        <w:tabs>
          <w:tab w:leader="none" w:pos="80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rFonts w:ascii="Arial" w:cs="Arial" w:eastAsia="Arial" w:hAnsi="Arial"/>
          <w:sz w:val="13"/>
          <w:szCs w:val="13"/>
          <w:color w:val="auto"/>
        </w:rPr>
        <w:tab/>
        <w:t xml:space="preserve">No: </w:t>
      </w:r>
      <w:r>
        <w:rPr>
          <w:rFonts w:ascii="MS PGothic" w:cs="MS PGothic" w:eastAsia="MS PGothic" w:hAnsi="MS PGothic"/>
          <w:sz w:val="16"/>
          <w:szCs w:val="16"/>
          <w:color w:val="auto"/>
        </w:rPr>
        <w:t>☐</w:t>
      </w:r>
    </w:p>
    <w:p>
      <w:pPr>
        <w:spacing w:after="0" w:line="80"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52" w:lineRule="exact"/>
        <w:rPr>
          <w:sz w:val="24"/>
          <w:szCs w:val="24"/>
          <w:color w:val="auto"/>
        </w:rPr>
      </w:pPr>
    </w:p>
    <w:p>
      <w:pPr>
        <w:ind w:left="140"/>
        <w:spacing w:after="0" w:line="184" w:lineRule="exact"/>
        <w:tabs>
          <w:tab w:leader="none" w:pos="840" w:val="left"/>
          <w:tab w:leader="none" w:pos="116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MS PGothic" w:cs="MS PGothic" w:eastAsia="MS PGothic" w:hAnsi="MS PGothic"/>
          <w:sz w:val="16"/>
          <w:szCs w:val="16"/>
          <w:color w:val="auto"/>
        </w:rPr>
        <w:t>☑</w:t>
      </w:r>
    </w:p>
    <w:p>
      <w:pPr>
        <w:spacing w:after="0" w:line="80" w:lineRule="exact"/>
        <w:rPr>
          <w:sz w:val="24"/>
          <w:szCs w:val="24"/>
          <w:color w:val="auto"/>
        </w:rPr>
      </w:pPr>
    </w:p>
    <w:p>
      <w:pPr>
        <w:spacing w:after="0" w:line="261"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40"/>
        <w:spacing w:after="0" w:line="184" w:lineRule="exact"/>
        <w:tabs>
          <w:tab w:leader="none" w:pos="80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rFonts w:ascii="Arial" w:cs="Arial" w:eastAsia="Arial" w:hAnsi="Arial"/>
          <w:sz w:val="13"/>
          <w:szCs w:val="13"/>
          <w:color w:val="auto"/>
        </w:rPr>
        <w:tab/>
        <w:t xml:space="preserve">No: </w:t>
      </w:r>
      <w:r>
        <w:rPr>
          <w:rFonts w:ascii="MS PGothic" w:cs="MS PGothic" w:eastAsia="MS PGothic" w:hAnsi="MS PGothic"/>
          <w:sz w:val="16"/>
          <w:szCs w:val="16"/>
          <w:color w:val="auto"/>
        </w:rPr>
        <w:t>☐</w:t>
      </w:r>
    </w:p>
    <w:p>
      <w:pPr>
        <w:spacing w:after="0" w:line="106" w:lineRule="exact"/>
        <w:rPr>
          <w:sz w:val="24"/>
          <w:szCs w:val="24"/>
          <w:color w:val="auto"/>
        </w:rPr>
      </w:pPr>
    </w:p>
    <w:p>
      <w:pPr>
        <w:ind w:right="340"/>
        <w:spacing w:after="0" w:line="272"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140"/>
        <w:spacing w:after="0" w:line="184" w:lineRule="exact"/>
        <w:tabs>
          <w:tab w:leader="none" w:pos="80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rFonts w:ascii="Arial" w:cs="Arial" w:eastAsia="Arial" w:hAnsi="Arial"/>
          <w:sz w:val="13"/>
          <w:szCs w:val="13"/>
          <w:color w:val="auto"/>
        </w:rPr>
        <w:tab/>
        <w:t xml:space="preserve">No: </w:t>
      </w:r>
      <w:r>
        <w:rPr>
          <w:rFonts w:ascii="MS PGothic" w:cs="MS PGothic" w:eastAsia="MS PGothic" w:hAnsi="MS PGothic"/>
          <w:sz w:val="16"/>
          <w:szCs w:val="16"/>
          <w:color w:val="auto"/>
        </w:rPr>
        <w:t>☐</w:t>
      </w:r>
    </w:p>
    <w:p>
      <w:pPr>
        <w:spacing w:after="0" w:line="106" w:lineRule="exact"/>
        <w:rPr>
          <w:sz w:val="24"/>
          <w:szCs w:val="24"/>
          <w:color w:val="auto"/>
        </w:rPr>
      </w:pPr>
    </w:p>
    <w:p>
      <w:pPr>
        <w:ind w:right="100"/>
        <w:spacing w:after="0" w:line="29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15"/>
        </w:trPr>
        <w:tc>
          <w:tcPr>
            <w:tcW w:w="24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0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6680" w:type="dxa"/>
            <w:vAlign w:val="bottom"/>
          </w:tcPr>
          <w:p>
            <w:pPr>
              <w:ind w:left="4220"/>
              <w:spacing w:after="0"/>
              <w:rPr>
                <w:sz w:val="20"/>
                <w:szCs w:val="20"/>
                <w:color w:val="auto"/>
              </w:rPr>
            </w:pPr>
            <w:r>
              <w:rPr>
                <w:rFonts w:ascii="Arial" w:cs="Arial" w:eastAsia="Arial" w:hAnsi="Arial"/>
                <w:sz w:val="13"/>
                <w:szCs w:val="13"/>
                <w:color w:val="auto"/>
              </w:rPr>
              <w:t>Accelerated filer</w:t>
            </w:r>
          </w:p>
        </w:tc>
        <w:tc>
          <w:tcPr>
            <w:tcW w:w="280" w:type="dxa"/>
            <w:vAlign w:val="bottom"/>
            <w:tcBorders>
              <w:bottom w:val="single" w:sz="8" w:color="auto"/>
            </w:tcBorders>
          </w:tcPr>
          <w:p>
            <w:pPr>
              <w:ind w:left="20"/>
              <w:spacing w:after="0" w:line="131" w:lineRule="exact"/>
              <w:rPr>
                <w:sz w:val="20"/>
                <w:szCs w:val="20"/>
                <w:color w:val="auto"/>
              </w:rPr>
            </w:pPr>
            <w:r>
              <w:rPr>
                <w:rFonts w:ascii="MS PGothic" w:cs="MS PGothic" w:eastAsia="MS PGothic" w:hAnsi="MS PGothic"/>
                <w:sz w:val="13"/>
                <w:szCs w:val="13"/>
                <w:color w:val="auto"/>
              </w:rPr>
              <w:t>☐</w:t>
            </w:r>
          </w:p>
        </w:tc>
      </w:tr>
      <w:tr>
        <w:trPr>
          <w:trHeight w:val="181"/>
        </w:trPr>
        <w:tc>
          <w:tcPr>
            <w:tcW w:w="2440" w:type="dxa"/>
            <w:vAlign w:val="bottom"/>
          </w:tcPr>
          <w:p>
            <w:pPr>
              <w:spacing w:after="0"/>
              <w:rPr>
                <w:sz w:val="20"/>
                <w:szCs w:val="20"/>
                <w:color w:val="auto"/>
              </w:rPr>
            </w:pPr>
            <w:r>
              <w:rPr>
                <w:rFonts w:ascii="Arial" w:cs="Arial" w:eastAsia="Arial" w:hAnsi="Arial"/>
                <w:sz w:val="13"/>
                <w:szCs w:val="13"/>
                <w:color w:val="auto"/>
              </w:rPr>
              <w:t>Non-accelerated filer</w:t>
            </w:r>
          </w:p>
        </w:tc>
        <w:tc>
          <w:tcPr>
            <w:tcW w:w="300" w:type="dxa"/>
            <w:vAlign w:val="bottom"/>
            <w:tcBorders>
              <w:bottom w:val="single" w:sz="8" w:color="auto"/>
            </w:tcBorders>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6680" w:type="dxa"/>
            <w:vAlign w:val="bottom"/>
          </w:tcPr>
          <w:p>
            <w:pPr>
              <w:ind w:left="4220"/>
              <w:spacing w:after="0"/>
              <w:rPr>
                <w:sz w:val="20"/>
                <w:szCs w:val="20"/>
                <w:color w:val="auto"/>
              </w:rPr>
            </w:pPr>
            <w:r>
              <w:rPr>
                <w:rFonts w:ascii="Arial" w:cs="Arial" w:eastAsia="Arial" w:hAnsi="Arial"/>
                <w:sz w:val="13"/>
                <w:szCs w:val="13"/>
                <w:color w:val="auto"/>
              </w:rPr>
              <w:t>Smaller reporting company</w:t>
            </w:r>
          </w:p>
        </w:tc>
        <w:tc>
          <w:tcPr>
            <w:tcW w:w="280" w:type="dxa"/>
            <w:vAlign w:val="bottom"/>
            <w:tcBorders>
              <w:bottom w:val="single" w:sz="8" w:color="auto"/>
            </w:tcBorders>
          </w:tcPr>
          <w:p>
            <w:pPr>
              <w:ind w:left="60"/>
              <w:spacing w:after="0" w:line="131" w:lineRule="exact"/>
              <w:rPr>
                <w:sz w:val="20"/>
                <w:szCs w:val="20"/>
                <w:color w:val="auto"/>
              </w:rPr>
            </w:pPr>
            <w:r>
              <w:rPr>
                <w:rFonts w:ascii="MS PGothic" w:cs="MS PGothic" w:eastAsia="MS PGothic" w:hAnsi="MS PGothic"/>
                <w:sz w:val="13"/>
                <w:szCs w:val="13"/>
                <w:color w:val="auto"/>
              </w:rPr>
              <w:t>☐</w:t>
            </w:r>
          </w:p>
        </w:tc>
      </w:tr>
      <w:tr>
        <w:trPr>
          <w:trHeight w:val="181"/>
        </w:trPr>
        <w:tc>
          <w:tcPr>
            <w:tcW w:w="2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80" w:type="dxa"/>
            <w:vAlign w:val="bottom"/>
          </w:tcPr>
          <w:p>
            <w:pPr>
              <w:ind w:left="4220"/>
              <w:spacing w:after="0"/>
              <w:rPr>
                <w:sz w:val="20"/>
                <w:szCs w:val="20"/>
                <w:color w:val="auto"/>
              </w:rPr>
            </w:pPr>
            <w:r>
              <w:rPr>
                <w:rFonts w:ascii="Arial" w:cs="Arial" w:eastAsia="Arial" w:hAnsi="Arial"/>
                <w:sz w:val="13"/>
                <w:szCs w:val="13"/>
                <w:color w:val="auto"/>
              </w:rPr>
              <w:t>Emerging growth company</w:t>
            </w:r>
          </w:p>
        </w:tc>
        <w:tc>
          <w:tcPr>
            <w:tcW w:w="280" w:type="dxa"/>
            <w:vAlign w:val="bottom"/>
            <w:tcBorders>
              <w:bottom w:val="single" w:sz="8" w:color="auto"/>
            </w:tcBorders>
          </w:tcPr>
          <w:p>
            <w:pPr>
              <w:ind w:left="60"/>
              <w:spacing w:after="0" w:line="131" w:lineRule="exact"/>
              <w:rPr>
                <w:sz w:val="20"/>
                <w:szCs w:val="20"/>
                <w:color w:val="auto"/>
              </w:rPr>
            </w:pPr>
            <w:r>
              <w:rPr>
                <w:rFonts w:ascii="MS PGothic" w:cs="MS PGothic" w:eastAsia="MS PGothic" w:hAnsi="MS PGothic"/>
                <w:sz w:val="13"/>
                <w:szCs w:val="13"/>
                <w:color w:val="auto"/>
              </w:rPr>
              <w:t>☐</w:t>
            </w:r>
          </w:p>
        </w:tc>
      </w:tr>
    </w:tbl>
    <w:p>
      <w:pPr>
        <w:spacing w:after="0" w:line="80" w:lineRule="exact"/>
        <w:rPr>
          <w:sz w:val="24"/>
          <w:szCs w:val="24"/>
          <w:color w:val="auto"/>
        </w:rPr>
      </w:pPr>
    </w:p>
    <w:p>
      <w:pPr>
        <w:ind w:right="360"/>
        <w:spacing w:after="0" w:line="19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4" w:lineRule="exact"/>
        <w:rPr>
          <w:sz w:val="24"/>
          <w:szCs w:val="24"/>
          <w:color w:val="auto"/>
        </w:rPr>
      </w:pPr>
    </w:p>
    <w:p>
      <w:pPr>
        <w:ind w:right="200"/>
        <w:spacing w:after="0" w:line="199"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94" w:lineRule="exact"/>
        <w:rPr>
          <w:sz w:val="24"/>
          <w:szCs w:val="24"/>
          <w:color w:val="auto"/>
        </w:rPr>
      </w:pPr>
    </w:p>
    <w:p>
      <w:pPr>
        <w:ind w:right="60"/>
        <w:spacing w:after="0" w:line="199"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94"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w:t>
      </w:r>
    </w:p>
    <w:p>
      <w:pPr>
        <w:sectPr>
          <w:pgSz w:w="11900" w:h="16838" w:orient="portrait"/>
          <w:cols w:equalWidth="0" w:num="1">
            <w:col w:w="11240"/>
          </w:cols>
          <w:pgMar w:left="320" w:top="780" w:right="339" w:bottom="1440" w:gutter="0" w:footer="0" w:header="0"/>
        </w:sectPr>
      </w:pPr>
    </w:p>
    <w:p>
      <w:pPr>
        <w:spacing w:after="0" w:line="26" w:lineRule="exact"/>
        <w:rPr>
          <w:sz w:val="24"/>
          <w:szCs w:val="24"/>
          <w:color w:val="auto"/>
        </w:rPr>
      </w:pPr>
    </w:p>
    <w:p>
      <w:pPr>
        <w:spacing w:after="0" w:line="184" w:lineRule="exact"/>
        <w:tabs>
          <w:tab w:leader="none" w:pos="4880" w:val="left"/>
          <w:tab w:leader="none" w:pos="5600" w:val="left"/>
        </w:tabs>
        <w:rPr>
          <w:sz w:val="20"/>
          <w:szCs w:val="20"/>
          <w:color w:val="auto"/>
        </w:rPr>
      </w:pPr>
      <w:r>
        <w:rPr>
          <w:rFonts w:ascii="Arial" w:cs="Arial" w:eastAsia="Arial" w:hAnsi="Arial"/>
          <w:sz w:val="13"/>
          <w:szCs w:val="13"/>
          <w:color w:val="auto"/>
        </w:rPr>
        <w:t>executive officers during the relevant recovery period pursuant to §240.10D-1(b).</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5" w:lineRule="exact"/>
        <w:rPr>
          <w:sz w:val="24"/>
          <w:szCs w:val="24"/>
          <w:color w:val="auto"/>
        </w:rPr>
      </w:pPr>
    </w:p>
    <w:p>
      <w:pPr>
        <w:sectPr>
          <w:pgSz w:w="11900" w:h="16838" w:orient="portrait"/>
          <w:cols w:equalWidth="0" w:num="2">
            <w:col w:w="5820" w:space="120"/>
            <w:col w:w="5300"/>
          </w:cols>
          <w:pgMar w:left="320" w:top="780" w:right="339" w:bottom="1440" w:gutter="0" w:footer="0" w:header="0"/>
          <w:type w:val="continuous"/>
        </w:sectPr>
      </w:pPr>
    </w:p>
    <w:p>
      <w:pPr>
        <w:spacing w:after="0" w:line="184" w:lineRule="exact"/>
        <w:tabs>
          <w:tab w:leader="none" w:pos="620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3"/>
          <w:szCs w:val="13"/>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1" w:lineRule="exact"/>
        <w:rPr>
          <w:sz w:val="24"/>
          <w:szCs w:val="24"/>
          <w:color w:val="auto"/>
        </w:rPr>
      </w:pPr>
    </w:p>
    <w:p>
      <w:pPr>
        <w:sectPr>
          <w:pgSz w:w="11900" w:h="16838" w:orient="portrait"/>
          <w:cols w:equalWidth="0" w:num="3">
            <w:col w:w="6700" w:space="220"/>
            <w:col w:w="220" w:space="100"/>
            <w:col w:w="4000"/>
          </w:cols>
          <w:pgMar w:left="320" w:top="780" w:right="339" w:bottom="1440" w:gutter="0" w:footer="0" w:header="0"/>
          <w:type w:val="continuous"/>
        </w:sectPr>
      </w:pPr>
    </w:p>
    <w:p>
      <w:pPr>
        <w:spacing w:after="0" w:line="53" w:lineRule="exact"/>
        <w:rPr>
          <w:sz w:val="24"/>
          <w:szCs w:val="24"/>
          <w:color w:val="auto"/>
        </w:rPr>
      </w:pPr>
    </w:p>
    <w:p>
      <w:pPr>
        <w:jc w:val="both"/>
        <w:ind w:right="60"/>
        <w:spacing w:after="0" w:line="283" w:lineRule="auto"/>
        <w:rPr>
          <w:sz w:val="20"/>
          <w:szCs w:val="20"/>
          <w:color w:val="auto"/>
        </w:rPr>
      </w:pPr>
      <w:r>
        <w:rPr>
          <w:rFonts w:ascii="Arial" w:cs="Arial" w:eastAsia="Arial" w:hAnsi="Arial"/>
          <w:sz w:val="13"/>
          <w:szCs w:val="13"/>
          <w:color w:val="auto"/>
        </w:rPr>
        <w:t>As of June 30, 2023 (the last business day of the registrant’s most recently completed second fiscal quarter), 233,429,994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$6,816,999,891 computed at the closing price on that date.</w:t>
      </w:r>
    </w:p>
    <w:p>
      <w:pPr>
        <w:spacing w:after="0" w:line="188" w:lineRule="exact"/>
        <w:rPr>
          <w:sz w:val="24"/>
          <w:szCs w:val="24"/>
          <w:color w:val="auto"/>
        </w:rPr>
      </w:pPr>
    </w:p>
    <w:p>
      <w:pPr>
        <w:ind w:right="3460"/>
        <w:spacing w:after="0" w:line="304" w:lineRule="auto"/>
        <w:rPr>
          <w:sz w:val="20"/>
          <w:szCs w:val="20"/>
          <w:color w:val="auto"/>
        </w:rPr>
      </w:pPr>
      <w:r>
        <w:rPr>
          <w:rFonts w:ascii="Arial" w:cs="Arial" w:eastAsia="Arial" w:hAnsi="Arial"/>
          <w:sz w:val="13"/>
          <w:szCs w:val="13"/>
          <w:color w:val="auto"/>
        </w:rPr>
        <w:t>As of February 1, 2024, 231,491,896 shares of the registrant’s common stock, par value $.06 per share, were outstanding, Portions of the Company’s Proxy Statement for its 2024 Annual Meeting of Shareholders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111125</wp:posOffset>
            </wp:positionV>
            <wp:extent cx="716724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1"/>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320" w:type="dxa"/>
            <w:vAlign w:val="bottom"/>
            <w:gridSpan w:val="11"/>
          </w:tcPr>
          <w:p>
            <w:pPr>
              <w:jc w:val="center"/>
              <w:ind w:right="1400"/>
              <w:spacing w:after="0"/>
              <w:rPr>
                <w:sz w:val="20"/>
                <w:szCs w:val="20"/>
                <w:color w:val="auto"/>
              </w:rPr>
            </w:pPr>
            <w:r>
              <w:rPr>
                <w:rFonts w:ascii="Arial" w:cs="Arial" w:eastAsia="Arial" w:hAnsi="Arial"/>
                <w:sz w:val="17"/>
                <w:szCs w:val="17"/>
                <w:b w:val="1"/>
                <w:bCs w:val="1"/>
                <w:color w:val="auto"/>
                <w:w w:val="98"/>
              </w:rPr>
              <w:t>GENTEX CORPORATION AND SUBSIDIARIES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20" w:type="dxa"/>
            <w:vAlign w:val="bottom"/>
            <w:gridSpan w:val="9"/>
          </w:tcPr>
          <w:p>
            <w:pPr>
              <w:jc w:val="center"/>
              <w:ind w:right="2300"/>
              <w:spacing w:after="0"/>
              <w:rPr>
                <w:sz w:val="20"/>
                <w:szCs w:val="20"/>
                <w:color w:val="auto"/>
              </w:rPr>
            </w:pPr>
            <w:r>
              <w:rPr>
                <w:rFonts w:ascii="Arial" w:cs="Arial" w:eastAsia="Arial" w:hAnsi="Arial"/>
                <w:sz w:val="17"/>
                <w:szCs w:val="17"/>
                <w:b w:val="1"/>
                <w:bCs w:val="1"/>
                <w:color w:val="auto"/>
                <w:w w:val="98"/>
              </w:rPr>
              <w:t>For the Year Ended December 31, 2023</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60" w:type="dxa"/>
            <w:vAlign w:val="bottom"/>
            <w:gridSpan w:val="8"/>
          </w:tcPr>
          <w:p>
            <w:pPr>
              <w:jc w:val="center"/>
              <w:ind w:right="2740"/>
              <w:spacing w:after="0"/>
              <w:rPr>
                <w:sz w:val="20"/>
                <w:szCs w:val="20"/>
                <w:color w:val="auto"/>
              </w:rPr>
            </w:pPr>
            <w:r>
              <w:rPr>
                <w:rFonts w:ascii="Arial" w:cs="Arial" w:eastAsia="Arial" w:hAnsi="Arial"/>
                <w:sz w:val="17"/>
                <w:szCs w:val="17"/>
                <w:b w:val="1"/>
                <w:bCs w:val="1"/>
                <w:color w:val="auto"/>
                <w:w w:val="98"/>
              </w:rPr>
              <w:t>FORM 10-K</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20" w:type="dxa"/>
            <w:vAlign w:val="bottom"/>
            <w:gridSpan w:val="7"/>
          </w:tcPr>
          <w:p>
            <w:pPr>
              <w:jc w:val="center"/>
              <w:ind w:right="3500"/>
              <w:spacing w:after="0"/>
              <w:rPr>
                <w:sz w:val="20"/>
                <w:szCs w:val="20"/>
                <w:color w:val="auto"/>
              </w:rPr>
            </w:pPr>
            <w:r>
              <w:rPr>
                <w:rFonts w:ascii="Arial" w:cs="Arial" w:eastAsia="Arial" w:hAnsi="Arial"/>
                <w:sz w:val="17"/>
                <w:szCs w:val="17"/>
                <w:b w:val="1"/>
                <w:bCs w:val="1"/>
                <w:color w:val="auto"/>
                <w:w w:val="98"/>
              </w:rPr>
              <w:t>Index</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20"/>
                <w:szCs w:val="20"/>
                <w:b w:val="1"/>
                <w:bCs w:val="1"/>
                <w:color w:val="auto"/>
              </w:rPr>
              <w:t>Part I</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gridSpan w:val="3"/>
          </w:tcPr>
          <w:p>
            <w:pPr>
              <w:ind w:left="64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000" w:type="dxa"/>
            <w:vAlign w:val="bottom"/>
            <w:gridSpan w:val="3"/>
          </w:tcPr>
          <w:p>
            <w:pPr>
              <w:spacing w:after="0" w:line="180" w:lineRule="exact"/>
              <w:rPr>
                <w:sz w:val="20"/>
                <w:szCs w:val="20"/>
                <w:color w:val="auto"/>
              </w:rPr>
            </w:pPr>
            <w:r>
              <w:rPr>
                <w:rFonts w:ascii="Arial" w:cs="Arial" w:eastAsia="Arial" w:hAnsi="Arial"/>
                <w:sz w:val="17"/>
                <w:szCs w:val="17"/>
                <w:color w:val="0000FF"/>
              </w:rPr>
              <w:t>Item 1.</w:t>
            </w:r>
          </w:p>
        </w:tc>
        <w:tc>
          <w:tcPr>
            <w:tcW w:w="8420" w:type="dxa"/>
            <w:vAlign w:val="bottom"/>
            <w:gridSpan w:val="24"/>
          </w:tcPr>
          <w:p>
            <w:pPr>
              <w:spacing w:after="0" w:line="180" w:lineRule="exact"/>
              <w:rPr>
                <w:sz w:val="20"/>
                <w:szCs w:val="20"/>
                <w:color w:val="auto"/>
              </w:rPr>
            </w:pPr>
            <w:r>
              <w:rPr>
                <w:rFonts w:ascii="Arial" w:cs="Arial" w:eastAsia="Arial" w:hAnsi="Arial"/>
                <w:sz w:val="17"/>
                <w:szCs w:val="17"/>
                <w:color w:val="0000FF"/>
              </w:rPr>
              <w:t>Business</w:t>
            </w:r>
          </w:p>
        </w:tc>
        <w:tc>
          <w:tcPr>
            <w:tcW w:w="920" w:type="dxa"/>
            <w:vAlign w:val="bottom"/>
            <w:gridSpan w:val="2"/>
          </w:tcPr>
          <w:p>
            <w:pPr>
              <w:jc w:val="center"/>
              <w:ind w:left="735"/>
              <w:spacing w:after="0" w:line="180" w:lineRule="exact"/>
              <w:rPr>
                <w:sz w:val="20"/>
                <w:szCs w:val="20"/>
                <w:color w:val="auto"/>
              </w:rPr>
            </w:pPr>
            <w:r>
              <w:rPr>
                <w:rFonts w:ascii="Arial" w:cs="Arial" w:eastAsia="Arial" w:hAnsi="Arial"/>
                <w:sz w:val="17"/>
                <w:szCs w:val="17"/>
                <w:color w:val="0000FF"/>
              </w:rPr>
              <w:t>4</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80" w:type="dxa"/>
            <w:vAlign w:val="bottom"/>
            <w:gridSpan w:val="2"/>
          </w:tcPr>
          <w:p>
            <w:pPr>
              <w:spacing w:after="0" w:line="194" w:lineRule="exact"/>
              <w:rPr>
                <w:sz w:val="20"/>
                <w:szCs w:val="20"/>
                <w:color w:val="auto"/>
              </w:rPr>
            </w:pPr>
            <w:r>
              <w:rPr>
                <w:rFonts w:ascii="Arial" w:cs="Arial" w:eastAsia="Arial" w:hAnsi="Arial"/>
                <w:sz w:val="17"/>
                <w:szCs w:val="17"/>
                <w:color w:val="0000FF"/>
                <w:w w:val="85"/>
              </w:rPr>
              <w:t>Item 1A.</w:t>
            </w:r>
          </w:p>
        </w:tc>
        <w:tc>
          <w:tcPr>
            <w:tcW w:w="420" w:type="dxa"/>
            <w:vAlign w:val="bottom"/>
          </w:tcPr>
          <w:p>
            <w:pPr>
              <w:spacing w:after="0"/>
              <w:rPr>
                <w:sz w:val="16"/>
                <w:szCs w:val="16"/>
                <w:color w:val="auto"/>
              </w:rPr>
            </w:pPr>
          </w:p>
        </w:tc>
        <w:tc>
          <w:tcPr>
            <w:tcW w:w="940" w:type="dxa"/>
            <w:vAlign w:val="bottom"/>
            <w:gridSpan w:val="6"/>
          </w:tcPr>
          <w:p>
            <w:pPr>
              <w:spacing w:after="0" w:line="194" w:lineRule="exact"/>
              <w:rPr>
                <w:sz w:val="20"/>
                <w:szCs w:val="20"/>
                <w:color w:val="auto"/>
              </w:rPr>
            </w:pPr>
            <w:r>
              <w:rPr>
                <w:rFonts w:ascii="Arial" w:cs="Arial" w:eastAsia="Arial" w:hAnsi="Arial"/>
                <w:sz w:val="17"/>
                <w:szCs w:val="17"/>
                <w:color w:val="0000FF"/>
                <w:w w:val="97"/>
              </w:rPr>
              <w:t>Risk Factors</w:t>
            </w:r>
          </w:p>
        </w:tc>
        <w:tc>
          <w:tcPr>
            <w:tcW w:w="7480" w:type="dxa"/>
            <w:vAlign w:val="bottom"/>
            <w:gridSpan w:val="18"/>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10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80" w:type="dxa"/>
            <w:vAlign w:val="bottom"/>
            <w:gridSpan w:val="2"/>
          </w:tcPr>
          <w:p>
            <w:pPr>
              <w:spacing w:after="0" w:line="194" w:lineRule="exact"/>
              <w:rPr>
                <w:sz w:val="20"/>
                <w:szCs w:val="20"/>
                <w:color w:val="auto"/>
              </w:rPr>
            </w:pPr>
            <w:r>
              <w:rPr>
                <w:rFonts w:ascii="Arial" w:cs="Arial" w:eastAsia="Arial" w:hAnsi="Arial"/>
                <w:sz w:val="17"/>
                <w:szCs w:val="17"/>
                <w:color w:val="0000FF"/>
                <w:w w:val="85"/>
              </w:rPr>
              <w:t>Item 1B.</w:t>
            </w:r>
          </w:p>
        </w:tc>
        <w:tc>
          <w:tcPr>
            <w:tcW w:w="420" w:type="dxa"/>
            <w:vAlign w:val="bottom"/>
          </w:tcPr>
          <w:p>
            <w:pPr>
              <w:spacing w:after="0"/>
              <w:rPr>
                <w:sz w:val="16"/>
                <w:szCs w:val="16"/>
                <w:color w:val="auto"/>
              </w:rPr>
            </w:pPr>
          </w:p>
        </w:tc>
        <w:tc>
          <w:tcPr>
            <w:tcW w:w="2100" w:type="dxa"/>
            <w:vAlign w:val="bottom"/>
            <w:gridSpan w:val="13"/>
          </w:tcPr>
          <w:p>
            <w:pPr>
              <w:spacing w:after="0" w:line="194" w:lineRule="exact"/>
              <w:rPr>
                <w:sz w:val="20"/>
                <w:szCs w:val="20"/>
                <w:color w:val="auto"/>
              </w:rPr>
            </w:pPr>
            <w:r>
              <w:rPr>
                <w:rFonts w:ascii="Arial" w:cs="Arial" w:eastAsia="Arial" w:hAnsi="Arial"/>
                <w:sz w:val="17"/>
                <w:szCs w:val="17"/>
                <w:color w:val="0000FF"/>
                <w:w w:val="97"/>
              </w:rPr>
              <w:t>Unresolved Staff Comments</w:t>
            </w:r>
          </w:p>
        </w:tc>
        <w:tc>
          <w:tcPr>
            <w:tcW w:w="6320" w:type="dxa"/>
            <w:vAlign w:val="bottom"/>
            <w:gridSpan w:val="11"/>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16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1C.</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Cybersecurity</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80" w:type="dxa"/>
            <w:vAlign w:val="bottom"/>
            <w:gridSpan w:val="2"/>
          </w:tcPr>
          <w:p>
            <w:pPr>
              <w:spacing w:after="0" w:line="194" w:lineRule="exact"/>
              <w:rPr>
                <w:sz w:val="20"/>
                <w:szCs w:val="20"/>
                <w:color w:val="auto"/>
              </w:rPr>
            </w:pPr>
            <w:r>
              <w:rPr>
                <w:rFonts w:ascii="Arial" w:cs="Arial" w:eastAsia="Arial" w:hAnsi="Arial"/>
                <w:sz w:val="17"/>
                <w:szCs w:val="17"/>
                <w:color w:val="0000FF"/>
              </w:rPr>
              <w:t>Item 2.</w:t>
            </w:r>
          </w:p>
        </w:tc>
        <w:tc>
          <w:tcPr>
            <w:tcW w:w="420" w:type="dxa"/>
            <w:vAlign w:val="bottom"/>
          </w:tcPr>
          <w:p>
            <w:pPr>
              <w:spacing w:after="0"/>
              <w:rPr>
                <w:sz w:val="16"/>
                <w:szCs w:val="16"/>
                <w:color w:val="auto"/>
              </w:rPr>
            </w:pPr>
          </w:p>
        </w:tc>
        <w:tc>
          <w:tcPr>
            <w:tcW w:w="1020" w:type="dxa"/>
            <w:vAlign w:val="bottom"/>
            <w:gridSpan w:val="7"/>
          </w:tcPr>
          <w:p>
            <w:pPr>
              <w:spacing w:after="0" w:line="194" w:lineRule="exact"/>
              <w:rPr>
                <w:sz w:val="20"/>
                <w:szCs w:val="20"/>
                <w:color w:val="auto"/>
              </w:rPr>
            </w:pPr>
            <w:r>
              <w:rPr>
                <w:rFonts w:ascii="Arial" w:cs="Arial" w:eastAsia="Arial" w:hAnsi="Arial"/>
                <w:sz w:val="17"/>
                <w:szCs w:val="17"/>
                <w:color w:val="0000FF"/>
              </w:rPr>
              <w:t>Properties</w:t>
            </w:r>
          </w:p>
        </w:tc>
        <w:tc>
          <w:tcPr>
            <w:tcW w:w="7400" w:type="dxa"/>
            <w:vAlign w:val="bottom"/>
            <w:gridSpan w:val="17"/>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18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3.</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Legal Proceedings</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19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4.</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Mine Safety Disclosures</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19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20"/>
                <w:szCs w:val="20"/>
                <w:b w:val="1"/>
                <w:bCs w:val="1"/>
                <w:color w:val="auto"/>
              </w:rPr>
              <w:t>Part II</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000" w:type="dxa"/>
            <w:vAlign w:val="bottom"/>
            <w:gridSpan w:val="3"/>
          </w:tcPr>
          <w:p>
            <w:pPr>
              <w:spacing w:after="0" w:line="180" w:lineRule="exact"/>
              <w:rPr>
                <w:sz w:val="20"/>
                <w:szCs w:val="20"/>
                <w:color w:val="auto"/>
              </w:rPr>
            </w:pPr>
            <w:r>
              <w:rPr>
                <w:rFonts w:ascii="Arial" w:cs="Arial" w:eastAsia="Arial" w:hAnsi="Arial"/>
                <w:sz w:val="17"/>
                <w:szCs w:val="17"/>
                <w:color w:val="0000FF"/>
              </w:rPr>
              <w:t>Item 5.</w:t>
            </w:r>
          </w:p>
        </w:tc>
        <w:tc>
          <w:tcPr>
            <w:tcW w:w="8420" w:type="dxa"/>
            <w:vAlign w:val="bottom"/>
            <w:gridSpan w:val="24"/>
          </w:tcPr>
          <w:p>
            <w:pPr>
              <w:spacing w:after="0" w:line="180" w:lineRule="exact"/>
              <w:rPr>
                <w:sz w:val="20"/>
                <w:szCs w:val="20"/>
                <w:color w:val="auto"/>
              </w:rPr>
            </w:pPr>
            <w:r>
              <w:rPr>
                <w:rFonts w:ascii="Arial" w:cs="Arial" w:eastAsia="Arial" w:hAnsi="Arial"/>
                <w:sz w:val="17"/>
                <w:szCs w:val="17"/>
                <w:color w:val="0000FF"/>
              </w:rPr>
              <w:t>Market for the Registrant’s Common Equity, Related Stockholder Matters and Issuer Purchases of Equity</w:t>
            </w:r>
          </w:p>
        </w:tc>
        <w:tc>
          <w:tcPr>
            <w:tcW w:w="820" w:type="dxa"/>
            <w:vAlign w:val="bottom"/>
            <w:vMerge w:val="restart"/>
          </w:tcPr>
          <w:p>
            <w:pPr>
              <w:spacing w:after="0"/>
              <w:rPr>
                <w:sz w:val="15"/>
                <w:szCs w:val="15"/>
                <w:color w:val="auto"/>
              </w:rPr>
            </w:pPr>
          </w:p>
        </w:tc>
        <w:tc>
          <w:tcPr>
            <w:tcW w:w="940" w:type="dxa"/>
            <w:vAlign w:val="bottom"/>
            <w:gridSpan w:val="2"/>
            <w:vMerge w:val="restart"/>
          </w:tcPr>
          <w:p>
            <w:pPr>
              <w:jc w:val="center"/>
              <w:ind w:right="800"/>
              <w:spacing w:after="0"/>
              <w:rPr>
                <w:sz w:val="20"/>
                <w:szCs w:val="20"/>
                <w:color w:val="auto"/>
              </w:rPr>
            </w:pPr>
            <w:r>
              <w:rPr>
                <w:rFonts w:ascii="Arial" w:cs="Arial" w:eastAsia="Arial" w:hAnsi="Arial"/>
                <w:sz w:val="17"/>
                <w:szCs w:val="17"/>
                <w:color w:val="0000FF"/>
                <w:w w:val="73"/>
              </w:rPr>
              <w:t>20</w:t>
            </w: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Borders>
              <w:top w:val="single" w:sz="8" w:color="0000FF"/>
            </w:tcBorders>
            <w:gridSpan w:val="5"/>
          </w:tcPr>
          <w:p>
            <w:pPr>
              <w:spacing w:after="0" w:line="131" w:lineRule="exact"/>
              <w:rPr>
                <w:sz w:val="20"/>
                <w:szCs w:val="20"/>
                <w:color w:val="auto"/>
              </w:rPr>
            </w:pPr>
            <w:r>
              <w:rPr>
                <w:rFonts w:ascii="Arial" w:cs="Arial" w:eastAsia="Arial" w:hAnsi="Arial"/>
                <w:sz w:val="15"/>
                <w:szCs w:val="15"/>
                <w:color w:val="0000FF"/>
              </w:rPr>
              <w:t>Securities</w:t>
            </w:r>
          </w:p>
        </w:tc>
        <w:tc>
          <w:tcPr>
            <w:tcW w:w="6960" w:type="dxa"/>
            <w:vAlign w:val="bottom"/>
            <w:tcBorders>
              <w:top w:val="single" w:sz="8" w:color="0000FF"/>
            </w:tcBorders>
            <w:gridSpan w:val="18"/>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gridSpan w:val="2"/>
            <w:shd w:val="clear" w:color="auto" w:fill="0000FF"/>
          </w:tcPr>
          <w:p>
            <w:pPr>
              <w:spacing w:after="0"/>
              <w:rPr>
                <w:sz w:val="2"/>
                <w:szCs w:val="2"/>
                <w:color w:val="auto"/>
              </w:rPr>
            </w:pPr>
          </w:p>
        </w:tc>
        <w:tc>
          <w:tcPr>
            <w:tcW w:w="80" w:type="dxa"/>
            <w:vAlign w:val="bottom"/>
            <w:gridSpan w:val="3"/>
            <w:shd w:val="clear" w:color="auto" w:fill="0000FF"/>
          </w:tcPr>
          <w:p>
            <w:pPr>
              <w:spacing w:after="0"/>
              <w:rPr>
                <w:sz w:val="2"/>
                <w:szCs w:val="2"/>
                <w:color w:val="auto"/>
              </w:rPr>
            </w:pPr>
          </w:p>
        </w:tc>
        <w:tc>
          <w:tcPr>
            <w:tcW w:w="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1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4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Arial" w:cs="Arial" w:eastAsia="Arial" w:hAnsi="Arial"/>
                <w:sz w:val="17"/>
                <w:szCs w:val="17"/>
                <w:color w:val="0000FF"/>
              </w:rPr>
              <w:t>Item 6.</w:t>
            </w:r>
          </w:p>
        </w:tc>
        <w:tc>
          <w:tcPr>
            <w:tcW w:w="800" w:type="dxa"/>
            <w:vAlign w:val="bottom"/>
            <w:gridSpan w:val="5"/>
          </w:tcPr>
          <w:p>
            <w:pPr>
              <w:spacing w:after="0"/>
              <w:rPr>
                <w:sz w:val="20"/>
                <w:szCs w:val="20"/>
                <w:color w:val="auto"/>
              </w:rPr>
            </w:pPr>
            <w:r>
              <w:rPr>
                <w:rFonts w:ascii="Arial" w:cs="Arial" w:eastAsia="Arial" w:hAnsi="Arial"/>
                <w:sz w:val="17"/>
                <w:szCs w:val="17"/>
                <w:color w:val="0000FF"/>
              </w:rPr>
              <w:t>Reserved</w:t>
            </w:r>
          </w:p>
        </w:tc>
        <w:tc>
          <w:tcPr>
            <w:tcW w:w="7620" w:type="dxa"/>
            <w:vAlign w:val="bottom"/>
            <w:gridSpan w:val="19"/>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gridSpan w:val="2"/>
          </w:tcPr>
          <w:p>
            <w:pPr>
              <w:jc w:val="center"/>
              <w:ind w:right="800"/>
              <w:spacing w:after="0"/>
              <w:rPr>
                <w:sz w:val="20"/>
                <w:szCs w:val="20"/>
                <w:color w:val="auto"/>
              </w:rPr>
            </w:pPr>
            <w:r>
              <w:rPr>
                <w:rFonts w:ascii="Arial" w:cs="Arial" w:eastAsia="Arial" w:hAnsi="Arial"/>
                <w:sz w:val="17"/>
                <w:szCs w:val="17"/>
                <w:color w:val="0000FF"/>
                <w:w w:val="73"/>
              </w:rPr>
              <w:t>21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7.</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22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80" w:type="dxa"/>
            <w:vAlign w:val="bottom"/>
            <w:gridSpan w:val="2"/>
          </w:tcPr>
          <w:p>
            <w:pPr>
              <w:spacing w:after="0" w:line="194" w:lineRule="exact"/>
              <w:rPr>
                <w:sz w:val="20"/>
                <w:szCs w:val="20"/>
                <w:color w:val="auto"/>
              </w:rPr>
            </w:pPr>
            <w:r>
              <w:rPr>
                <w:rFonts w:ascii="Arial" w:cs="Arial" w:eastAsia="Arial" w:hAnsi="Arial"/>
                <w:sz w:val="17"/>
                <w:szCs w:val="17"/>
                <w:color w:val="0000FF"/>
                <w:w w:val="85"/>
              </w:rPr>
              <w:t>Item 7A.</w:t>
            </w:r>
          </w:p>
        </w:tc>
        <w:tc>
          <w:tcPr>
            <w:tcW w:w="420" w:type="dxa"/>
            <w:vAlign w:val="bottom"/>
          </w:tcPr>
          <w:p>
            <w:pPr>
              <w:spacing w:after="0"/>
              <w:rPr>
                <w:sz w:val="16"/>
                <w:szCs w:val="16"/>
                <w:color w:val="auto"/>
              </w:rPr>
            </w:pPr>
          </w:p>
        </w:tc>
        <w:tc>
          <w:tcPr>
            <w:tcW w:w="4400" w:type="dxa"/>
            <w:vAlign w:val="bottom"/>
            <w:gridSpan w:val="18"/>
          </w:tcPr>
          <w:p>
            <w:pPr>
              <w:spacing w:after="0" w:line="194" w:lineRule="exact"/>
              <w:rPr>
                <w:sz w:val="20"/>
                <w:szCs w:val="20"/>
                <w:color w:val="auto"/>
              </w:rPr>
            </w:pPr>
            <w:r>
              <w:rPr>
                <w:rFonts w:ascii="Arial" w:cs="Arial" w:eastAsia="Arial" w:hAnsi="Arial"/>
                <w:sz w:val="17"/>
                <w:szCs w:val="17"/>
                <w:color w:val="0000FF"/>
                <w:w w:val="98"/>
              </w:rPr>
              <w:t>Quantitative and Qualitative Disclosures About Market Risk</w:t>
            </w:r>
          </w:p>
        </w:tc>
        <w:tc>
          <w:tcPr>
            <w:tcW w:w="4020" w:type="dxa"/>
            <w:vAlign w:val="bottom"/>
            <w:gridSpan w:val="6"/>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27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80" w:type="dxa"/>
            <w:vAlign w:val="bottom"/>
            <w:gridSpan w:val="2"/>
          </w:tcPr>
          <w:p>
            <w:pPr>
              <w:spacing w:after="0" w:line="194" w:lineRule="exact"/>
              <w:rPr>
                <w:sz w:val="20"/>
                <w:szCs w:val="20"/>
                <w:color w:val="auto"/>
              </w:rPr>
            </w:pPr>
            <w:r>
              <w:rPr>
                <w:rFonts w:ascii="Arial" w:cs="Arial" w:eastAsia="Arial" w:hAnsi="Arial"/>
                <w:sz w:val="17"/>
                <w:szCs w:val="17"/>
                <w:color w:val="0000FF"/>
              </w:rPr>
              <w:t>Item 8.</w:t>
            </w:r>
          </w:p>
        </w:tc>
        <w:tc>
          <w:tcPr>
            <w:tcW w:w="420" w:type="dxa"/>
            <w:vAlign w:val="bottom"/>
          </w:tcPr>
          <w:p>
            <w:pPr>
              <w:spacing w:after="0"/>
              <w:rPr>
                <w:sz w:val="16"/>
                <w:szCs w:val="16"/>
                <w:color w:val="auto"/>
              </w:rPr>
            </w:pPr>
          </w:p>
        </w:tc>
        <w:tc>
          <w:tcPr>
            <w:tcW w:w="4400" w:type="dxa"/>
            <w:vAlign w:val="bottom"/>
            <w:gridSpan w:val="18"/>
          </w:tcPr>
          <w:p>
            <w:pPr>
              <w:spacing w:after="0" w:line="194" w:lineRule="exact"/>
              <w:rPr>
                <w:sz w:val="20"/>
                <w:szCs w:val="20"/>
                <w:color w:val="auto"/>
              </w:rPr>
            </w:pPr>
            <w:r>
              <w:rPr>
                <w:rFonts w:ascii="Arial" w:cs="Arial" w:eastAsia="Arial" w:hAnsi="Arial"/>
                <w:sz w:val="17"/>
                <w:szCs w:val="17"/>
                <w:color w:val="0000FF"/>
              </w:rPr>
              <w:t>Financial Statements and Supplementary Data</w:t>
            </w:r>
          </w:p>
        </w:tc>
        <w:tc>
          <w:tcPr>
            <w:tcW w:w="4020" w:type="dxa"/>
            <w:vAlign w:val="bottom"/>
            <w:gridSpan w:val="6"/>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9.</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80" w:type="dxa"/>
            <w:vAlign w:val="bottom"/>
            <w:gridSpan w:val="2"/>
          </w:tcPr>
          <w:p>
            <w:pPr>
              <w:spacing w:after="0" w:line="194" w:lineRule="exact"/>
              <w:rPr>
                <w:sz w:val="20"/>
                <w:szCs w:val="20"/>
                <w:color w:val="auto"/>
              </w:rPr>
            </w:pPr>
            <w:r>
              <w:rPr>
                <w:rFonts w:ascii="Arial" w:cs="Arial" w:eastAsia="Arial" w:hAnsi="Arial"/>
                <w:sz w:val="17"/>
                <w:szCs w:val="17"/>
                <w:color w:val="0000FF"/>
                <w:w w:val="85"/>
              </w:rPr>
              <w:t>Item 9A.</w:t>
            </w:r>
          </w:p>
        </w:tc>
        <w:tc>
          <w:tcPr>
            <w:tcW w:w="420" w:type="dxa"/>
            <w:vAlign w:val="bottom"/>
          </w:tcPr>
          <w:p>
            <w:pPr>
              <w:spacing w:after="0"/>
              <w:rPr>
                <w:sz w:val="16"/>
                <w:szCs w:val="16"/>
                <w:color w:val="auto"/>
              </w:rPr>
            </w:pPr>
          </w:p>
        </w:tc>
        <w:tc>
          <w:tcPr>
            <w:tcW w:w="1860" w:type="dxa"/>
            <w:vAlign w:val="bottom"/>
            <w:gridSpan w:val="12"/>
          </w:tcPr>
          <w:p>
            <w:pPr>
              <w:spacing w:after="0" w:line="194" w:lineRule="exact"/>
              <w:rPr>
                <w:sz w:val="20"/>
                <w:szCs w:val="20"/>
                <w:color w:val="auto"/>
              </w:rPr>
            </w:pPr>
            <w:r>
              <w:rPr>
                <w:rFonts w:ascii="Arial" w:cs="Arial" w:eastAsia="Arial" w:hAnsi="Arial"/>
                <w:sz w:val="17"/>
                <w:szCs w:val="17"/>
                <w:color w:val="0000FF"/>
                <w:w w:val="97"/>
              </w:rPr>
              <w:t>Controls and Procedures</w:t>
            </w:r>
          </w:p>
        </w:tc>
        <w:tc>
          <w:tcPr>
            <w:tcW w:w="6560" w:type="dxa"/>
            <w:vAlign w:val="bottom"/>
            <w:gridSpan w:val="12"/>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80" w:type="dxa"/>
            <w:vAlign w:val="bottom"/>
            <w:gridSpan w:val="2"/>
          </w:tcPr>
          <w:p>
            <w:pPr>
              <w:spacing w:after="0" w:line="194" w:lineRule="exact"/>
              <w:rPr>
                <w:sz w:val="20"/>
                <w:szCs w:val="20"/>
                <w:color w:val="auto"/>
              </w:rPr>
            </w:pPr>
            <w:r>
              <w:rPr>
                <w:rFonts w:ascii="Arial" w:cs="Arial" w:eastAsia="Arial" w:hAnsi="Arial"/>
                <w:sz w:val="17"/>
                <w:szCs w:val="17"/>
                <w:color w:val="0000FF"/>
                <w:w w:val="85"/>
              </w:rPr>
              <w:t>Item 9B.</w:t>
            </w:r>
          </w:p>
        </w:tc>
        <w:tc>
          <w:tcPr>
            <w:tcW w:w="420" w:type="dxa"/>
            <w:vAlign w:val="bottom"/>
          </w:tcPr>
          <w:p>
            <w:pPr>
              <w:spacing w:after="0"/>
              <w:rPr>
                <w:sz w:val="16"/>
                <w:szCs w:val="16"/>
                <w:color w:val="auto"/>
              </w:rPr>
            </w:pPr>
          </w:p>
        </w:tc>
        <w:tc>
          <w:tcPr>
            <w:tcW w:w="1860" w:type="dxa"/>
            <w:vAlign w:val="bottom"/>
            <w:gridSpan w:val="12"/>
          </w:tcPr>
          <w:p>
            <w:pPr>
              <w:spacing w:after="0" w:line="194" w:lineRule="exact"/>
              <w:rPr>
                <w:sz w:val="20"/>
                <w:szCs w:val="20"/>
                <w:color w:val="auto"/>
              </w:rPr>
            </w:pPr>
            <w:r>
              <w:rPr>
                <w:rFonts w:ascii="Arial" w:cs="Arial" w:eastAsia="Arial" w:hAnsi="Arial"/>
                <w:sz w:val="17"/>
                <w:szCs w:val="17"/>
                <w:color w:val="0000FF"/>
              </w:rPr>
              <w:t>Other Information</w:t>
            </w:r>
          </w:p>
        </w:tc>
        <w:tc>
          <w:tcPr>
            <w:tcW w:w="6560" w:type="dxa"/>
            <w:vAlign w:val="bottom"/>
            <w:gridSpan w:val="12"/>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29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9C.</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Disclosure Regarding Foreign Jurisdictions that Prevent Inspections</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29</w:t>
            </w:r>
          </w:p>
        </w:tc>
        <w:tc>
          <w:tcPr>
            <w:tcW w:w="0" w:type="dxa"/>
            <w:vAlign w:val="bottom"/>
          </w:tcPr>
          <w:p>
            <w:pPr>
              <w:spacing w:after="0"/>
              <w:rPr>
                <w:sz w:val="1"/>
                <w:szCs w:val="1"/>
                <w:color w:val="auto"/>
              </w:rPr>
            </w:pPr>
          </w:p>
        </w:tc>
      </w:tr>
      <w:tr>
        <w:trPr>
          <w:trHeight w:val="517"/>
        </w:trPr>
        <w:tc>
          <w:tcPr>
            <w:tcW w:w="6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sz w:val="20"/>
                <w:szCs w:val="20"/>
                <w:color w:val="auto"/>
              </w:rPr>
            </w:pPr>
            <w:r>
              <w:rPr>
                <w:rFonts w:ascii="Arial" w:cs="Arial" w:eastAsia="Arial" w:hAnsi="Arial"/>
                <w:sz w:val="20"/>
                <w:szCs w:val="20"/>
                <w:b w:val="1"/>
                <w:bCs w:val="1"/>
                <w:color w:val="auto"/>
                <w:w w:val="88"/>
              </w:rPr>
              <w:t>Part III</w:t>
            </w:r>
          </w:p>
        </w:tc>
        <w:tc>
          <w:tcPr>
            <w:tcW w:w="42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000" w:type="dxa"/>
            <w:vAlign w:val="bottom"/>
            <w:gridSpan w:val="3"/>
          </w:tcPr>
          <w:p>
            <w:pPr>
              <w:spacing w:after="0" w:line="180" w:lineRule="exact"/>
              <w:rPr>
                <w:sz w:val="20"/>
                <w:szCs w:val="20"/>
                <w:color w:val="auto"/>
              </w:rPr>
            </w:pPr>
            <w:r>
              <w:rPr>
                <w:rFonts w:ascii="Arial" w:cs="Arial" w:eastAsia="Arial" w:hAnsi="Arial"/>
                <w:sz w:val="17"/>
                <w:szCs w:val="17"/>
                <w:color w:val="0000FF"/>
              </w:rPr>
              <w:t>Item 10.</w:t>
            </w:r>
          </w:p>
        </w:tc>
        <w:tc>
          <w:tcPr>
            <w:tcW w:w="8420" w:type="dxa"/>
            <w:vAlign w:val="bottom"/>
            <w:gridSpan w:val="24"/>
          </w:tcPr>
          <w:p>
            <w:pPr>
              <w:spacing w:after="0" w:line="180" w:lineRule="exact"/>
              <w:rPr>
                <w:sz w:val="20"/>
                <w:szCs w:val="20"/>
                <w:color w:val="auto"/>
              </w:rPr>
            </w:pPr>
            <w:r>
              <w:rPr>
                <w:rFonts w:ascii="Arial" w:cs="Arial" w:eastAsia="Arial" w:hAnsi="Arial"/>
                <w:sz w:val="17"/>
                <w:szCs w:val="17"/>
                <w:color w:val="0000FF"/>
              </w:rPr>
              <w:t>Directors, Executive Officers and Corporate Governance</w:t>
            </w:r>
          </w:p>
        </w:tc>
        <w:tc>
          <w:tcPr>
            <w:tcW w:w="1760" w:type="dxa"/>
            <w:vAlign w:val="bottom"/>
            <w:gridSpan w:val="3"/>
          </w:tcPr>
          <w:p>
            <w:pPr>
              <w:jc w:val="center"/>
              <w:ind w:right="20"/>
              <w:spacing w:after="0" w:line="180" w:lineRule="exact"/>
              <w:rPr>
                <w:sz w:val="20"/>
                <w:szCs w:val="20"/>
                <w:color w:val="auto"/>
              </w:rPr>
            </w:pPr>
            <w:r>
              <w:rPr>
                <w:rFonts w:ascii="Arial" w:cs="Arial" w:eastAsia="Arial" w:hAnsi="Arial"/>
                <w:sz w:val="17"/>
                <w:szCs w:val="17"/>
                <w:color w:val="0000FF"/>
                <w:w w:val="94"/>
              </w:rPr>
              <w:t>30</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580" w:type="dxa"/>
            <w:vAlign w:val="bottom"/>
            <w:tcBorders>
              <w:top w:val="single" w:sz="8" w:color="0000FF"/>
            </w:tcBorders>
            <w:gridSpan w:val="2"/>
          </w:tcPr>
          <w:p>
            <w:pPr>
              <w:spacing w:after="0" w:line="194" w:lineRule="exact"/>
              <w:rPr>
                <w:sz w:val="20"/>
                <w:szCs w:val="20"/>
                <w:color w:val="auto"/>
              </w:rPr>
            </w:pPr>
            <w:r>
              <w:rPr>
                <w:rFonts w:ascii="Arial" w:cs="Arial" w:eastAsia="Arial" w:hAnsi="Arial"/>
                <w:sz w:val="17"/>
                <w:szCs w:val="17"/>
                <w:color w:val="0000FF"/>
                <w:w w:val="87"/>
              </w:rPr>
              <w:t>Item 11.</w:t>
            </w:r>
          </w:p>
        </w:tc>
        <w:tc>
          <w:tcPr>
            <w:tcW w:w="420" w:type="dxa"/>
            <w:vAlign w:val="bottom"/>
          </w:tcPr>
          <w:p>
            <w:pPr>
              <w:spacing w:after="0"/>
              <w:rPr>
                <w:sz w:val="16"/>
                <w:szCs w:val="16"/>
                <w:color w:val="auto"/>
              </w:rPr>
            </w:pPr>
          </w:p>
        </w:tc>
        <w:tc>
          <w:tcPr>
            <w:tcW w:w="4200" w:type="dxa"/>
            <w:vAlign w:val="bottom"/>
            <w:tcBorders>
              <w:top w:val="single" w:sz="8" w:color="0000FF"/>
            </w:tcBorders>
            <w:gridSpan w:val="17"/>
          </w:tcPr>
          <w:p>
            <w:pPr>
              <w:spacing w:after="0" w:line="194" w:lineRule="exact"/>
              <w:rPr>
                <w:sz w:val="20"/>
                <w:szCs w:val="20"/>
                <w:color w:val="auto"/>
              </w:rPr>
            </w:pPr>
            <w:r>
              <w:rPr>
                <w:rFonts w:ascii="Arial" w:cs="Arial" w:eastAsia="Arial" w:hAnsi="Arial"/>
                <w:sz w:val="17"/>
                <w:szCs w:val="17"/>
                <w:color w:val="0000FF"/>
              </w:rPr>
              <w:t>Executive Compensation</w:t>
            </w:r>
          </w:p>
        </w:tc>
        <w:tc>
          <w:tcPr>
            <w:tcW w:w="4220" w:type="dxa"/>
            <w:vAlign w:val="bottom"/>
            <w:gridSpan w:val="7"/>
          </w:tcPr>
          <w:p>
            <w:pPr>
              <w:spacing w:after="0"/>
              <w:rPr>
                <w:sz w:val="16"/>
                <w:szCs w:val="16"/>
                <w:color w:val="auto"/>
              </w:rPr>
            </w:pP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32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12.</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36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60" w:type="dxa"/>
            <w:vAlign w:val="bottom"/>
            <w:gridSpan w:val="5"/>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13.</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Certain Relationships and Related Transactions, and Director Independence</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37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60" w:type="dxa"/>
            <w:vAlign w:val="bottom"/>
            <w:gridSpan w:val="5"/>
            <w:shd w:val="clear" w:color="auto" w:fill="0000FF"/>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14.</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Principal Accounting Fees and Services</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37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20"/>
                <w:szCs w:val="20"/>
                <w:b w:val="1"/>
                <w:bCs w:val="1"/>
                <w:color w:val="auto"/>
              </w:rPr>
              <w:t>Part IV</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000" w:type="dxa"/>
            <w:vAlign w:val="bottom"/>
            <w:gridSpan w:val="3"/>
          </w:tcPr>
          <w:p>
            <w:pPr>
              <w:spacing w:after="0" w:line="180" w:lineRule="exact"/>
              <w:rPr>
                <w:sz w:val="20"/>
                <w:szCs w:val="20"/>
                <w:color w:val="auto"/>
              </w:rPr>
            </w:pPr>
            <w:r>
              <w:rPr>
                <w:rFonts w:ascii="Arial" w:cs="Arial" w:eastAsia="Arial" w:hAnsi="Arial"/>
                <w:sz w:val="17"/>
                <w:szCs w:val="17"/>
                <w:color w:val="0000FF"/>
              </w:rPr>
              <w:t>Item 15.</w:t>
            </w:r>
          </w:p>
        </w:tc>
        <w:tc>
          <w:tcPr>
            <w:tcW w:w="8420" w:type="dxa"/>
            <w:vAlign w:val="bottom"/>
            <w:gridSpan w:val="24"/>
          </w:tcPr>
          <w:p>
            <w:pPr>
              <w:spacing w:after="0" w:line="180" w:lineRule="exact"/>
              <w:rPr>
                <w:sz w:val="20"/>
                <w:szCs w:val="20"/>
                <w:color w:val="auto"/>
              </w:rPr>
            </w:pPr>
            <w:r>
              <w:rPr>
                <w:rFonts w:ascii="Arial" w:cs="Arial" w:eastAsia="Arial" w:hAnsi="Arial"/>
                <w:sz w:val="17"/>
                <w:szCs w:val="17"/>
                <w:color w:val="0000FF"/>
              </w:rPr>
              <w:t>Exhibits, Financial Statement Schedules</w:t>
            </w:r>
          </w:p>
        </w:tc>
        <w:tc>
          <w:tcPr>
            <w:tcW w:w="1760" w:type="dxa"/>
            <w:vAlign w:val="bottom"/>
            <w:gridSpan w:val="3"/>
          </w:tcPr>
          <w:p>
            <w:pPr>
              <w:jc w:val="center"/>
              <w:ind w:right="20"/>
              <w:spacing w:after="0" w:line="180" w:lineRule="exact"/>
              <w:rPr>
                <w:sz w:val="20"/>
                <w:szCs w:val="20"/>
                <w:color w:val="auto"/>
              </w:rPr>
            </w:pPr>
            <w:r>
              <w:rPr>
                <w:rFonts w:ascii="Arial" w:cs="Arial" w:eastAsia="Arial" w:hAnsi="Arial"/>
                <w:sz w:val="17"/>
                <w:szCs w:val="17"/>
                <w:color w:val="0000FF"/>
                <w:w w:val="94"/>
              </w:rPr>
              <w:t>38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sz w:val="20"/>
                <w:szCs w:val="20"/>
                <w:color w:val="auto"/>
              </w:rPr>
            </w:pPr>
            <w:r>
              <w:rPr>
                <w:rFonts w:ascii="Arial" w:cs="Arial" w:eastAsia="Arial" w:hAnsi="Arial"/>
                <w:sz w:val="17"/>
                <w:szCs w:val="17"/>
                <w:color w:val="0000FF"/>
              </w:rPr>
              <w:t>Item 16.</w:t>
            </w:r>
          </w:p>
        </w:tc>
        <w:tc>
          <w:tcPr>
            <w:tcW w:w="8420" w:type="dxa"/>
            <w:vAlign w:val="bottom"/>
            <w:gridSpan w:val="24"/>
          </w:tcPr>
          <w:p>
            <w:pPr>
              <w:spacing w:after="0" w:line="194" w:lineRule="exact"/>
              <w:rPr>
                <w:sz w:val="20"/>
                <w:szCs w:val="20"/>
                <w:color w:val="auto"/>
              </w:rPr>
            </w:pPr>
            <w:r>
              <w:rPr>
                <w:rFonts w:ascii="Arial" w:cs="Arial" w:eastAsia="Arial" w:hAnsi="Arial"/>
                <w:sz w:val="17"/>
                <w:szCs w:val="17"/>
                <w:color w:val="0000FF"/>
              </w:rPr>
              <w:t>Form 10-K Summary</w:t>
            </w:r>
          </w:p>
        </w:tc>
        <w:tc>
          <w:tcPr>
            <w:tcW w:w="1760" w:type="dxa"/>
            <w:vAlign w:val="bottom"/>
            <w:gridSpan w:val="3"/>
          </w:tcPr>
          <w:p>
            <w:pPr>
              <w:jc w:val="center"/>
              <w:ind w:right="20"/>
              <w:spacing w:after="0" w:line="194" w:lineRule="exact"/>
              <w:rPr>
                <w:sz w:val="20"/>
                <w:szCs w:val="20"/>
                <w:color w:val="auto"/>
              </w:rPr>
            </w:pPr>
            <w:r>
              <w:rPr>
                <w:rFonts w:ascii="Arial" w:cs="Arial" w:eastAsia="Arial" w:hAnsi="Arial"/>
                <w:sz w:val="17"/>
                <w:szCs w:val="17"/>
                <w:color w:val="0000FF"/>
                <w:w w:val="94"/>
              </w:rPr>
              <w:t>38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gridSpan w:val="10"/>
          </w:tcPr>
          <w:p>
            <w:pPr>
              <w:spacing w:after="0" w:line="194" w:lineRule="exact"/>
              <w:rPr>
                <w:sz w:val="20"/>
                <w:szCs w:val="20"/>
                <w:color w:val="auto"/>
              </w:rPr>
            </w:pPr>
            <w:r>
              <w:rPr>
                <w:rFonts w:ascii="Arial" w:cs="Arial" w:eastAsia="Arial" w:hAnsi="Arial"/>
                <w:sz w:val="17"/>
                <w:szCs w:val="17"/>
                <w:color w:val="0000FF"/>
              </w:rPr>
              <w:t>Signatures</w:t>
            </w:r>
          </w:p>
        </w:tc>
        <w:tc>
          <w:tcPr>
            <w:tcW w:w="6860" w:type="dxa"/>
            <w:vAlign w:val="bottom"/>
            <w:gridSpan w:val="14"/>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sz w:val="20"/>
                <w:szCs w:val="20"/>
                <w:color w:val="auto"/>
              </w:rPr>
            </w:pPr>
            <w:r>
              <w:rPr>
                <w:rFonts w:ascii="Arial" w:cs="Arial" w:eastAsia="Arial" w:hAnsi="Arial"/>
                <w:sz w:val="17"/>
                <w:szCs w:val="17"/>
                <w:color w:val="0000FF"/>
                <w:w w:val="73"/>
              </w:rPr>
              <w:t>39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0" w:type="dxa"/>
            <w:vAlign w:val="bottom"/>
            <w:gridSpan w:val="17"/>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20" w:type="dxa"/>
            <w:vAlign w:val="bottom"/>
            <w:gridSpan w:val="24"/>
          </w:tcPr>
          <w:p>
            <w:pPr>
              <w:spacing w:after="0"/>
              <w:rPr>
                <w:sz w:val="20"/>
                <w:szCs w:val="20"/>
                <w:color w:val="auto"/>
              </w:rPr>
            </w:pPr>
            <w:r>
              <w:rPr>
                <w:rFonts w:ascii="Arial" w:cs="Arial" w:eastAsia="Arial" w:hAnsi="Arial"/>
                <w:sz w:val="17"/>
                <w:szCs w:val="17"/>
                <w:color w:val="0000FF"/>
              </w:rPr>
              <w:t>Exhibit Index</w:t>
            </w:r>
          </w:p>
        </w:tc>
        <w:tc>
          <w:tcPr>
            <w:tcW w:w="1760" w:type="dxa"/>
            <w:vAlign w:val="bottom"/>
            <w:gridSpan w:val="3"/>
          </w:tcPr>
          <w:p>
            <w:pPr>
              <w:jc w:val="center"/>
              <w:ind w:right="20"/>
              <w:spacing w:after="0"/>
              <w:rPr>
                <w:sz w:val="20"/>
                <w:szCs w:val="20"/>
                <w:color w:val="auto"/>
              </w:rPr>
            </w:pPr>
            <w:r>
              <w:rPr>
                <w:rFonts w:ascii="Arial" w:cs="Arial" w:eastAsia="Arial" w:hAnsi="Arial"/>
                <w:sz w:val="17"/>
                <w:szCs w:val="17"/>
                <w:color w:val="0000FF"/>
                <w:w w:val="94"/>
              </w:rPr>
              <w:t>76</w:t>
            </w:r>
          </w:p>
        </w:tc>
        <w:tc>
          <w:tcPr>
            <w:tcW w:w="0" w:type="dxa"/>
            <w:vAlign w:val="bottom"/>
          </w:tcPr>
          <w:p>
            <w:pPr>
              <w:spacing w:after="0"/>
              <w:rPr>
                <w:sz w:val="1"/>
                <w:szCs w:val="1"/>
                <w:color w:val="auto"/>
              </w:rPr>
            </w:pPr>
          </w:p>
        </w:tc>
      </w:tr>
      <w:tr>
        <w:trPr>
          <w:trHeight w:val="929"/>
        </w:trPr>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w:t>
      </w:r>
    </w:p>
    <w:p>
      <w:pPr>
        <w:spacing w:after="0" w:line="15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07" w:lineRule="exact"/>
        <w:rPr>
          <w:sz w:val="20"/>
          <w:szCs w:val="20"/>
          <w:color w:val="auto"/>
        </w:rPr>
      </w:pPr>
    </w:p>
    <w:p>
      <w:pPr>
        <w:ind w:left="600" w:hanging="599"/>
        <w:spacing w:after="0"/>
        <w:tabs>
          <w:tab w:leader="none" w:pos="6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General Development of Business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Gentex Corporation (the "Company") was incorporated as a Michigan corporation in 1974. The Company designs, develops, manufactures, markets, and supplies digital vision, connected car, dimmable glass, and fire protection technologies, including: automatic-dimming rearview and non-dimming mirrors and electronics for the automotive industry; dimmable aircraft windows for the aviation industry; and commercial smoke alarms and signaling devices for the fire protection industry. The Company’s largest business segment involves designing, developing, manufacturing and marketing interior and exterior automatic-dimming automotive rearview mirrors that utilize proprietary electrochromic technology to dim in proportion to the amount of headlight glare from trailing vehicle headlamps. Within this business segment, the Company also designs, develops and manufactures various electronics that are value added features to the interior and exterior automotive rearview mirrors as well as electronics for interior visors, overhead consoles, and other locations in the vehicle. The Company ships its products to all of the major automotive producing regions worldwide, which it supports with numerous sales, engineering and distribution locations worldwide.</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At its inception, the Company manufactured smoke detectors, a product line that has since evolved to include a variety of fire protection technologies. In the early 1980's, the Company introduced an interior electromechanical automatic-dimming rearview mirror as an alternative to the manual day/night rearview mirrors for automotive applications. In the late 1980's, the Company introduced an interior electrochromic automatic-dimming rearview mirror for automotive applications. In the early 1990's, the Company introduced an exterior electrochromic automatic-dimming rearview mirror for automotive applications. In the late 1990's, the Company began making volume shipments of three new exterior mirror sub-assembly products: thin glass flat; convex; and aspheric. In 2005, the Company began making volume shipments of its bezel-free exterior automatic dimming mirror. In 2010 the Company began delivering electrochromic dimmable aircraft windows for the aviation industry. In 2013, the Company acquired HomeLink</w:t>
      </w:r>
      <w:r>
        <w:rPr>
          <w:rFonts w:ascii="Arial" w:cs="Arial" w:eastAsia="Arial" w:hAnsi="Arial"/>
          <w:sz w:val="21"/>
          <w:szCs w:val="21"/>
          <w:color w:val="auto"/>
          <w:vertAlign w:val="superscript"/>
        </w:rPr>
        <w:t>®</w:t>
      </w:r>
      <w:r>
        <w:rPr>
          <w:rFonts w:ascii="Arial" w:cs="Arial" w:eastAsia="Arial" w:hAnsi="Arial"/>
          <w:sz w:val="17"/>
          <w:szCs w:val="17"/>
          <w:color w:val="auto"/>
        </w:rPr>
        <w:t>, a wireless vehicle/home communications product that enables drivers to remotely activate garage door openers, entry door locks, home lighting, security systems, entry gates and other radio frequency convenience products for automotive applications, wherein the Company had previously been a licensee of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had been, since 2003, integrating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into its interior automatic-dimming rearview mirrors.</w:t>
      </w:r>
    </w:p>
    <w:p>
      <w:pPr>
        <w:spacing w:after="0" w:line="130"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In 2015, the Company began making shipments of the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("FDM</w:t>
      </w:r>
      <w:r>
        <w:rPr>
          <w:rFonts w:ascii="Arial" w:cs="Arial" w:eastAsia="Arial" w:hAnsi="Arial"/>
          <w:sz w:val="21"/>
          <w:szCs w:val="21"/>
          <w:color w:val="auto"/>
          <w:vertAlign w:val="superscript"/>
        </w:rPr>
        <w:t>®</w:t>
      </w:r>
      <w:r>
        <w:rPr>
          <w:rFonts w:ascii="Arial" w:cs="Arial" w:eastAsia="Arial" w:hAnsi="Arial"/>
          <w:sz w:val="17"/>
          <w:szCs w:val="17"/>
          <w:color w:val="auto"/>
        </w:rPr>
        <w:t>"), which is an on-demand, mirror-borne LCD display that streams live, panoramic video of the vehicle's rearward view in order to improve driver rear vision. Also in 2015, the Company introduced the integration of toll module technology into the vehicle in a first-to-market application referred to as Integrated Toll Module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or "ITM</w:t>
      </w:r>
      <w:r>
        <w:rPr>
          <w:rFonts w:ascii="Arial" w:cs="Arial" w:eastAsia="Arial" w:hAnsi="Arial"/>
          <w:sz w:val="21"/>
          <w:szCs w:val="21"/>
          <w:color w:val="auto"/>
          <w:vertAlign w:val="superscript"/>
        </w:rPr>
        <w:t>®</w:t>
      </w:r>
      <w:r>
        <w:rPr>
          <w:rFonts w:ascii="Arial" w:cs="Arial" w:eastAsia="Arial" w:hAnsi="Arial"/>
          <w:sz w:val="17"/>
          <w:szCs w:val="17"/>
          <w:color w:val="auto"/>
        </w:rPr>
        <w:t>". The interior mirror is an optimal location for a vehicle-integrated toll transponder and it eliminates the need to affix multiple toll tags to the windshield.</w:t>
      </w:r>
    </w:p>
    <w:p>
      <w:pPr>
        <w:spacing w:after="0" w:line="209"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 2017, the Company announced an agreement entered into during the ordinary course of business with VOXX International Corporation to become the exclusive aftermarket distributor of the Gentex Aftermarket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 North America. The Company has also displayed a new three-camera rear vision system that streams rear video – in multiple composite views – to a rearview-mirror-integrated display. Further, the Company has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many of its other electronic features, including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or the ITM</w:t>
      </w:r>
      <w:r>
        <w:rPr>
          <w:rFonts w:ascii="Arial" w:cs="Arial" w:eastAsia="Arial" w:hAnsi="Arial"/>
          <w:sz w:val="21"/>
          <w:szCs w:val="21"/>
          <w:color w:val="auto"/>
          <w:vertAlign w:val="superscript"/>
        </w:rPr>
        <w:t>®</w:t>
      </w:r>
      <w:r>
        <w:rPr>
          <w:rFonts w:ascii="Arial" w:cs="Arial" w:eastAsia="Arial" w:hAnsi="Arial"/>
          <w:sz w:val="17"/>
          <w:szCs w:val="17"/>
          <w:color w:val="auto"/>
        </w:rPr>
        <w:t>. The biometric system allows for added security and convenience for multiple drivers by adding an additional factor of authentication for increased security, when a driver (or passenger) enters a vehicle. The Company announced in January 2018 that it entered into an exclusive licensing agreement, in the ordinary course of business, with Fingerprint Cards AB to deploy its ActiveIRIS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iris-scanning biometric technology in automotive applications.</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January 2019, the Company announced that it would be offering, as optional content, its latest generation of variable dimmable windows on the Boeing 777X aircraft. During the third quarter of 2019, the first production shipments of variably dimmable windows were made to Boeing for the 777X program. In January 2020,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492760</wp:posOffset>
            </wp:positionV>
            <wp:extent cx="716724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Company announced that Airbus will also be offering the Company's dimmable aircraft windows on its aircraft, with production having begun in 2021.</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18-month period of collaboration between Company engineers and Mayo Clinic surgeons, scientists, and operating room staff. The teams researched, designed, and rapidly iterated multiple prototypes in order to develop unique features that address major gaps in current surgical lighting solutions. The Company will continue to work on the intelligent medical lighting system in order to assess system performance and work toward obtaining any necessary approvals.</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April 2020, the Company, in the ordinary course of business, acquired Vaporsens, Inc. ("Vaporsens"), which specializes in nanofiber chemical sensing research and development. This new nanofiber technology can detect a wide variety of chemicals, including explosives, drugs, volatile organic compounds ("VOCs"), toxic industrial chemicals, amines, and more. The core of Vaporsens’ chemical sensor technology is a net of nanofibers approximately one thousand times smaller in size than human hair. Their porous structure allows them to absorb targeted molecules from sampled gas and identify them via changes in their electrical resistance. The technology allows for the rapid detection of target chemicals with high sensitivity in the parts per billion and parts per trillion ranges. The Vaporsens technology has a wide variety of use cases in various markets and industries, with potential applications for automotive, aerospace, agriculture, chemical manufacturing, military and first responders, worker safety, food and beverage processing, and medical.</w:t>
      </w:r>
    </w:p>
    <w:p>
      <w:pPr>
        <w:spacing w:after="0" w:line="201"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w:t>
      </w:r>
      <w:r>
        <w:rPr>
          <w:rFonts w:ascii="Arial" w:cs="Arial" w:eastAsia="Arial" w:hAnsi="Arial"/>
          <w:sz w:val="21"/>
          <w:szCs w:val="21"/>
          <w:color w:val="auto"/>
          <w:vertAlign w:val="superscript"/>
        </w:rPr>
        <w:t>®</w:t>
      </w:r>
      <w:r>
        <w:rPr>
          <w:rFonts w:ascii="Arial" w:cs="Arial" w:eastAsia="Arial" w:hAnsi="Arial"/>
          <w:sz w:val="17"/>
          <w:szCs w:val="17"/>
          <w:color w:val="auto"/>
        </w:rPr>
        <w:t>, the automotive industry’s leading car-to-home automation system.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consists of vehicle-integrated buttons that can be programmed to operate a myriad of home automation devices. Integration of Simplenight into the Company's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 is underway. The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allows users to program their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buttons and control cloud-based devices from their vehicles.</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September 2021, the Company announced the acquisition of Guardian Optical Technologies ("Guardian"), an Israeli startup that pioneered a unique, multi-modal sensor technology designed to provide a comprehensive suite of driver- and cabin-monitoring solutions for the automotive industry. The core of Guardian’s technology is an infrared-sensitive, high-resolution camera that combines machine vision, depth perception, and micro-vibration detection. This proprietary sensor configuration allows the system to not only monitor the driver, but also the entire vehicle cabin, including objects and other occupants, even assessing the occupant's behaviors, gestures, and activities. The system continuously scans, tracks and determines the physical location of every vehicle occupant and object, even without a direct line of sight, by combining two-dimensional video image recognition with 3D depth mapping and optical motion analysis. It is able to detect even slight movements, including heartbeats.</w:t>
      </w:r>
    </w:p>
    <w:p>
      <w:pPr>
        <w:spacing w:after="0" w:line="19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2022, the Company obtained an approximate 20% equity share in GreenMarbles, in the ordinary course of business. GreenMarbles is a leading provider of sustainable solutions for integration into properties. The Company intends for this relationship to promote the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 with property developers and contractors.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May 1, 2023, the Company announced a partnership, in the ordinary course of business, with Adasky Ltd. ("Adasky"), a developer and manufacturer of intelligent, high-resolution thermal sensing systems for vehicle safety and perception applications and smart city roadway solutions. In addition to the partnership, the Company has obtained an approximate 27% equity share in Adasky.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November 2, 2023, the Company acquired certain technology assets from eSight Corporation ("eSight"), in the ordinary course of business. The technology acquired from eSight provides advanced and versatile low-vision smart glasses for those with visual impairments and is compatible with more than 20 eye conditions including Macular Degeneration, Diabetic Retinopathy, and Stargardt disease. eSight wearables are inspected and registered by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7"/>
          <w:szCs w:val="17"/>
          <w:color w:val="auto"/>
        </w:rPr>
        <w:t>public health officials. Esight 4, which is the fourth generation of the product, is a Class 1 Medical Device that is registered with the FDA, registered with EUDAMED, and inspected by Health Canada. The Company has been developing, initially for contract manufacture and now as the owner, the technology, referred to as eSightGo. Deliveries of eSightGo to customers are expected to begin in calendar year 2024.</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January 8, 2024, the Company announced a partnership, in the ordinary course of business, with Solace Power, an innovative wireless power transfer technology company. This collaboration is intended to further develop, manufacture, and commercialize Solace Power’s unique wireless power systems for a wide variety of industries. In addition to the partnership, the Company obtained an approximate 13% equity share in Solace Power. The Company believes Solace Power’s technology not only has immediate applications in the current Company product portfolio, but can also play an important role in the Company’s continued expansion into new markets.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January 9, 2024, the Company announced the introduction of a suite of smart home safety products with room-specific functionality called PLACE. PLACE offers a holistic solution that blends smart home safety, comfort, and security features into one sophisticated system, all controlled from a single, user-friendly app. The PLACE portfolio of smart-home solutions is designed to address the nuanced safety requirements of various home spaces. The base Any Space unit provides smart smoke and carbon monoxide detection and Wi-Fi connectivity for space-specific alerts. The system’s versatility is further demonstrated through specialized units for the kitchen, nursery, and garage, each equipped with additional safeguards like gas and VOC detection, room-monitoring cameras, intercoms, and temperature and humidity sensing, as appropriate to the application.</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Automotive revenues represent approximately 98% of the Company's total revenue in 2023, mostly consisting of interior and exterior electrochromic automatic-dimming rearview mirrors and automotive electronics.</w:t>
      </w:r>
    </w:p>
    <w:p>
      <w:pPr>
        <w:spacing w:after="0" w:line="376" w:lineRule="exact"/>
        <w:rPr>
          <w:sz w:val="20"/>
          <w:szCs w:val="20"/>
          <w:color w:val="auto"/>
        </w:rPr>
      </w:pPr>
    </w:p>
    <w:p>
      <w:pPr>
        <w:ind w:left="600" w:hanging="599"/>
        <w:spacing w:after="0"/>
        <w:tabs>
          <w:tab w:leader="none" w:pos="6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[Reserved]</w:t>
      </w:r>
    </w:p>
    <w:p>
      <w:pPr>
        <w:spacing w:after="0" w:line="207" w:lineRule="exact"/>
        <w:rPr>
          <w:rFonts w:ascii="Arial" w:cs="Arial" w:eastAsia="Arial" w:hAnsi="Arial"/>
          <w:sz w:val="17"/>
          <w:szCs w:val="17"/>
          <w:b w:val="1"/>
          <w:bCs w:val="1"/>
          <w:color w:val="auto"/>
        </w:rPr>
      </w:pPr>
    </w:p>
    <w:p>
      <w:pPr>
        <w:ind w:left="600" w:hanging="599"/>
        <w:spacing w:after="0"/>
        <w:tabs>
          <w:tab w:leader="none" w:pos="6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designs, develops, manufactures, markets, and supplies digital vision, connected car, dimmable glass, and fire protection technologies, including: automatic-dimming and non-automatic-dimming rearview mirrors and electronics for the automotive industry; dimmable aircraft windows for the aviation industry; and commercial smoke alarms and signaling devices for the fire protection industry.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Automotive Products</w:t>
      </w:r>
    </w:p>
    <w:p>
      <w:pPr>
        <w:spacing w:after="0" w:line="232" w:lineRule="exact"/>
        <w:rPr>
          <w:sz w:val="20"/>
          <w:szCs w:val="20"/>
          <w:color w:val="auto"/>
        </w:rPr>
      </w:pPr>
    </w:p>
    <w:p>
      <w:pPr>
        <w:jc w:val="both"/>
        <w:spacing w:after="0" w:line="224" w:lineRule="auto"/>
        <w:rPr>
          <w:sz w:val="20"/>
          <w:szCs w:val="20"/>
          <w:color w:val="auto"/>
        </w:rPr>
      </w:pPr>
      <w:r>
        <w:rPr>
          <w:rFonts w:ascii="Arial" w:cs="Arial" w:eastAsia="Arial" w:hAnsi="Arial"/>
          <w:sz w:val="17"/>
          <w:szCs w:val="17"/>
          <w:i w:val="1"/>
          <w:iCs w:val="1"/>
          <w:u w:val="single" w:color="auto"/>
          <w:color w:val="auto"/>
        </w:rPr>
        <w:t>Automotive Rearview Mirrors and Electronics.</w:t>
      </w:r>
      <w:r>
        <w:rPr>
          <w:rFonts w:ascii="Arial" w:cs="Arial" w:eastAsia="Arial" w:hAnsi="Arial"/>
          <w:sz w:val="17"/>
          <w:szCs w:val="17"/>
          <w:i w:val="1"/>
          <w:iCs w:val="1"/>
          <w:color w:val="auto"/>
        </w:rPr>
        <w:t xml:space="preserve"> </w:t>
      </w:r>
      <w:r>
        <w:rPr>
          <w:rFonts w:ascii="Arial" w:cs="Arial" w:eastAsia="Arial" w:hAnsi="Arial"/>
          <w:sz w:val="17"/>
          <w:szCs w:val="17"/>
          <w:color w:val="auto"/>
        </w:rPr>
        <w:t>Automotive applications are the largest business segment for the Company, consisting primarily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interior and exterior electrochromic automatic-dimming rearview mirrors and automotive electronics. The Company manufactures interior electrochromic automatic-dimming rearview mirrors that darken to reduce glare and improve visibility for the driver. These electronic interior mirrors can also include additional electronic features such as compass, microphones, HomeLink</w:t>
      </w:r>
      <w:r>
        <w:rPr>
          <w:rFonts w:ascii="Arial" w:cs="Arial" w:eastAsia="Arial" w:hAnsi="Arial"/>
          <w:sz w:val="21"/>
          <w:szCs w:val="21"/>
          <w:color w:val="auto"/>
          <w:vertAlign w:val="superscript"/>
        </w:rPr>
        <w:t>®</w:t>
      </w:r>
      <w:r>
        <w:rPr>
          <w:rFonts w:ascii="Arial" w:cs="Arial" w:eastAsia="Arial" w:hAnsi="Arial"/>
          <w:sz w:val="17"/>
          <w:szCs w:val="17"/>
          <w:color w:val="auto"/>
        </w:rPr>
        <w:t>, interior driver and cabin monitoring systems, lighting assist and driver assist forward safety camera systems, various lighting systems, various telematics systems,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systems, and a wide variety of displays, including the FDM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 The Company also ships interior non-automatic-dimming rearview mirrors with and without features.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can also include additional features such as turn signal indicators, side blind zone indicators, and courtesy lighting. The Company also ships exterior non-automatic-dimming rearview mirrors with similar electronic features available in its automatic-dimming applications.</w:t>
      </w:r>
    </w:p>
    <w:p>
      <w:pPr>
        <w:spacing w:after="0" w:line="191"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The Company manufactures other automotive electronics products through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applications in the vehicle including the rearview mirror, interior visor, overhead console, or center console. Certain of the Company's newer features can be located either in the rearview mirror or other locations in the vehicle. Additionally, as the Company expands its FDM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 and the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 rearward facing video cameras, digital video recording, and integrated toll transponders are being produced and sold.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7"/>
          <w:szCs w:val="17"/>
          <w:color w:val="auto"/>
        </w:rPr>
        <w:t>The Company produces rearview mirrors and electronics globally for automotive passenger cars, light trucks, pickup trucks, sport utility vehicles, and vans for original equipment manufacturers ("OEMs"), automotive suppliers, and various aftermarket and accessory customers. Automotive rearview mirrors and electronics accounted for 98% of the Company’s consolidated net sales in 2023.</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is the leading manufacturer of electrochromic automatic-dimming rearview mirrors in the world, and is the largest supplier to the automotive industry. Competitors for automotive rearview mirrors include Magna International ("Magna"), Fudi Technology, Aolian, Ultronix, Tokai Rika Company, SMR Automotive, Intertech, Adayo, Sincode, Mike Shanghai, Guangdong Yangfeng Electronic Technology Co. Ltd. Licon, MirrorTech, Amblilight, and Chongqing Yimei. The Company also supplies electrochromic automatic-dimming rearview mirrors to certain of these rearview mirror competitors.</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i w:val="1"/>
          <w:iCs w:val="1"/>
          <w:u w:val="single" w:color="auto"/>
          <w:color w:val="auto"/>
        </w:rPr>
        <w:t>Automotive Rearview Mirrors and Electronics Product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continually seeks to develop new products and is currently working</w:t>
      </w:r>
      <w:r>
        <w:rPr>
          <w:rFonts w:ascii="Arial" w:cs="Arial" w:eastAsia="Arial" w:hAnsi="Arial"/>
          <w:sz w:val="17"/>
          <w:szCs w:val="17"/>
          <w:i w:val="1"/>
          <w:iCs w:val="1"/>
          <w:color w:val="auto"/>
        </w:rPr>
        <w:t xml:space="preserve"> </w:t>
      </w:r>
      <w:r>
        <w:rPr>
          <w:rFonts w:ascii="Arial" w:cs="Arial" w:eastAsia="Arial" w:hAnsi="Arial"/>
          <w:sz w:val="17"/>
          <w:szCs w:val="17"/>
          <w:color w:val="auto"/>
        </w:rPr>
        <w:t>to introduce additional advanced-feature automatic-dimming mirrors. Advanced-feature automatic-dimming mirrors currently being offered by the Company include one or more of the following features: SmartBeam</w:t>
      </w:r>
      <w:r>
        <w:rPr>
          <w:rFonts w:ascii="Arial" w:cs="Arial" w:eastAsia="Arial" w:hAnsi="Arial"/>
          <w:sz w:val="21"/>
          <w:szCs w:val="21"/>
          <w:color w:val="auto"/>
          <w:vertAlign w:val="superscript"/>
        </w:rPr>
        <w:t>®</w:t>
      </w:r>
      <w:r>
        <w:rPr>
          <w:rFonts w:ascii="Arial" w:cs="Arial" w:eastAsia="Arial" w:hAnsi="Arial"/>
          <w:sz w:val="17"/>
          <w:szCs w:val="17"/>
          <w:color w:val="auto"/>
        </w:rPr>
        <w:t>, HomeLink</w:t>
      </w:r>
      <w:r>
        <w:rPr>
          <w:rFonts w:ascii="Arial" w:cs="Arial" w:eastAsia="Arial" w:hAnsi="Arial"/>
          <w:sz w:val="21"/>
          <w:szCs w:val="21"/>
          <w:color w:val="auto"/>
          <w:vertAlign w:val="superscript"/>
        </w:rPr>
        <w:t>®</w:t>
      </w:r>
      <w:r>
        <w:rPr>
          <w:rFonts w:ascii="Arial" w:cs="Arial" w:eastAsia="Arial" w:hAnsi="Arial"/>
          <w:sz w:val="17"/>
          <w:szCs w:val="17"/>
          <w:color w:val="auto"/>
        </w:rPr>
        <w:t>, HomeLink Connect</w:t>
      </w:r>
      <w:r>
        <w:rPr>
          <w:rFonts w:ascii="Arial" w:cs="Arial" w:eastAsia="Arial" w:hAnsi="Arial"/>
          <w:sz w:val="21"/>
          <w:szCs w:val="21"/>
          <w:color w:val="auto"/>
          <w:vertAlign w:val="superscript"/>
        </w:rPr>
        <w:t>®</w:t>
      </w:r>
      <w:r>
        <w:rPr>
          <w:rFonts w:ascii="Arial" w:cs="Arial" w:eastAsia="Arial" w:hAnsi="Arial"/>
          <w:sz w:val="17"/>
          <w:szCs w:val="17"/>
          <w:color w:val="auto"/>
        </w:rPr>
        <w:t>, frameless mirror designs, compass displays, telematics,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systems, hands free communication, Rear Camera Display ("RCD") interior mirrors, FDM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interior mirrors, digital video recording solutions, exterior turn signals, side blind zone indicators and various other exterior mirror features that improve safety and field of view. Advanced features currently in development include: biometric authentication systems, hybrid and fully digital camera monitoring systems ("CMS"), driver and cabin monitoring systems, cabin sensing systems, touch screen displays for mirrors, and digital enhancements to displays to improve driver safety, among other things. Other automotive products currently in development include large area dimmable devices, which include sunroof and moon roof applications, driver and passenger windows, interior sun-visors and other window surfaces in vehicles, among others. The Company is also in development of small-scale dimmable devices that darken to improve contrast and legibility for transparent displays, concealment of sensors, and to dynamically adjust camera exposure.</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u w:val="single" w:color="auto"/>
          <w:color w:val="auto"/>
        </w:rPr>
        <w:t>Automotive Rearview Mirrors and Electronics 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In North America, Europe and Asia, the Company markets its products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 direct sales force utilizing its sales and engineering offices located in Germany, UK, Sweden, France, Japan, South Korea and China, as well as its headquarters in Michigan. The Company generally supplies automatic-dimming mirrors and mirrors with advanced electronic features to its customers worldwide under annual blanket purchase orders with customers, as well as under long-term agreements with certain customers, entered into in the ordinary course of the Company's business.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is currently supplying mirrors and electronic modules for Aston Martin, BMW Group, Daimler Group, Faraday Future, Ferrari, Ford Motor Co., Geely/Volvo, General Motors, Harley Davidson, Honda Motor Co., Hyundai/Kia, Lucid Motors, Mazda, Maruti Suzuki, Mahindra &amp; Mahindra, McLaren, Polaris, Renault/Nissan/Mitsubishi Group, Rivian Automotive, Stellantis, Subaru, Suzuki, Tata Motors, Tesla, TOGG Inc., Toyota Motor Company, Volkswagen Group, VOXX International, as well as shipments to domestic China manufacturers (BYD, Chery, Dongfeng, FAW, Great Wall Motors, Human Horizon, King Long, Lixiang Auto, NIO, SAIC, and Xpeng EV).</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Revenues by major geographic area are disclosed in </w:t>
      </w:r>
      <w:r>
        <w:rPr>
          <w:rFonts w:ascii="Arial" w:cs="Arial" w:eastAsia="Arial" w:hAnsi="Arial"/>
          <w:sz w:val="17"/>
          <w:szCs w:val="17"/>
          <w:u w:val="single" w:color="auto"/>
          <w:color w:val="0000FF"/>
        </w:rPr>
        <w:t>Note 7</w:t>
      </w:r>
      <w:r>
        <w:rPr>
          <w:rFonts w:ascii="Arial" w:cs="Arial" w:eastAsia="Arial" w:hAnsi="Arial"/>
          <w:sz w:val="17"/>
          <w:szCs w:val="17"/>
          <w:color w:val="auto"/>
        </w:rPr>
        <w:t xml:space="preserve"> of the Consolidated Financial Statements.</w:t>
      </w:r>
    </w:p>
    <w:p>
      <w:pPr>
        <w:spacing w:after="0" w:line="2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Historically, new products and technologies have penetrated high-end vehicles and premium trim/option packages to begin. As consumer demand increases for such advanced technologies, more OEMs shift to offer a variety of trim packages and option packages for each of their vehicles, creating a range of available pricing and technologies across their lineups. In some instances, Company products such as the FDM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appeal to consumers who are interested in new technology, while also resolving rearward vision limitations created by vehicle design changes that increase aerodynamics. The Company has contributed to this differentiation strategy, allowing OEMs to maximize profitability and optionality by providing profitable, mirror-based and in-vehicle technologies that consumers demand. As more consumers have become familiar with interior and exterior dimming mirrors, HomeLink</w:t>
      </w:r>
      <w:r>
        <w:rPr>
          <w:rFonts w:ascii="Arial" w:cs="Arial" w:eastAsia="Arial" w:hAnsi="Arial"/>
          <w:sz w:val="20"/>
          <w:szCs w:val="20"/>
          <w:color w:val="auto"/>
          <w:vertAlign w:val="superscript"/>
        </w:rPr>
        <w:t>®</w:t>
      </w:r>
      <w:r>
        <w:rPr>
          <w:rFonts w:ascii="Arial" w:cs="Arial" w:eastAsia="Arial" w:hAnsi="Arial"/>
          <w:sz w:val="16"/>
          <w:szCs w:val="16"/>
          <w:color w:val="auto"/>
        </w:rPr>
        <w:t>, FDM</w:t>
      </w:r>
      <w:r>
        <w:rPr>
          <w:rFonts w:ascii="Arial" w:cs="Arial" w:eastAsia="Arial" w:hAnsi="Arial"/>
          <w:sz w:val="20"/>
          <w:szCs w:val="20"/>
          <w:color w:val="auto"/>
          <w:vertAlign w:val="superscript"/>
        </w:rPr>
        <w:t>®</w:t>
      </w:r>
      <w:r>
        <w:rPr>
          <w:rFonts w:ascii="Arial" w:cs="Arial" w:eastAsia="Arial" w:hAnsi="Arial"/>
          <w:sz w:val="16"/>
          <w:szCs w:val="16"/>
          <w:color w:val="auto"/>
        </w:rPr>
        <w:t>, ITM</w:t>
      </w:r>
      <w:r>
        <w:rPr>
          <w:rFonts w:ascii="Arial" w:cs="Arial" w:eastAsia="Arial" w:hAnsi="Arial"/>
          <w:sz w:val="20"/>
          <w:szCs w:val="20"/>
          <w:color w:val="auto"/>
          <w:vertAlign w:val="superscript"/>
        </w:rPr>
        <w:t>®</w:t>
      </w:r>
      <w:r>
        <w:rPr>
          <w:rFonts w:ascii="Arial" w:cs="Arial" w:eastAsia="Arial" w:hAnsi="Arial"/>
          <w:sz w:val="16"/>
          <w:szCs w:val="16"/>
          <w:color w:val="auto"/>
        </w:rPr>
        <w:t>, and other Company technologies, consumers have continued to select these technologies in their subsequent vehicles, driving further market and nameplate penetration as OEMs launch new vehicles and expand into new markets. Where OEMs had historically used Company technologies only to differentiate from one another, they now also use Company technologies to differentiate trim lines across their own nameplates. In new markets, emerging OEMs have recognized the need to include Company products in their vehicles to compete with global OEMs.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u w:val="single" w:color="auto"/>
          <w:color w:val="auto"/>
        </w:rPr>
        <w:t>Automotive Rearview Mirrors and Electronics Competition.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continues to be the leading producer of automatic-dimming rearview mirrors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world and currently is the largest supplier to the automotive industry with an approximate 89% market share worldwide in 2023. While the Company believes it will retain a significant position in automatic-dimming rearview mirrors for some time, another U.S. manufacturer, Magna Mirrors, a division of</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6" w:name="page7"/>
    <w:bookmarkEnd w:id="6"/>
    <w:p>
      <w:pPr>
        <w:jc w:val="both"/>
        <w:spacing w:after="0" w:line="236" w:lineRule="auto"/>
        <w:rPr>
          <w:sz w:val="20"/>
          <w:szCs w:val="20"/>
          <w:color w:val="auto"/>
        </w:rPr>
      </w:pPr>
      <w:r>
        <w:rPr>
          <w:rFonts w:ascii="Arial" w:cs="Arial" w:eastAsia="Arial" w:hAnsi="Arial"/>
          <w:sz w:val="17"/>
          <w:szCs w:val="17"/>
          <w:color w:val="auto"/>
        </w:rPr>
        <w:t>Magna, continues to compete for sales to domestic and foreign vehicle manufacturers and is supplying a number of domestic and foreign vehicle models with its versions of auto-dimming mirrors and appears to have considerably more resources available to it. As such, Magna may present a formidable competitive threat. The Company also continues to sell automatic-dimming exterior mirror sub-assemblies to Magna Mirrors. In addition, a Japanese manufacturer (Tokai Rika) is currently supplying a few vehicle models in Japan with solid-state electrochromic mirrors. There are also Chinese domestic mirror suppliers that are marketing and selling automatic-dimming rearview mirrors, primarily within the domestic China automotive market. Moreover, other companies have products that are competitive to the Company's FDM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 and Chinese domestic mirror suppliers have begun marketing and selling these products, within the domestic China market. Further, two Japan manufacturers (Murakami and Panasonic) have begun selling and marketing competitive FDM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type products in Japan. The Company acknowledges that dimming device (e.g., electrochromic) technology is the subject of research and development efforts by numerous third parties.</w:t>
      </w:r>
    </w:p>
    <w:p>
      <w:pPr>
        <w:spacing w:after="0" w:line="7"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w:t>
      </w:r>
      <w:r>
        <w:rPr>
          <w:rFonts w:ascii="Arial" w:cs="Arial" w:eastAsia="Arial" w:hAnsi="Arial"/>
          <w:sz w:val="21"/>
          <w:szCs w:val="21"/>
          <w:color w:val="auto"/>
          <w:vertAlign w:val="superscript"/>
        </w:rPr>
        <w:t>®</w:t>
      </w:r>
      <w:r>
        <w:rPr>
          <w:rFonts w:ascii="Arial" w:cs="Arial" w:eastAsia="Arial" w:hAnsi="Arial"/>
          <w:sz w:val="17"/>
          <w:szCs w:val="17"/>
          <w:color w:val="auto"/>
        </w:rPr>
        <w:t>, the automotive industry’s leading car-to-home automation system.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consists of vehicle-integrated buttons that can be programmed to operate a myriad of home automation devices. Integration of Simplenight into the Company's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 is underway. The HomeLink Connect app allows users to program their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buttons and control cloud-based devices from their vehicles.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2022, the Company obtained an approximate 20% equity share in GreenMarbles, in the ordinary course of business. GreenMarbles is a leading provider of sustainable solutions for integration into real properties. The Company intends for this relationship to promote the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 with real property developers and contractors.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believes its electrochromic automatic-dimming mirrors and mirrors with advanced electronic features offer significant performance advantages over competing products and the Company makes significant research and development investments to continue to increase and improve the performance advantages of its products and to potentially add new products.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There are numerous other companies in the world conducting research on various technologies, including electrochromics, for controlling light transmission and reflection. The Company currently believes that the electrochromic materials and manufacturing process it uses for automotive mirrors remains the most efficient and cost-effective way to produce these products. The Company has also continued to invest in new technologies to improve manufacturing processes. In 2020, the Company, in the ordinary course of business, completed the acquisition of Argil, Inc., an electrochromic technology and research and development company, which the Company anticipates using to complement and expand its product offerings and leverage for manufacturing efficiencies. While automatic-dimming mirrors using other technologies may eliminate glare, the Company currently believes that each of these other technologies have inherent cost or performance limitations as compared to the Company's technologies.</w:t>
      </w:r>
    </w:p>
    <w:p>
      <w:pPr>
        <w:spacing w:after="0" w:line="11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As the Company continues to expand its automatic-dimming mirror products with additional advanced electronic features and expands the capabilities of its: CMOS imager technology for additional features (i.e. SmartBeam</w:t>
      </w:r>
      <w:r>
        <w:rPr>
          <w:rFonts w:ascii="Arial" w:cs="Arial" w:eastAsia="Arial" w:hAnsi="Arial"/>
          <w:sz w:val="21"/>
          <w:szCs w:val="21"/>
          <w:color w:val="auto"/>
          <w:vertAlign w:val="superscript"/>
        </w:rPr>
        <w:t>®</w:t>
      </w:r>
      <w:r>
        <w:rPr>
          <w:rFonts w:ascii="Arial" w:cs="Arial" w:eastAsia="Arial" w:hAnsi="Arial"/>
          <w:sz w:val="17"/>
          <w:szCs w:val="17"/>
          <w:color w:val="auto"/>
        </w:rPr>
        <w:t>, FDM</w:t>
      </w:r>
      <w:r>
        <w:rPr>
          <w:rFonts w:ascii="Arial" w:cs="Arial" w:eastAsia="Arial" w:hAnsi="Arial"/>
          <w:sz w:val="21"/>
          <w:szCs w:val="21"/>
          <w:color w:val="auto"/>
          <w:vertAlign w:val="superscript"/>
        </w:rPr>
        <w:t>®</w:t>
      </w:r>
      <w:r>
        <w:rPr>
          <w:rFonts w:ascii="Arial" w:cs="Arial" w:eastAsia="Arial" w:hAnsi="Arial"/>
          <w:sz w:val="17"/>
          <w:szCs w:val="17"/>
          <w:color w:val="auto"/>
        </w:rPr>
        <w:t>, rear video camera, digital video recorder, etc.), hybrid and fully digital CMS technology, and driver and cabin monitoring systems, the Company recognizes that it is competing with considerably larger and more geographically diverse electronics companies that present a formidable competitive threat in the future as new products/features and technologies are brought to market.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Dimmable Aircraft Windows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continues to manufacture and sell variable dimmable windows for the passenger compartment on the Boeing 787 Dreamliner series of aircraft. In 2019, the Company announced that it would be offering, as optional content, its latest generation of variable dimmable windows on the Boeing 777X aircraft. Later in 2019, the first production shipments of variably dimmable windows were made to Boeing for the 777X program. As previously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announced, Airbus is now offering, as optional content, the Company's dimmable aircraft windows on its aircraft, with production having begun in 2021.</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markets its variable dimmable windows to aircraft manufacturers and airline operators globally.</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Competition.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variable dimmable aircraft windows are the first commercialized product of its kind for original equipment installation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aircraft industry. Other manufacturers are working to develop and sell competing products utilizing other technology in the aircraft industry for aftermarket or original equipment installation.</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success with electrochromic technology provides potential opportunities and use cases for other commercial applications, which the Company continues to explore. including, but not limited to passenger smart-lighting that automatically optimizes illumination for various in-flight activities like reading, dining, or computer work; biometric systems for personalizing the in-flight experience; and in-cabin particulate and chemical sensors for monitoring cabin air quality.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Fire Protection Technologies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 manufactures photoelectric smoke detectors and alarms, visual signaling alarms, photoelectric smoke alarms and electrochemical carbon monoxide alarms, electrochemical carbon monoxide alarms and detectors, audible and visual signaling appliances, and bells and speakers for use in fire detection systems in office buildings, hotels, and other commercial and residential establishments. On January 9, 2024, the Company announced the introduction of a suite of smart home safety products with room-specific functionality called PLACE. PLACE offers a holistic solution that blends smart home safety, comfort, and security features into one sophisticated system, all controlled from a single, user-friendly app. The PLACE portfolio of smart-home solutions is being designed to address the nuanced safety requirements of various home spaces. The base Any Space unit provides smart smoke and carbon monoxide detection and Wi-Fi connectivity for space-specific alerts. The system’s versatility is further demonstrated through specialized units for the kitchen, nursery, and garage, each equipped with additional safeguards like gas and VOC detection, room-monitoring cameras, intercoms, and temperature and humidity sensing, as appropriate to the application.</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fire protection technologies are sold directly to fire protection and security product distributors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brand name, to electrical wholesale houses, and to OEMs of fire protection systems under both the Company’s brand name and private labels. The Company markets its fire protection products primarily in North America, but also globally through regional sales managers and manufacturer representative organizations. The Company's PLACE products are being sold to retailers.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u w:val="single" w:color="auto"/>
          <w:color w:val="auto"/>
        </w:rPr>
        <w:t>Competition.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fire protection products industry is highly competitive in terms of both the smoke detectors and signaling appliance markets.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estimates that it competes primarily with eight manufacturers of smoke detection products for commercial use and approximately four manufacturers within the residential market, three of which produce photoelectric smoke detectors. In the signaling appliance markets, the Company estimates it competes with approximately seven manufacturers. While the Company faces significant competition in the sale of smoke detectors and signaling appliances, it believes that the introduction of new products, improvements to its existing products, its diversified product line, and the availability of special features will permit the Company to maintain its competitive position.</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Nanofiber Products and Development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The Company completed the acquisition of Vaporsens in 2020. Vaporsens specializes in nanofiber chemical sensing research and development.</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While no current commercialized product yet exists, this technology has the potential ability to sense explosives, toxic industrial</w:t>
      </w:r>
      <w:r>
        <w:rPr>
          <w:rFonts w:ascii="Arial" w:cs="Arial" w:eastAsia="Arial" w:hAnsi="Arial"/>
          <w:sz w:val="17"/>
          <w:szCs w:val="17"/>
          <w:i w:val="1"/>
          <w:iCs w:val="1"/>
          <w:color w:val="auto"/>
        </w:rPr>
        <w:t xml:space="preserve"> </w:t>
      </w:r>
      <w:r>
        <w:rPr>
          <w:rFonts w:ascii="Arial" w:cs="Arial" w:eastAsia="Arial" w:hAnsi="Arial"/>
          <w:sz w:val="17"/>
          <w:szCs w:val="17"/>
          <w:color w:val="auto"/>
        </w:rPr>
        <w:t>chemicals, chemical warfare agents, drugs, consumer goods, and VOC's. This technology has a wide variety of use cases in various markets and industries, with potential applications for automotive, aerospace, agriculture, chemical manufacturing, military and first responders, worker safety, food and beverage processing, and medical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auto"/>
        </w:rPr>
        <w:t>Medical Products and Development</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Company continues to further develop and work on the intelligent medical lighting system in order to assess system performance and work toward obtaining any necessary approvals.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November 2, 2023, the Company acquired certain technology assets from eSight. The technology acquired from eSight provides advanced and versatile low-vision smart glasses for those with visual impairments and is compatible with more than 20 eye conditions including Macular Degeneration, Diabetic Retinopathy, and Stargardt disease. eSight wearables are inspected and registered by public health officials. eSight4 is a Class 1 Medical Device that is registered with the FDA, registered with EUDAMED, and inspected by Health Canada. Deliveries of eSightGo are expected to begin in 2024.</w:t>
      </w:r>
    </w:p>
    <w:p>
      <w:pPr>
        <w:spacing w:after="0" w:line="3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markets and sells the eSight smart glasses directly to consumers that have visual impairments or eye</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The Company also sells the eSight product through authorized distributors.</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Trademarks and Patents</w:t>
      </w:r>
    </w:p>
    <w:p>
      <w:pPr>
        <w:spacing w:after="0" w:line="18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owns 50 U.S. Registered Trademarks and 772 U.S. Patents, of which 40 Registered Trademarks and 641 patents relate to electrochromic technology, automotive rearview mirrors, microphones, displays, cameras, sensor technology, smart lighting technology, and/or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products. These patents expire at various times between 2024 and 2044. The Company believes that these patents provide the Company a competitive advantage in its markets, although no single patent is necessarily required for the success of the Company’s products.</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also owns 399 foreign Registered Trademarks and 1,458 foreign patents, of which 384 Registered Trademarks and 1,125 patents relate to electrochromic technology, automotive rearview mirrors, microphones, displays, cameras, sensor technology, and/or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products. These patents expire at various times between 2024 and 2048. The Company believes that the competitive advantage derived in the relevant foreign markets for these patents is comparable to that applicable in the U.S. market.</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owns 76 U.S. Patents and 99 foreign patents that relate specifically to the Company’s variable dimmable windows. The U.S. Patents expire at various times between 2026 and 2044, while the foreign patents expire at various times between 2027 and 2040.</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Company owns 10 U.S. Registered Trademarks, 20 U.S. Patents, 15 foreign Registered Trademarks, and 12 foreign patents that relate to the Company’s fire protection products. The U.S. Patents expire at various times between 2026 and 2043, while the foreign patents expire at various times between 2026 and 2030. The Company believes that the competitive advantage provided by these patents is relatively small.</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Company also has in process 169 U.S. Patent applications, 257 foreign patent applications, and 35 Registered Trademark applications. The Company continuously seeks to improve its core and acquired technologies and apply those technologies to new and existing products. As those efforts produce patentable inventions, the Company expects to file appropriate patent applications.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the Company periodically obtains intellectual property rights, in the ordinary course of the Company's business, to strengthen its intellectual property portfolio and minimize potential risks of infringement.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Human Capital Resources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As of February 1, 2024, the Company had 6,245 full-time employees. None of the Company’s employees are represented by a labor union or other collective bargaining representative. The Company believes that its relations with its employees are in good standing. See "Executive Officers of the Registrant" in </w:t>
      </w:r>
      <w:r>
        <w:rPr>
          <w:rFonts w:ascii="Arial" w:cs="Arial" w:eastAsia="Arial" w:hAnsi="Arial"/>
          <w:sz w:val="17"/>
          <w:szCs w:val="17"/>
          <w:u w:val="single" w:color="auto"/>
          <w:color w:val="0000FF"/>
        </w:rPr>
        <w:t>Part III, Item 10</w:t>
      </w:r>
      <w:r>
        <w:rPr>
          <w:rFonts w:ascii="Arial" w:cs="Arial" w:eastAsia="Arial" w:hAnsi="Arial"/>
          <w:sz w:val="17"/>
          <w:szCs w:val="17"/>
          <w:color w:val="auto"/>
        </w:rPr>
        <w: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fosters a collaborative culture founded on devotion to quality and innovation. An inclusive environment is nurtured so that team members can perform, support each other, and continue to grow and learn, including on-the-job training.</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9" w:name="page10"/>
    <w:bookmarkEnd w:id="9"/>
    <w:p>
      <w:pPr>
        <w:jc w:val="both"/>
        <w:spacing w:after="0" w:line="241" w:lineRule="auto"/>
        <w:rPr>
          <w:sz w:val="20"/>
          <w:szCs w:val="20"/>
          <w:color w:val="auto"/>
        </w:rPr>
      </w:pPr>
      <w:r>
        <w:rPr>
          <w:rFonts w:ascii="Arial" w:cs="Arial" w:eastAsia="Arial" w:hAnsi="Arial"/>
          <w:sz w:val="17"/>
          <w:szCs w:val="17"/>
          <w:color w:val="auto"/>
        </w:rPr>
        <w:t>This culture is supported by a competitive compensation system that goes beyond base salary and includes for virtually all employees: quarterly profit-sharing bonuses; an extensive stock-based compensation program that extends to all eligible employees; an employee stock purchase plan; 401(k) plan (or other retirement plan for non-US employees) with Company matching; and tuition reimbursement. In keeping with the Company's core principle of ownership mentality, compensation is structured throughout the organization so that employees win when all of stakeholders win. The Company also provides a healthy and safe climate-controlled work environment that includes an on-site wellness center and on-site health clinic at its headquarters. A number of health-related programs are available to employees, including: asthma/COPD management services; diabetes management; "Smart Health," which gives employees and spouses a way to earn wellness credits; Gentex Cares+ Employee Assistance Program; and crop share, which offers employees fresh fruits and vegetables weekly. The Company has also announced the creation of the Gentex Discovery Preschool, an on-site daycare and preschool designed to provide employees with convenient, cost-effective access to quality day care.</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is extremely proud of its workplace injury prevention programs, which have achieved workplace injury rates well below industry averages.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Evidence of the Company's commitment to inclusion is its cultivation of a world-class diversity, equity &amp; inclusion ("DE&amp;I") ethos that allows team members to make a lasting impact in the communities in which the Company operates, all while attracting and retaining diverse talent that can help propel the business forward. While the Company has an environment of equal employment opportunity related to recruitment, hiring, promotion, discipline, and other terms of employment, the commitment to have a skilled and diverse world class workforce goes beyond that.</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DE&amp;I initiatives are supported by its VP of Diversity, Equity, &amp; Inclusion and DE&amp;I Council, which helps implement specific diversity programs, supports internal training, and creates opportunities to spread awareness throughout the organization. The Company's DE&amp;I Council is led by Mr. Joe Matthews, VP of Diversity, Equity, &amp; Inclusion and includes employees from a variety of departments. The Company's DE&amp;I initiatives are further supported by the DE&amp;I Advisory Board, which is led by Mr. Matthews, and includes various executives, including the CEO, and two external members who are experts in the field of diversity, equity, and inclusion.</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a part of DE&amp;I initiatives, the Company maintains a growing list of business resource groups ("BRGs") comprised of individuals with similar interests or backgrounds who work internally to support one another, develop leadership skills, and enhance cultural awareness. Among current BRGs are Women@Gentex and Gentex V.E.T.S. In 2023, the Company received a Pillar Award from the Women’s Resource Center in Grand Rapids for advancing women in the workplace. The Michigan Veterans Affairs agency awarded the Company a silver-level veteran-friendly employer status in recognition of the support and access to resources that the Company provides for military veterans.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2022, the Company also established a separate DE&amp;I council in Salt Lake City to serve the Company employees who work at the research and development office located there. This separate council has supported students from diverse backgrounds and sponsored events to raise awareness to global causes.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DE&amp;I efforts at the Company extend to the supply base as well, where the Company has been recognized for ongoing efforts to increase supplier relationships with certified minority, woman, veteran, and LGBTQ+-owned enterprises. In fact, the Company mentors certain such suppliers to help them develop the business systems and technological improvements necessary to support future growth. The Company is a member of, or otherwise involved in, the Michigan Minority Supplier Development Council, Original Equipment Supplier's Association - Diversity &amp; Inclusion, Board of Governors, Consumer Technology Association - D&amp;I Group, Michigan Diversity Connection, West Michigan Hispanic Chamber of Commerce, and the Great Lakes Women's Business Council.</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Hiring rates, voluntary and involuntary turnover rates, internal rates of hiring and promotion, and safety records are measures of the Company's success in human capital management. While hiring and diversity policies are in place to remain on track in terms of appropriate human resources management, the DE&amp;I efforts have furthered the process of creating a welcoming environment so the Company can hire and retain the best people. The Company produces a Sustainability Report, referenced below, providing more information regarding diversity and corporate responsibility. To ensure an excellent and increasingly diverse employment base, the Company has added Spanish speaking manufacturing lines, which involve translating materials for recruiting, orientation, on-boarding, training, and work in the Spanish language. The Company’s Director of Talent Acquisition was honored as one of the 25</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0" w:name="page11"/>
    <w:bookmarkEnd w:id="10"/>
    <w:p>
      <w:pPr>
        <w:jc w:val="both"/>
        <w:spacing w:after="0" w:line="263" w:lineRule="auto"/>
        <w:rPr>
          <w:sz w:val="20"/>
          <w:szCs w:val="20"/>
          <w:color w:val="auto"/>
        </w:rPr>
      </w:pPr>
      <w:r>
        <w:rPr>
          <w:rFonts w:ascii="Arial" w:cs="Arial" w:eastAsia="Arial" w:hAnsi="Arial"/>
          <w:sz w:val="17"/>
          <w:szCs w:val="17"/>
          <w:color w:val="auto"/>
        </w:rPr>
        <w:t>Most Influential Latinos in West Michigan for his work to promote the Company’s Limited English Proficiency Program. The Company was also presented with a DE&amp;I Champion Award from the MEMA Original Equipment Suppliers Association for championing the spirit of DEI within the organization and in the communities where its employees live.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Moreover, the Company's DE&amp;I efforts related to actively developing and using minority, women, and veteran-owned suppliers have been acknowledged and recognized by multiple OEM customers. In fact, Toyota Motor Engineering &amp; Manufacturing North America, Inc. has specifically recognized the Company's efforts over the last 10 years to increase supplier relationships with minority business enterprises. The Company has also won supplier diversity awards from Honda, Nissan, and Toyota.</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2022, the Company established the Gentex Foundation, which provides financial grants to organizations across the country in support of economic development, children's services, public health, housing assistance and diversity initiatives among other causes. The Gentex Foundation is managed by a board of directors that reviews grant applications with a particular focus on communities where Company employees live and work, consistent with the organization's values of integrity, compassion, innovation and diversity. Employees are encouraged to organize on-site fundraisers and to spend time volunteering at worthy charitable organizations in addition to giving financially. Support is also provided to a number of minority organizations in keeping with the Company's DE&amp;I efforts and to continue to build an even more diverse and skilled workforce.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Board of Directors (the "Board") has regular touchpoints with management regarding: employee engagement; workforce planning (including capabilities and skills development); safety; understanding workforce demographics and DE&amp;I strategies; and corporate culture. The Board and management know that the right talent is required to implement the Company's strategies. As such, the Board works with management appropriately regarding the approach to, and investment in, human capital that includes recruitment, talent development, retention, and diversity. The Board has access to all levels of employees in the Company in its efforts to properly oversee human resources and DE&amp;I issues.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commitment to DE&amp;I is very apparent by the inclusiveness of the Board. The Board and the Nominating and Corporate Governance Committee have taken concrete actions to increase Board diversity, including use of various resources and environments to identify qualified and diverse director candidates. Such candidates are contacted and interviewed in order to continue to build an even more diverse, qualified, and capable Board. In the Company's 2023 Proxy Statement, the Company disclosed Board diversity information as required by NASDAQ, and will continue to do so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Board has also implemented a Complaint Submission and Handling Policy for concerns to be raised as needed.</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Sustainability</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i w:val="1"/>
          <w:iCs w:val="1"/>
          <w:u w:val="single" w:color="auto"/>
          <w:color w:val="auto"/>
        </w:rPr>
        <w:t>Disclosure on Website.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has a Sustainability section of its website (https://www.gentex.com/about/sustainability) to provide insight into</w:t>
      </w:r>
      <w:r>
        <w:rPr>
          <w:rFonts w:ascii="Arial" w:cs="Arial" w:eastAsia="Arial" w:hAnsi="Arial"/>
          <w:sz w:val="17"/>
          <w:szCs w:val="17"/>
          <w:i w:val="1"/>
          <w:iCs w:val="1"/>
          <w:color w:val="auto"/>
        </w:rPr>
        <w:t xml:space="preserve"> </w:t>
      </w:r>
      <w:r>
        <w:rPr>
          <w:rFonts w:ascii="Arial" w:cs="Arial" w:eastAsia="Arial" w:hAnsi="Arial"/>
          <w:sz w:val="17"/>
          <w:szCs w:val="17"/>
          <w:color w:val="auto"/>
        </w:rPr>
        <w:t>how the Company is committed to protecting the environment by complying with all environmental laws and related requirements, while at the same time striving for continual improvement in sustainability and environmental performance. The Company's Sustainability Report, published each year and available on the Company's website, provides significant details regarding the Company's approach to sustainability.</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General.</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makes intentional decisions that reflect the desire to be responsible with all resources and achieve the Company's goal of</w:t>
      </w:r>
      <w:r>
        <w:rPr>
          <w:rFonts w:ascii="Arial" w:cs="Arial" w:eastAsia="Arial" w:hAnsi="Arial"/>
          <w:sz w:val="17"/>
          <w:szCs w:val="17"/>
          <w:i w:val="1"/>
          <w:iCs w:val="1"/>
          <w:color w:val="auto"/>
        </w:rPr>
        <w:t xml:space="preserve"> </w:t>
      </w:r>
      <w:r>
        <w:rPr>
          <w:rFonts w:ascii="Arial" w:cs="Arial" w:eastAsia="Arial" w:hAnsi="Arial"/>
          <w:sz w:val="17"/>
          <w:szCs w:val="17"/>
          <w:color w:val="auto"/>
        </w:rPr>
        <w:t>meaningful change.</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i w:val="1"/>
          <w:iCs w:val="1"/>
          <w:u w:val="single" w:color="auto"/>
          <w:color w:val="auto"/>
        </w:rPr>
        <w:t>Energy and Climate Change.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understands that energy use and manufacturing are large contributors of the Company's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greenhouse gas emissions. As such, the Company remains committed to improving energy-efficiency. To that end, the Company has announced to the following carbon reduction and neutrality goals: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By 2026, 15% below 2020 levels</w:t>
      </w:r>
    </w:p>
    <w:p>
      <w:pPr>
        <w:spacing w:after="0" w:line="9" w:lineRule="exact"/>
        <w:rPr>
          <w:sz w:val="20"/>
          <w:szCs w:val="20"/>
          <w:color w:val="auto"/>
        </w:rPr>
      </w:pPr>
    </w:p>
    <w:p>
      <w:pPr>
        <w:ind w:left="300"/>
        <w:spacing w:after="0" w:line="231" w:lineRule="auto"/>
        <w:rPr>
          <w:sz w:val="20"/>
          <w:szCs w:val="20"/>
          <w:color w:val="auto"/>
        </w:rPr>
      </w:pPr>
      <w:r>
        <w:rPr>
          <w:rFonts w:ascii="Arial" w:cs="Arial" w:eastAsia="Arial" w:hAnsi="Arial"/>
          <w:sz w:val="17"/>
          <w:szCs w:val="17"/>
          <w:color w:val="auto"/>
        </w:rPr>
        <w:t>–  By 2031, 40% below 2020 levels</w:t>
      </w:r>
    </w:p>
    <w:p>
      <w:pPr>
        <w:ind w:left="300"/>
        <w:spacing w:after="0" w:line="231" w:lineRule="auto"/>
        <w:rPr>
          <w:sz w:val="20"/>
          <w:szCs w:val="20"/>
          <w:color w:val="auto"/>
        </w:rPr>
      </w:pPr>
      <w:r>
        <w:rPr>
          <w:rFonts w:ascii="Arial" w:cs="Arial" w:eastAsia="Arial" w:hAnsi="Arial"/>
          <w:sz w:val="17"/>
          <w:szCs w:val="17"/>
          <w:color w:val="auto"/>
        </w:rPr>
        <w:t>–  By 2041, 70% below 2020 levels</w:t>
      </w:r>
    </w:p>
    <w:p>
      <w:pPr>
        <w:ind w:left="300"/>
        <w:spacing w:after="0"/>
        <w:rPr>
          <w:sz w:val="20"/>
          <w:szCs w:val="20"/>
          <w:color w:val="auto"/>
        </w:rPr>
      </w:pPr>
      <w:r>
        <w:rPr>
          <w:rFonts w:ascii="Arial" w:cs="Arial" w:eastAsia="Arial" w:hAnsi="Arial"/>
          <w:sz w:val="17"/>
          <w:szCs w:val="17"/>
          <w:color w:val="auto"/>
        </w:rPr>
        <w:t>–  By 2049, carbon neutrality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1" w:name="page12"/>
    <w:bookmarkEnd w:id="11"/>
    <w:p>
      <w:pPr>
        <w:jc w:val="both"/>
        <w:spacing w:after="0" w:line="239" w:lineRule="auto"/>
        <w:rPr>
          <w:sz w:val="20"/>
          <w:szCs w:val="20"/>
          <w:color w:val="auto"/>
        </w:rPr>
      </w:pPr>
      <w:r>
        <w:rPr>
          <w:rFonts w:ascii="Arial" w:cs="Arial" w:eastAsia="Arial" w:hAnsi="Arial"/>
          <w:sz w:val="17"/>
          <w:szCs w:val="17"/>
          <w:color w:val="auto"/>
        </w:rPr>
        <w:t>The Company implements efficient alternatives for capital equipment, uses automated building management systems to use less energy, and has put in place extremely efficient lighting and HVAC equipment. The Company also participates in the local Energy Smart Program, which promotes the implementation of progressive energy efficiency projects, including achieving the maximum goal possible for lighting and HVAC improvements, compressed air leak audits, and building control systems. The Company also converted one of its manufacturing facilities to be powered entirely by renewable energy in 2022.</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Gentex Environmental Management System (GEMS).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environmental management system is based on ISO 14001 (international</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environmental standard). This system governs environmental performance by addressing the impact of the Company's activities, products, and services on the environment. At each Company facility, environmental impact is measured and improved upon annually by eliminating waste and emissions,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maximizing efficiency of processes and resources, and increased recycling and reuse. The foregoing has allowed the Company to establish long-term measures for minimizing the negative effects on the environment, while maximizing positive outputs for the communities in which the Company operates. Various metrics are tracked to gauge the environmental performance of the Company’s facilities, including: electricity use; process water use; natural gas use; VOC air emissions; and greenhouse gas emissions (both those directly controlled and those from electricity usage).</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Waste and Recycling.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also has robust waste and recycling strategies, tracking solid waste to landfill, solid waste recycled, and regulated</w:t>
      </w:r>
      <w:r>
        <w:rPr>
          <w:rFonts w:ascii="Arial" w:cs="Arial" w:eastAsia="Arial" w:hAnsi="Arial"/>
          <w:sz w:val="17"/>
          <w:szCs w:val="17"/>
          <w:i w:val="1"/>
          <w:iCs w:val="1"/>
          <w:color w:val="auto"/>
        </w:rPr>
        <w:t xml:space="preserve"> </w:t>
      </w:r>
      <w:r>
        <w:rPr>
          <w:rFonts w:ascii="Arial" w:cs="Arial" w:eastAsia="Arial" w:hAnsi="Arial"/>
          <w:sz w:val="17"/>
          <w:szCs w:val="17"/>
          <w:color w:val="auto"/>
        </w:rPr>
        <w:t>waste. As a part of its strategies, the Company has committed to the following landfill avoidance goals: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By 2026, 20% below 2020 levels</w:t>
      </w:r>
    </w:p>
    <w:p>
      <w:pPr>
        <w:spacing w:after="0" w:line="9" w:lineRule="exact"/>
        <w:rPr>
          <w:sz w:val="20"/>
          <w:szCs w:val="20"/>
          <w:color w:val="auto"/>
        </w:rPr>
      </w:pPr>
    </w:p>
    <w:p>
      <w:pPr>
        <w:ind w:left="300"/>
        <w:spacing w:after="0" w:line="231" w:lineRule="auto"/>
        <w:rPr>
          <w:sz w:val="20"/>
          <w:szCs w:val="20"/>
          <w:color w:val="auto"/>
        </w:rPr>
      </w:pPr>
      <w:r>
        <w:rPr>
          <w:rFonts w:ascii="Arial" w:cs="Arial" w:eastAsia="Arial" w:hAnsi="Arial"/>
          <w:sz w:val="17"/>
          <w:szCs w:val="17"/>
          <w:color w:val="auto"/>
        </w:rPr>
        <w:t>–  By 2031, 60% below 2020 levels</w:t>
      </w:r>
    </w:p>
    <w:p>
      <w:pPr>
        <w:ind w:left="300"/>
        <w:spacing w:after="0" w:line="231" w:lineRule="auto"/>
        <w:rPr>
          <w:sz w:val="20"/>
          <w:szCs w:val="20"/>
          <w:color w:val="auto"/>
        </w:rPr>
      </w:pPr>
      <w:r>
        <w:rPr>
          <w:rFonts w:ascii="Arial" w:cs="Arial" w:eastAsia="Arial" w:hAnsi="Arial"/>
          <w:sz w:val="17"/>
          <w:szCs w:val="17"/>
          <w:color w:val="auto"/>
        </w:rPr>
        <w:t>–  By 2041, 90% below 2020 levels</w:t>
      </w:r>
    </w:p>
    <w:p>
      <w:pPr>
        <w:ind w:left="300"/>
        <w:spacing w:after="0"/>
        <w:rPr>
          <w:sz w:val="20"/>
          <w:szCs w:val="20"/>
          <w:color w:val="auto"/>
        </w:rPr>
      </w:pPr>
      <w:r>
        <w:rPr>
          <w:rFonts w:ascii="Arial" w:cs="Arial" w:eastAsia="Arial" w:hAnsi="Arial"/>
          <w:sz w:val="17"/>
          <w:szCs w:val="17"/>
          <w:color w:val="auto"/>
        </w:rPr>
        <w:t>–  By 2045, 100% zero landfill waste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Initiatives.</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sustainability initiatives, the Company has undertaken a number of actions related to energy, waste stewardship, water</w:t>
      </w:r>
    </w:p>
    <w:p>
      <w:pPr>
        <w:spacing w:after="0" w:line="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management, and environmental protection. Regarding energy, the Company: utilizes software-managed and occupancy-sensor controlled lighting in all facilities; has air economizers and energy recovery units in HVAC systems; utilizes energy efficient fluorescent lighting; has certain white material</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roofs to reflect sunlight; has insulated metal panel systems for exterior walls (for energy efficiency); captures excess heat from compressed air systems and uses it to preheat/temper water used in production; takes excess water from production processes to use in boiler/snow melt water; and installed a centralized water chiller plant to lower energy use. Regarding waste stewardship, the Company improved its cleaning method for certain products to reduce material usage preventing thousands of pounds of additional waste material and uses recycled materials in facility carpets. In terms of waste management, the Company: put in place a water recovery system that significantly reduced overall water usage; collects storm water to reduce discharge into municipal drain systems; implemented irrigation software to monitor weather conditions thereby reducing water consumption; and diligently works to monitor and reduce potential pollutants in its facilities. In terms of environmental protection, the Company has: integrated “green roofs”; adopted a highway to clean waste from public lands; constructed wetland and wildlife habitat areas; and acquired property which includes natural wetlands. As regards transportation, the Company maintains: 30 electric vehicle charging stations; a bicycle fleet for travel between facilities; a bus shelter to encourage bus ridership; and Sweed banding choppers at certain facilities to reduce frequency of trips to recycling.</w:t>
      </w:r>
    </w:p>
    <w:p>
      <w:pPr>
        <w:spacing w:after="0" w:line="187" w:lineRule="exact"/>
        <w:rPr>
          <w:sz w:val="20"/>
          <w:szCs w:val="20"/>
          <w:color w:val="auto"/>
        </w:rPr>
      </w:pPr>
    </w:p>
    <w:p>
      <w:pPr>
        <w:ind w:left="600" w:hanging="599"/>
        <w:spacing w:after="0"/>
        <w:tabs>
          <w:tab w:leader="none" w:pos="6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[Reserved]</w:t>
      </w:r>
    </w:p>
    <w:p>
      <w:pPr>
        <w:spacing w:after="0" w:line="232" w:lineRule="exact"/>
        <w:rPr>
          <w:rFonts w:ascii="Arial" w:cs="Arial" w:eastAsia="Arial" w:hAnsi="Arial"/>
          <w:sz w:val="17"/>
          <w:szCs w:val="17"/>
          <w:b w:val="1"/>
          <w:bCs w:val="1"/>
          <w:color w:val="auto"/>
        </w:rPr>
      </w:pPr>
    </w:p>
    <w:p>
      <w:pPr>
        <w:ind w:left="600" w:hanging="599"/>
        <w:spacing w:after="0"/>
        <w:tabs>
          <w:tab w:leader="none" w:pos="6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Available Information</w:t>
      </w:r>
    </w:p>
    <w:p>
      <w:pPr>
        <w:spacing w:after="0" w:line="131" w:lineRule="exact"/>
        <w:rPr>
          <w:rFonts w:ascii="Arial" w:cs="Arial" w:eastAsia="Arial" w:hAnsi="Arial"/>
          <w:sz w:val="17"/>
          <w:szCs w:val="17"/>
          <w:b w:val="1"/>
          <w:bCs w:val="1"/>
          <w:color w:val="auto"/>
        </w:rPr>
      </w:pPr>
    </w:p>
    <w:p>
      <w:pPr>
        <w:jc w:val="both"/>
        <w:ind w:left="60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Company’s Annual Report on Form 10-K, quarterly reports on Form 10-Q, current reports on Form 8-K, and all amendments to those reports, will be made available, free of charge, through the Investor Information section of the Company’s website (</w:t>
      </w:r>
      <w:r>
        <w:rPr>
          <w:rFonts w:ascii="Arial" w:cs="Arial" w:eastAsia="Arial" w:hAnsi="Arial"/>
          <w:sz w:val="17"/>
          <w:szCs w:val="17"/>
          <w:u w:val="single" w:color="auto"/>
          <w:color w:val="auto"/>
        </w:rPr>
        <w:t>http://ir.gentex.com</w:t>
      </w:r>
      <w:r>
        <w:rPr>
          <w:rFonts w:ascii="Arial" w:cs="Arial" w:eastAsia="Arial" w:hAnsi="Arial"/>
          <w:sz w:val="17"/>
          <w:szCs w:val="17"/>
          <w:color w:val="auto"/>
        </w:rPr>
        <w:t>) as soon as practicable after such materials are electronically filed with or furnished to the Securities and Exchange Commission ("SEC"). The SEC maintains a website (</w:t>
      </w:r>
      <w:r>
        <w:rPr>
          <w:rFonts w:ascii="Arial" w:cs="Arial" w:eastAsia="Arial" w:hAnsi="Arial"/>
          <w:sz w:val="17"/>
          <w:szCs w:val="17"/>
          <w:u w:val="single" w:color="auto"/>
          <w:color w:val="auto"/>
        </w:rPr>
        <w:t>http://www.sec.gov</w:t>
      </w:r>
      <w:r>
        <w:rPr>
          <w:rFonts w:ascii="Arial" w:cs="Arial" w:eastAsia="Arial" w:hAnsi="Arial"/>
          <w:sz w:val="17"/>
          <w:szCs w:val="17"/>
          <w:color w:val="auto"/>
        </w:rPr>
        <w:t>) that contains reports, proxy and information statements, and other information regarding issues that a company files electronically with the SEC.</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37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Safe Harbor for Forward-Looking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This Annual Report on Form 10-K contains forward-looking statements within the meaning of the safe</w:t>
      </w:r>
      <w:r>
        <w:rPr>
          <w:rFonts w:ascii="Arial" w:cs="Arial" w:eastAsia="Arial" w:hAnsi="Arial"/>
          <w:sz w:val="17"/>
          <w:szCs w:val="17"/>
          <w:i w:val="1"/>
          <w:iCs w:val="1"/>
          <w:color w:val="auto"/>
        </w:rPr>
        <w:t xml:space="preserve"> </w:t>
      </w:r>
      <w:r>
        <w:rPr>
          <w:rFonts w:ascii="Arial" w:cs="Arial" w:eastAsia="Arial" w:hAnsi="Arial"/>
          <w:sz w:val="17"/>
          <w:szCs w:val="17"/>
          <w:color w:val="auto"/>
        </w:rPr>
        <w:t>harbor provisions of the Private Securities Litigation Reform Act of 1995. The statements contained in this communication that are not purely historical are forward-looking statements.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2" w:name="page13"/>
    <w:bookmarkEnd w:id="12"/>
    <w:p>
      <w:pPr>
        <w:jc w:val="both"/>
        <w:spacing w:after="0" w:line="249" w:lineRule="auto"/>
        <w:rPr>
          <w:sz w:val="20"/>
          <w:szCs w:val="20"/>
          <w:color w:val="auto"/>
        </w:rPr>
      </w:pPr>
      <w:r>
        <w:rPr>
          <w:rFonts w:ascii="Arial" w:cs="Arial" w:eastAsia="Arial" w:hAnsi="Arial"/>
          <w:sz w:val="17"/>
          <w:szCs w:val="17"/>
          <w:color w:val="auto"/>
        </w:rPr>
        <w:t>Forward-looking statements give the Company’s current expectations or forecasts of future events. These forward-looking statements generally can be identified by the use of words such as “anticipate,” “believe,” “could,” “estimate,” “expect,” “forecast,” “future,” “goal,” “guidance,” “hope,” “intend,” "likely",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and force majeure events. Readers are cautioned not to place undue reliance on these forward-looking statements, which speak only as of the date they are made.</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include supply chain constraints that have affected, are affecting, and will continue to affect, general economic and industry conditions, customers, suppliers, and the regulatory environment in which the Company operates. Includes content supplied by S&amp;P Global Mobility Light Vehicle Production Forecast of January 16, 2024 (http://www.gentex.com/forecast-disclaimer).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0A0A0A"/>
        </w:rPr>
        <w:t>T</w:t>
      </w:r>
      <w:r>
        <w:rPr>
          <w:rFonts w:ascii="Arial" w:cs="Arial" w:eastAsia="Arial" w:hAnsi="Arial"/>
          <w:sz w:val="17"/>
          <w:szCs w:val="17"/>
          <w:color w:val="000000"/>
        </w:rPr>
        <w:t>he following risk factors, together with all other information provided in this Annual Report on Form 10-K should be carefully considered.</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u w:val="single" w:color="auto"/>
          <w:color w:val="auto"/>
        </w:rPr>
        <w:t>Automotive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within the auto industry comprise approximately 98% of our net sales. The automotive industry has always been</w:t>
      </w:r>
      <w:r>
        <w:rPr>
          <w:rFonts w:ascii="Arial" w:cs="Arial" w:eastAsia="Arial" w:hAnsi="Arial"/>
          <w:sz w:val="17"/>
          <w:szCs w:val="17"/>
          <w:i w:val="1"/>
          <w:iCs w:val="1"/>
          <w:color w:val="auto"/>
        </w:rPr>
        <w:t xml:space="preserve"> </w:t>
      </w:r>
      <w:r>
        <w:rPr>
          <w:rFonts w:ascii="Arial" w:cs="Arial" w:eastAsia="Arial" w:hAnsi="Arial"/>
          <w:sz w:val="17"/>
          <w:szCs w:val="17"/>
          <w:color w:val="auto"/>
        </w:rPr>
        <w:t>cyclical and highly impacted by levels of economic activity. The current economic environment, including inflation, continues to be uncertain, and continues to cause financial and production stresses evidenced by volatile automotive production levels, volatility with customer orders, supplier part and material shortages (especially electronics components), automotive and Tier 1 supplier plant shutdowns, customer and supplier financial issues, commodity raw material cost increases, supply constraints, tariffs, consumer vehicle preference shifts (where we have a lower penetration rate and lower content per vehicle), and supply chain stresses. If automotive customers (including their Tier 1 suppliers) and suppliers experience significant plant shutdowns, work stoppages, strikes, part shortages, etc., it will further disrupt our shipments to these customers, which could adversely affect our business, financial condition, and/or results of operations. Automakers continue to experience volatility and uncertainty in executing planned new programs on time, due in part to continued vehicle complexity increases and supply chain constraints. This brings increased risk of delays or cancellations of new vehicle platforms, package configurations, and inaccurate volume forecasts. This makes it challenging for us to forecast future sales and manage costs, inventory, capital, engineering, research and development, and human resource investments, in addition to the aforementioned factors.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Key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a number of large customers, including three automotive customers which each account for 10% or more of our annual net</w:t>
      </w:r>
      <w:r>
        <w:rPr>
          <w:rFonts w:ascii="Arial" w:cs="Arial" w:eastAsia="Arial" w:hAnsi="Arial"/>
          <w:sz w:val="17"/>
          <w:szCs w:val="17"/>
          <w:i w:val="1"/>
          <w:iCs w:val="1"/>
          <w:color w:val="auto"/>
        </w:rPr>
        <w:t xml:space="preserve"> </w:t>
      </w:r>
      <w:r>
        <w:rPr>
          <w:rFonts w:ascii="Arial" w:cs="Arial" w:eastAsia="Arial" w:hAnsi="Arial"/>
          <w:sz w:val="17"/>
          <w:szCs w:val="17"/>
          <w:color w:val="auto"/>
        </w:rPr>
        <w:t>sales in 2023 (including direct sales to OEM customers and sales through their Tier 1 suppliers): Volkswagen Group, Toyota Motor Company, and General Motors. The loss of all or a substantial portion of the sales to, or decreases in production by, any of these customers (or certain other significant customers) could have a material adverse effect on our business, financial condition, and/or results of operations.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Pricing Pressures.</w:t>
      </w:r>
      <w:r>
        <w:rPr>
          <w:rFonts w:ascii="Arial" w:cs="Arial" w:eastAsia="Arial" w:hAnsi="Arial"/>
          <w:sz w:val="17"/>
          <w:szCs w:val="17"/>
          <w:i w:val="1"/>
          <w:iCs w:val="1"/>
          <w:color w:val="auto"/>
        </w:rPr>
        <w:t xml:space="preserve"> </w:t>
      </w:r>
      <w:r>
        <w:rPr>
          <w:rFonts w:ascii="Arial" w:cs="Arial" w:eastAsia="Arial" w:hAnsi="Arial"/>
          <w:sz w:val="17"/>
          <w:szCs w:val="17"/>
          <w:color w:val="auto"/>
        </w:rPr>
        <w:t>We continue to experience ongoing pricing pressures from our automotive customers and competitors, which have affected, and</w:t>
      </w:r>
      <w:r>
        <w:rPr>
          <w:rFonts w:ascii="Arial" w:cs="Arial" w:eastAsia="Arial" w:hAnsi="Arial"/>
          <w:sz w:val="17"/>
          <w:szCs w:val="17"/>
          <w:i w:val="1"/>
          <w:iCs w:val="1"/>
          <w:color w:val="auto"/>
        </w:rPr>
        <w:t xml:space="preserve"> </w:t>
      </w:r>
      <w:r>
        <w:rPr>
          <w:rFonts w:ascii="Arial" w:cs="Arial" w:eastAsia="Arial" w:hAnsi="Arial"/>
          <w:sz w:val="17"/>
          <w:szCs w:val="17"/>
          <w:color w:val="auto"/>
        </w:rPr>
        <w:t>which will continue to affect our profit margins to the extent that we are unable to offset the pricing pressures with price adjustments, engineering and purchasing cost reductions, productivity improvements, increases in unit shipments of mirrors and electronics with advanced features, and/or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3" w:name="page14"/>
    <w:bookmarkEnd w:id="13"/>
    <w:p>
      <w:pPr>
        <w:jc w:val="both"/>
        <w:spacing w:after="0" w:line="279" w:lineRule="auto"/>
        <w:rPr>
          <w:sz w:val="20"/>
          <w:szCs w:val="20"/>
          <w:color w:val="auto"/>
        </w:rPr>
      </w:pPr>
      <w:r>
        <w:rPr>
          <w:rFonts w:ascii="Arial" w:cs="Arial" w:eastAsia="Arial" w:hAnsi="Arial"/>
          <w:sz w:val="17"/>
          <w:szCs w:val="17"/>
          <w:color w:val="auto"/>
        </w:rPr>
        <w:t>new or advanced technologies, each of which pose ongoing challenges, which continue to adversely impact our business, financial condition, and/or results of operations.</w:t>
      </w:r>
    </w:p>
    <w:p>
      <w:pPr>
        <w:spacing w:after="0" w:line="7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u w:val="single" w:color="auto"/>
          <w:color w:val="auto"/>
        </w:rPr>
        <w:t>Raw Materials and Other Product Component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Increasing costs in raw materials, energy, commodities, labor, and other product component costs</w:t>
      </w:r>
      <w:r>
        <w:rPr>
          <w:rFonts w:ascii="Arial" w:cs="Arial" w:eastAsia="Arial" w:hAnsi="Arial"/>
          <w:sz w:val="16"/>
          <w:szCs w:val="16"/>
          <w:i w:val="1"/>
          <w:iCs w:val="1"/>
          <w:color w:val="auto"/>
        </w:rPr>
        <w:t xml:space="preserve"> </w:t>
      </w:r>
      <w:r>
        <w:rPr>
          <w:rFonts w:ascii="Arial" w:cs="Arial" w:eastAsia="Arial" w:hAnsi="Arial"/>
          <w:sz w:val="16"/>
          <w:szCs w:val="16"/>
          <w:color w:val="auto"/>
        </w:rPr>
        <w:t>adversely affects our business, financial condition and/or results of operations. These costs have generally increased as a result of supply chain disruptions, constrained labor availability, global economic factors, as well as inflationary impacts. When these prices rise and we are unable to recover such cost increases from our customers, those increases have an adverse effect on our business, financial condition and/or results of operations;</w:t>
      </w:r>
    </w:p>
    <w:p>
      <w:pPr>
        <w:spacing w:after="0" w:line="9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u w:val="single" w:color="auto"/>
          <w:color w:val="auto"/>
        </w:rPr>
        <w:t>Tariffs.</w:t>
      </w:r>
      <w:r>
        <w:rPr>
          <w:rFonts w:ascii="Arial" w:cs="Arial" w:eastAsia="Arial" w:hAnsi="Arial"/>
          <w:sz w:val="16"/>
          <w:szCs w:val="16"/>
          <w:i w:val="1"/>
          <w:iCs w:val="1"/>
          <w:color w:val="auto"/>
        </w:rPr>
        <w:t xml:space="preserve"> </w:t>
      </w:r>
      <w:r>
        <w:rPr>
          <w:rFonts w:ascii="Arial" w:cs="Arial" w:eastAsia="Arial" w:hAnsi="Arial"/>
          <w:sz w:val="16"/>
          <w:szCs w:val="16"/>
          <w:color w:val="auto"/>
        </w:rPr>
        <w:t>The geopolitical environment between the Unites States and other jurisdictions, most significantly China, continues to cause uncertainty on</w:t>
      </w:r>
      <w:r>
        <w:rPr>
          <w:rFonts w:ascii="Arial" w:cs="Arial" w:eastAsia="Arial" w:hAnsi="Arial"/>
          <w:sz w:val="16"/>
          <w:szCs w:val="16"/>
          <w:i w:val="1"/>
          <w:iCs w:val="1"/>
          <w:color w:val="auto"/>
        </w:rPr>
        <w:t xml:space="preserve"> </w:t>
      </w:r>
      <w:r>
        <w:rPr>
          <w:rFonts w:ascii="Arial" w:cs="Arial" w:eastAsia="Arial" w:hAnsi="Arial"/>
          <w:sz w:val="16"/>
          <w:szCs w:val="16"/>
          <w:color w:val="auto"/>
        </w:rPr>
        <w:t>tariffs and trade. Previously enacted tariffs have increased the Company's input costs and challenge the Company's competitive position in foreign markets. The continuance of these tariffs and/or escalation of disputes in the geopolitical environment interferes with automotive supply chains and have a continued negative impact on the Company’s business, financial condition, and/or results of operations, especially since the Company primarily manufactures and ships from one location. We cannot predict what further action may be taken with respect to tariffs or trade relations between the U.S. and other governments, and any further changes in U.S. or international trade policy could have a further adverse impact on our business.</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i w:val="1"/>
          <w:iCs w:val="1"/>
          <w:u w:val="single" w:color="auto"/>
          <w:color w:val="auto"/>
        </w:rPr>
        <w:t>Competition.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We recognize that Magna Mirrors, our main competitor, has considerably more resources available to it, and presents a formidable</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competitive threat. Additionally, other companies have demonstrated products that are competitive to our FDM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 and other products. We acknowledge that dimming device (e.g., electrochromic) technology is the subject of research and development efforts by numerous third parties.</w:t>
      </w:r>
    </w:p>
    <w:p>
      <w:pPr>
        <w:spacing w:after="0" w:line="12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On March 31, 2014 the Alliance of Automobile Manufacturers petitioned the National Highway Traffic Safety Administration ("NHTSA") to allow automakers to use CMS as an option to replace conventional rearview mirrors within North America, however, no final rule or legislation was made in response to this petition.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 In November 2022, NHTSA conducted a public meeting and discussed the on-going research of this technology.</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July 2016, a revision to UN-ECE Regulation 46 was published with an effective date of June 18, 2016, which allows for camera monitor systems to replace mirrors within Japan and European countries. Since January 2017, camera monitoring systems are also permitted as an alternative to replace mirrors in the Korean market. In 2023, China released and made effective an updated version of its GB15084, which allows for camera monitoring systems, frameless mirrors and aspheric (free-form) glass surfaces.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 of the camera. Nonetheless, the Company continues designing and manufacturing not only rearview mirrors, but CMOS imagers and video displays as well. The Company believes that combining video displays with mirrors provides a more robust product by addressing all driving conditions in a single solution that can be controlled by the driver. The Company has been in production with the Company's FDM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since 2015 and has, in the ordinary course of business, been awarded programs with fourteen (14) OEM customers. The Company is currently shipping production FDM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to all fourteen of these customers. The Company's CMS solution uses three cameras to provide a comprehensive view of the sides and rear of the vehicle while still providing the traditional safety of interior and exterior mirrors, that still function when cameras are obstructed, or not functioning. The Company has previously announced that the Company continues to</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7"/>
          <w:szCs w:val="17"/>
          <w:color w:val="auto"/>
        </w:rPr>
        <w:t>develop in the areas of imager performance, camera dynamic range, lens design, image processing from the camera to the display, and camera lens cleaning. The Company acknowledges that as such technology evolves over time, such as cameras replacing mirrors and/or autonomous driving, there will be increased competition.</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u w:val="single" w:color="auto"/>
          <w:color w:val="auto"/>
        </w:rPr>
        <w:t>Supply Chain Disruptions.</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of just-in-time supply chains within our business and the automotive industry, disruptions in our supply chain have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occurred, are occurring, and may continue to occur due to the industry-wide parts shortages, labor shortages, and other global supply chain constraints. We have and continue to take a number of steps to mitigate the current supply chain challenges, which include strategies involving the additional procurement of available raw materials to prepare for assembling finished goods more quickly when supply constraints ease for certain common components. These inventory strategies further introduce obsolescence risk that impacts our business, financial conditions, and/or results of operations. As our customers' forecasted demand changes, inventory becomes obsolete and write-offs or write-downs of our inventory are exacerbated. Disruptions can also occur due to natural disasters, pandemics, work stoppages, strikes, bankruptcy, etc. Such circumstances have disrupted, are disrupting, and will continue to disrupt our shipments to automakers and Tier 1 customers, which adversely affects our business, financial condition, and/or results of operations.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Workforce Disruptions.</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experienced, and may continue to experience in the future, disruptions to our workforce as a result of a tight labor</w:t>
      </w:r>
      <w:r>
        <w:rPr>
          <w:rFonts w:ascii="Arial" w:cs="Arial" w:eastAsia="Arial" w:hAnsi="Arial"/>
          <w:sz w:val="17"/>
          <w:szCs w:val="17"/>
          <w:i w:val="1"/>
          <w:iCs w:val="1"/>
          <w:color w:val="auto"/>
        </w:rPr>
        <w:t xml:space="preserve"> </w:t>
      </w:r>
      <w:r>
        <w:rPr>
          <w:rFonts w:ascii="Arial" w:cs="Arial" w:eastAsia="Arial" w:hAnsi="Arial"/>
          <w:sz w:val="17"/>
          <w:szCs w:val="17"/>
          <w:color w:val="auto"/>
        </w:rPr>
        <w:t>market, employee illness, quarantines, and absenteeism.. The impacts of continued disruptions to our workforce have affected, are affecting, and are expected to continue to affect our business, financial condition, and/or results of operations.</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u w:val="single" w:color="auto"/>
          <w:color w:val="auto"/>
        </w:rPr>
        <w:t>Product Mix.</w:t>
      </w:r>
      <w:r>
        <w:rPr>
          <w:rFonts w:ascii="Arial" w:cs="Arial" w:eastAsia="Arial" w:hAnsi="Arial"/>
          <w:sz w:val="17"/>
          <w:szCs w:val="17"/>
          <w:i w:val="1"/>
          <w:iCs w:val="1"/>
          <w:color w:val="auto"/>
        </w:rPr>
        <w:t xml:space="preserve"> </w:t>
      </w:r>
      <w:r>
        <w:rPr>
          <w:rFonts w:ascii="Arial" w:cs="Arial" w:eastAsia="Arial" w:hAnsi="Arial"/>
          <w:sz w:val="17"/>
          <w:szCs w:val="17"/>
          <w:color w:val="auto"/>
        </w:rPr>
        <w:t>We sell products that have varying profit margins. Our financial performance can be impacted depending on the mix of products we sell</w:t>
      </w:r>
      <w:r>
        <w:rPr>
          <w:rFonts w:ascii="Arial" w:cs="Arial" w:eastAsia="Arial" w:hAnsi="Arial"/>
          <w:sz w:val="17"/>
          <w:szCs w:val="17"/>
          <w:i w:val="1"/>
          <w:iCs w:val="1"/>
          <w:color w:val="auto"/>
        </w:rPr>
        <w:t xml:space="preserve"> </w:t>
      </w:r>
      <w:r>
        <w:rPr>
          <w:rFonts w:ascii="Arial" w:cs="Arial" w:eastAsia="Arial" w:hAnsi="Arial"/>
          <w:sz w:val="17"/>
          <w:szCs w:val="17"/>
          <w:color w:val="auto"/>
        </w:rPr>
        <w:t>and to which customers, during a given period. The automotive industry is subject to rapid technological change, vigorous competition, short product life cycles and cyclical, ever-changing consumer demand patterns. When our customers are adversely affected by these factors, we may be similarly affected to the extent that our customers reduce the volume of orders for our products. As a result of such changes and circumstances impacting our customers, our sales mix can shift, which may have either favorable or unfavorable impact on revenue and would include shifts in regional growth, in OEM sales demand, as well as in consumer demand related to vehicle segment purchases, and content penetration. A decrease in consumer demand for specific types of vehicles where we have traditionally provided higher value content would have a significant effect on our business, financial condition, and/or results of operations. Our forward guidance and estimates assume a certain geographic sales mix as well as a product sales mix. When actual results vary from this projected geographic and product mix of sales, our business, financial condition, and/or results of operations are impacted.</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u w:val="single" w:color="auto"/>
          <w:color w:val="auto"/>
        </w:rPr>
        <w:t>Business Combinations.</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of businesses, technologies, and assets play a role in our future growth. We cannot be certain that we will be able</w:t>
      </w:r>
      <w:r>
        <w:rPr>
          <w:rFonts w:ascii="Arial" w:cs="Arial" w:eastAsia="Arial" w:hAnsi="Arial"/>
          <w:sz w:val="17"/>
          <w:szCs w:val="17"/>
          <w:i w:val="1"/>
          <w:iCs w:val="1"/>
          <w:color w:val="auto"/>
        </w:rPr>
        <w:t xml:space="preserve"> </w:t>
      </w:r>
      <w:r>
        <w:rPr>
          <w:rFonts w:ascii="Arial" w:cs="Arial" w:eastAsia="Arial" w:hAnsi="Arial"/>
          <w:sz w:val="17"/>
          <w:szCs w:val="17"/>
          <w:color w:val="auto"/>
        </w:rPr>
        <w:t>to identify attractive acquisition targets, have resources available for or obtain financing for acquisitions on satisfactory terms, successfully acquire identified targets or manage timing of acquisitions with capital obligations across our businesses. Additionally, we may not be successful in integrating acquired businesses into our existing operations, achieving projected synergies, and/or maximizing the value of acquired technologies and businesses. Competition for acquisition opportunities in the various industries in which we operate already exists and may increase, thereby increasing our costs of making acquisitions or causing us to refrain from making further acquisitions. We are also subject to applicable antitrust laws and must avoid anticompetitive behavior. These and other acquisition-related factors may negatively and adversely impact our business, financial condition, and/or results of operations.</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u w:val="single" w:color="auto"/>
          <w:color w:val="auto"/>
        </w:rPr>
        <w:t>Intellectual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We believe that our patents and trade secrets provide us with a competitive advantage in automotive rearview mirrors,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dimmable devices, certain electronics, and fire protection products, although no single patent is necessarily required for the success of our products. The loss of any significant combination of patents and trade secrets regarding our products could adversely affect our business, financial condition, and/or results of operations. Lack of intellectual property protection in a number of countries, including China, represents a current and ongoing risk for the Company.</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New Technology and Product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We continue to invest significantly in engineering, research and development projects. Should these efforts</w:t>
      </w:r>
      <w:r>
        <w:rPr>
          <w:rFonts w:ascii="Arial" w:cs="Arial" w:eastAsia="Arial" w:hAnsi="Arial"/>
          <w:sz w:val="17"/>
          <w:szCs w:val="17"/>
          <w:i w:val="1"/>
          <w:iCs w:val="1"/>
          <w:color w:val="auto"/>
        </w:rPr>
        <w:t xml:space="preserve"> </w:t>
      </w:r>
      <w:r>
        <w:rPr>
          <w:rFonts w:ascii="Arial" w:cs="Arial" w:eastAsia="Arial" w:hAnsi="Arial"/>
          <w:sz w:val="17"/>
          <w:szCs w:val="17"/>
          <w:color w:val="auto"/>
        </w:rPr>
        <w:t>ultimately prove unsuccessful, our business, financial condition, and/or results of operations could be adversely affected.</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Intellectual Property Litigation and Infringement Claims.</w:t>
      </w:r>
      <w:r>
        <w:rPr>
          <w:rFonts w:ascii="Arial" w:cs="Arial" w:eastAsia="Arial" w:hAnsi="Arial"/>
          <w:sz w:val="17"/>
          <w:szCs w:val="17"/>
          <w:i w:val="1"/>
          <w:iCs w:val="1"/>
          <w:color w:val="auto"/>
        </w:rPr>
        <w:t xml:space="preserve"> </w:t>
      </w:r>
      <w:r>
        <w:rPr>
          <w:rFonts w:ascii="Arial" w:cs="Arial" w:eastAsia="Arial" w:hAnsi="Arial"/>
          <w:sz w:val="17"/>
          <w:szCs w:val="17"/>
          <w:color w:val="auto"/>
        </w:rPr>
        <w:t>A successful claim of patent or other intellectual property infringement and damages against us</w:t>
      </w:r>
      <w:r>
        <w:rPr>
          <w:rFonts w:ascii="Arial" w:cs="Arial" w:eastAsia="Arial" w:hAnsi="Arial"/>
          <w:sz w:val="17"/>
          <w:szCs w:val="17"/>
          <w:i w:val="1"/>
          <w:iCs w:val="1"/>
          <w:color w:val="auto"/>
        </w:rPr>
        <w:t xml:space="preserve"> </w:t>
      </w:r>
      <w:r>
        <w:rPr>
          <w:rFonts w:ascii="Arial" w:cs="Arial" w:eastAsia="Arial" w:hAnsi="Arial"/>
          <w:sz w:val="17"/>
          <w:szCs w:val="17"/>
          <w:color w:val="auto"/>
        </w:rPr>
        <w:t>could affect business, financial condition, and/or results of operations. If a person or company claims that our products infringed their intellectual property rights, any resulting litigation would be costly, time consuming, and would divert the attention of management and key personnel from other business issues. The complexity of the technology involved in our business and the uncertainty of intellectual property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7"/>
          <w:szCs w:val="17"/>
          <w:color w:val="auto"/>
        </w:rPr>
        <w:t>litigation significantly increases these risks and makes such risk part of our ongoing business. To that end, we periodically obtain intellectual property rights, in the ordinary course of business, to strengthen our intellectual property portfolio and minimize potential risks of infringement. The increasing tendency of patents granted to others on combinations of known technology is a potential threat to our Company. Any of these adverse consequences could potentially have an effect on our business, financial condition and/or results of operations.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u w:val="single" w:color="auto"/>
          <w:color w:val="auto"/>
        </w:rPr>
        <w:t>Credit Risk.</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automakers and Tier 1 customers from time to time may consider the sale of certain business segments or bankruptcy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financial stress. Should one or more of our larger customers (including sales through their Tier 1 suppliers) declare bankruptcy or sell their business, it could adversely affect the collection of receivables, our business, financial condition, and/or results of operations. The current economic environment continues to cause increased financial pressures and production stresses on our customers, which could impact the timeliness of customer payments and ultimately the collectability of receivables.</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allowance for doubtful accounts primarily relates to financially distressed automotive mirror and electronics customers. We continue to work with these financially distressed customers in collecting past due balances. Refer to </w:t>
      </w:r>
      <w:r>
        <w:rPr>
          <w:rFonts w:ascii="Arial" w:cs="Arial" w:eastAsia="Arial" w:hAnsi="Arial"/>
          <w:sz w:val="17"/>
          <w:szCs w:val="17"/>
          <w:u w:val="single" w:color="auto"/>
          <w:color w:val="0000FF"/>
        </w:rPr>
        <w:t>Note 1</w:t>
      </w:r>
      <w:r>
        <w:rPr>
          <w:rFonts w:ascii="Arial" w:cs="Arial" w:eastAsia="Arial" w:hAnsi="Arial"/>
          <w:sz w:val="17"/>
          <w:szCs w:val="17"/>
          <w:color w:val="auto"/>
        </w:rPr>
        <w:t xml:space="preserve"> of the </w:t>
      </w:r>
      <w:r>
        <w:rPr>
          <w:rFonts w:ascii="Arial" w:cs="Arial" w:eastAsia="Arial" w:hAnsi="Arial"/>
          <w:sz w:val="17"/>
          <w:szCs w:val="17"/>
          <w:u w:val="single" w:color="auto"/>
          <w:color w:val="0000FF"/>
        </w:rPr>
        <w:t>Consolidated Financial Statements</w:t>
      </w:r>
      <w:r>
        <w:rPr>
          <w:rFonts w:ascii="Arial" w:cs="Arial" w:eastAsia="Arial" w:hAnsi="Arial"/>
          <w:sz w:val="17"/>
          <w:szCs w:val="17"/>
          <w:color w:val="auto"/>
        </w:rPr>
        <w:t>.</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u w:val="single" w:color="auto"/>
          <w:color w:val="auto"/>
        </w:rPr>
        <w:t>Business Disruptions.</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of our proprietary products employing electro-optic technology is performed primarily at our manufacturing</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in Zeeland and Holland, Michigan. One of our manufacturing facilities is located in Holland, Michigan, which is approximately three miles from our other primary manufacturing facilities in Zeeland, Michigan. Should a catastrophic event occur, our ability to manufacture product, complete existing orders and provide other services could be severely impacted for an undetermined period of time. We have purchased business interruption insurance to address some of these risks. Our inability to conduct normal business operations for a period of time may have an adverse impact on our business, financial condition, and/or results of operations.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u w:val="single" w:color="auto"/>
          <w:color w:val="auto"/>
        </w:rPr>
        <w:t>IT Infrastructure and Cybersecurity</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Any failure of our information technology ("IT") infrastructure adversely impacts our business, financial condition,</w:t>
      </w:r>
      <w:r>
        <w:rPr>
          <w:rFonts w:ascii="Arial" w:cs="Arial" w:eastAsia="Arial" w:hAnsi="Arial"/>
          <w:sz w:val="17"/>
          <w:szCs w:val="17"/>
          <w:i w:val="1"/>
          <w:iCs w:val="1"/>
          <w:color w:val="auto"/>
        </w:rPr>
        <w:t xml:space="preserve"> </w:t>
      </w:r>
      <w:r>
        <w:rPr>
          <w:rFonts w:ascii="Arial" w:cs="Arial" w:eastAsia="Arial" w:hAnsi="Arial"/>
          <w:sz w:val="17"/>
          <w:szCs w:val="17"/>
          <w:color w:val="auto"/>
        </w:rPr>
        <w:t>and/or results of operations. We rely upon the capacity, reliability and security of our information technology infrastructure and our ability to expand and continually update this infrastructure in response to the changing needs of our business. For example, we have implemented enterprise resource planning and other IT systems in certain aspects of our business over a period of several years and continue to update and further implement new systems going forward. Like many systems, these systems may not always perform as expected. We also face the challenge of supporting our older systems and implementing necessary upgrades. When we experience a problem with the functioning of an important IT system or a security breach of our IT systems, the resulting disruptions have an adverse effect on our business, financial condition, and/or results of operations.</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face certain security threats, including threats to the confidentiality, availability and integrity of our data and systems. We maintain an extensive network of technical security controls, policy enforcement mechanisms, monitoring systems and management and Board oversight in order to address these threats. While these measures are designed to prevent, detect and respond to unauthorized activity in, or otherwise compromise of, our systems, certain types of attacks, including cyber-attacks, could result in significant financial or information losses and/or reputational harm. We, and certain of our third-party vendors, receive and store personal information in connection with our human resources operations and other aspects of our business. Despite our implementation of security measures, our IT systems, like all IT systems, are vulnerable to damages from computer viruses, natural disasters, unauthorized access, cyber-attack and other similar disruptions. Any such system failure, accident or security breach results in disruptions to our operations. A material network breach in the security of our IT systems could include the theft of our intellectual property, trade secrets or customer information. To the extent that any disruptions or security breach results in a loss or damage to our data, or an inappropriate disclosure of confidential or customer information, it could cause significant damage to our reputation, affect our relationships with our customers, lead to claims against the Company and ultimately harm our business, reputation, financial condition, and/or results of operations. In addition, we incur significant costs to protect against damage caused by these disruptions or security breaches.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u w:val="single" w:color="auto"/>
          <w:color w:val="auto"/>
        </w:rPr>
        <w:t>Government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 Dodd-Frank Wall Street Reform and Consumer Protection Act contains provisions to improve transparency and</w:t>
      </w:r>
      <w:r>
        <w:rPr>
          <w:rFonts w:ascii="Arial" w:cs="Arial" w:eastAsia="Arial" w:hAnsi="Arial"/>
          <w:sz w:val="17"/>
          <w:szCs w:val="17"/>
          <w:i w:val="1"/>
          <w:iCs w:val="1"/>
          <w:color w:val="auto"/>
        </w:rPr>
        <w:t xml:space="preserve"> </w:t>
      </w:r>
      <w:r>
        <w:rPr>
          <w:rFonts w:ascii="Arial" w:cs="Arial" w:eastAsia="Arial" w:hAnsi="Arial"/>
          <w:sz w:val="17"/>
          <w:szCs w:val="17"/>
          <w:color w:val="auto"/>
        </w:rPr>
        <w:t>accountability concerning the supply of certain minerals, known as conflict minerals, originating from the Democratic Republic of Congo ("DRC") and adjoining countries. As a result, in August 2012 the SEC adopted annual disclosure and reporting requirements for those companies who use conflict minerals mined from the DRC and adjoining countries in their products. These requirements necessitate due diligence efforts, and the Company has disclosed its findings annually to the SEC on Form SD around May 30 each year since 2012. As there are only a limited number of suppliers offering "conflict free" minerals necessary for our products, the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7"/>
          <w:szCs w:val="17"/>
          <w:color w:val="auto"/>
        </w:rPr>
        <w:t>Company cannot always be absolutely certain that we will be able to obtain necessary conflict minerals from such suppliers in sufficient quantities or at competitive prices. Also, the Company may face reputational challenges if we determine that certain of our products contain minerals not determined to be conflict free or if the Company is unable to sufficiently verify the origins for all conflict minerals used in the Company's products through the procedures the Company has implemented.</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On December 8, 2015, NHTSA proposed changes to the Administration’s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originally intended to implement the enhancements in NCAP in 2018 beginning with model year 2019 vehicles. The NCAP implementation has been delayed. Under these proposed changes, the Company believes that its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technology will qualify with the semi-automatic headlamp NCAP rating system, and that its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On January 14, 2021, NHTSA issued a request for comment regarding NCAP with advanced driver assist features, including forward collision, lane keeping, blind spot detection and forward pedestrian impact avoidance technologies.</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noted, on October 10, 2019, an Advanced Notice of Proposed Rulemaking ("ANPRM") was published seeking public comment on permitting camera-based rear visibility systems, as an alternative to inside and outside rearview mirrors required under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 In November 2022, NHTSA conducted a public meeting and discussed the ongoing research of this technology.</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Antitakeover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Our articles of incorporation, bylaws, and the laws of the state of Michigan include provisions that may provide our Board with</w:t>
      </w:r>
      <w:r>
        <w:rPr>
          <w:rFonts w:ascii="Arial" w:cs="Arial" w:eastAsia="Arial" w:hAnsi="Arial"/>
          <w:sz w:val="17"/>
          <w:szCs w:val="17"/>
          <w:i w:val="1"/>
          <w:iCs w:val="1"/>
          <w:color w:val="auto"/>
        </w:rPr>
        <w:t xml:space="preserve"> </w:t>
      </w:r>
      <w:r>
        <w:rPr>
          <w:rFonts w:ascii="Arial" w:cs="Arial" w:eastAsia="Arial" w:hAnsi="Arial"/>
          <w:sz w:val="17"/>
          <w:szCs w:val="17"/>
          <w:color w:val="auto"/>
        </w:rPr>
        <w:t>adequate time to consider whether a hostile takeover offer is in our best interest and the best interests of our shareholders. These provisions, however, could discourage potential acquisition proposals and could delay or prevent a change in control.</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Fluctuations in Market Price.</w:t>
      </w:r>
      <w:r>
        <w:rPr>
          <w:rFonts w:ascii="Arial" w:cs="Arial" w:eastAsia="Arial" w:hAnsi="Arial"/>
          <w:sz w:val="17"/>
          <w:szCs w:val="17"/>
          <w:i w:val="1"/>
          <w:iCs w:val="1"/>
          <w:color w:val="auto"/>
        </w:rPr>
        <w:t xml:space="preserve"> </w:t>
      </w:r>
      <w:r>
        <w:rPr>
          <w:rFonts w:ascii="Arial" w:cs="Arial" w:eastAsia="Arial" w:hAnsi="Arial"/>
          <w:sz w:val="17"/>
          <w:szCs w:val="17"/>
          <w:color w:val="auto"/>
        </w:rPr>
        <w:t>The market price for our common stock has fluctuated, ranging from a low closing price of $25.77 to a high closing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$34.33 during calendar year 2023. The overall market and the price of our common stock may continue to fluctuate. There may be a significant impact on the market price for our common stock relating to the issues discussed above or due to any of the following:</w:t>
      </w:r>
    </w:p>
    <w:p>
      <w:pPr>
        <w:spacing w:after="0" w:line="188" w:lineRule="exact"/>
        <w:rPr>
          <w:sz w:val="20"/>
          <w:szCs w:val="20"/>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Variations in our anticipated or actual operating results or the results of our competitors;</w:t>
      </w:r>
    </w:p>
    <w:p>
      <w:pPr>
        <w:spacing w:after="0" w:line="21"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investors’ or analysts’ perceptions of the risks and conditions of our business and in particular our primary industry;</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Intellectual property litigation and infringement claims or other litigation;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size of the public float of our common stock;</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Market conditions, including the industry in which we operate; and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General macroeconomic conditions.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 Risk Factors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subject to income taxes in the U.S. and other foreign jurisdictions. Changes in tax rates, adoption of new tax laws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additional tax policies, and other proposals to reform United States and foreign tax laws could adversely affect the Company's operating results, cash flows, and financial condition. The Company’s domestic and international tax liabilities are dependent upon the location of earnings among these different jurisdictions.</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success depends on attracting and retaining qualified personnel. Throughout our Company, our ability to sustain and grow</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requires us to hire, retain and develop a highly skilled and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7"/>
          <w:szCs w:val="17"/>
          <w:color w:val="auto"/>
        </w:rPr>
        <w:t>diverse management team and workforce. Failure to ensure that we have the leadership capacity with the necessary skill sets and experience and a skilled workforce could impede our ability to deliver our growth objectives and execute our strategic plan. Organizational and reporting changes within management could result in, and low unemployment has contributed to, increased turnover. Turnover, inability to attract and retain key employees, including managers, or government mandated remote work have had, and may continue to have a negative effect on our business, financial condition and/or results of operations.</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u w:val="single" w:color="auto"/>
          <w:color w:val="auto"/>
        </w:rPr>
        <w:t>International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We currently conduct operations in various countries and jurisdictions, including purchasing raw materials and other supplies</w:t>
      </w:r>
      <w:r>
        <w:rPr>
          <w:rFonts w:ascii="Arial" w:cs="Arial" w:eastAsia="Arial" w:hAnsi="Arial"/>
          <w:sz w:val="17"/>
          <w:szCs w:val="17"/>
          <w:i w:val="1"/>
          <w:iCs w:val="1"/>
          <w:color w:val="auto"/>
        </w:rPr>
        <w:t xml:space="preserve"> </w:t>
      </w:r>
      <w:r>
        <w:rPr>
          <w:rFonts w:ascii="Arial" w:cs="Arial" w:eastAsia="Arial" w:hAnsi="Arial"/>
          <w:sz w:val="17"/>
          <w:szCs w:val="17"/>
          <w:color w:val="auto"/>
        </w:rPr>
        <w:t>from many different countries around the world, which subjects us to the legal, political, regulatory and social requirements as well as various economic conditions in these jurisdictions. Some of these countries are considered growth markets. International sales and operations, especially in growth markets, subject us to certain risks inherent in doing business abroad, including:</w:t>
      </w: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Exposure to local economic, political and labor conditions;</w:t>
      </w:r>
    </w:p>
    <w:p>
      <w:pPr>
        <w:spacing w:after="0" w:line="5" w:lineRule="exact"/>
        <w:rPr>
          <w:rFonts w:ascii="Arial" w:cs="Arial" w:eastAsia="Arial" w:hAnsi="Arial"/>
          <w:sz w:val="17"/>
          <w:szCs w:val="17"/>
          <w:color w:val="auto"/>
        </w:rPr>
      </w:pPr>
    </w:p>
    <w:p>
      <w:pPr>
        <w:ind w:left="600" w:hanging="297"/>
        <w:spacing w:after="0" w:line="247" w:lineRule="auto"/>
        <w:tabs>
          <w:tab w:leader="none" w:pos="702" w:val="left"/>
        </w:tabs>
        <w:numPr>
          <w:ilvl w:val="0"/>
          <w:numId w:val="9"/>
        </w:numPr>
        <w:rPr>
          <w:rFonts w:ascii="Arial" w:cs="Arial" w:eastAsia="Arial" w:hAnsi="Arial"/>
          <w:sz w:val="17"/>
          <w:szCs w:val="17"/>
          <w:color w:val="auto"/>
        </w:rPr>
      </w:pPr>
      <w:r>
        <w:rPr>
          <w:rFonts w:ascii="Arial" w:cs="Arial" w:eastAsia="Arial" w:hAnsi="Arial"/>
          <w:sz w:val="17"/>
          <w:szCs w:val="17"/>
          <w:color w:val="auto"/>
        </w:rPr>
        <w:t>Unexpected changes in laws, regulations, trade or monetary or fiscal policy, including interest rates, foreign currency exchange rates and changes in the rate of inflation in the U.S. and other foreign countries;</w:t>
      </w:r>
    </w:p>
    <w:p>
      <w:pPr>
        <w:ind w:left="540" w:hanging="237"/>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Tariffs (as discussed herein), quotas, customs and other import or export restrictions and other trade barriers;</w:t>
      </w:r>
    </w:p>
    <w:p>
      <w:pPr>
        <w:spacing w:after="0" w:line="5" w:lineRule="exact"/>
        <w:rPr>
          <w:rFonts w:ascii="Arial" w:cs="Arial" w:eastAsia="Arial" w:hAnsi="Arial"/>
          <w:sz w:val="17"/>
          <w:szCs w:val="17"/>
          <w:color w:val="auto"/>
        </w:rPr>
      </w:pPr>
    </w:p>
    <w:p>
      <w:pPr>
        <w:ind w:left="600" w:hanging="297"/>
        <w:spacing w:after="0" w:line="247"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Natural disasters, political crises, and public health crises (e.g. pandemics), which have caused, are causing, and will likely continue to cause downtime and closures at both supplier and customer facilities;</w:t>
      </w: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Expropriation and nationalization;</w:t>
      </w:r>
    </w:p>
    <w:p>
      <w:pPr>
        <w:spacing w:after="0" w:line="5" w:lineRule="exact"/>
        <w:rPr>
          <w:rFonts w:ascii="Arial" w:cs="Arial" w:eastAsia="Arial" w:hAnsi="Arial"/>
          <w:sz w:val="17"/>
          <w:szCs w:val="17"/>
          <w:color w:val="auto"/>
        </w:rPr>
      </w:pPr>
    </w:p>
    <w:p>
      <w:pPr>
        <w:ind w:left="540" w:hanging="237"/>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Difficulty of enforcing agreements, collecting receivables and protecting assets through non-U.S. legal systems;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Reduced intellectual property protection;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Withholding and other taxes on remittances and other payments by subsidiaries;</w:t>
      </w:r>
    </w:p>
    <w:p>
      <w:pPr>
        <w:spacing w:after="0" w:line="5" w:lineRule="exact"/>
        <w:rPr>
          <w:rFonts w:ascii="Arial" w:cs="Arial" w:eastAsia="Arial" w:hAnsi="Arial"/>
          <w:sz w:val="17"/>
          <w:szCs w:val="17"/>
          <w:color w:val="auto"/>
        </w:rPr>
      </w:pPr>
    </w:p>
    <w:p>
      <w:pPr>
        <w:ind w:left="540" w:hanging="237"/>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Investment restrictions or requirements;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Export and import restrictions;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Violence and civil unrest in local countries;</w:t>
      </w:r>
    </w:p>
    <w:p>
      <w:pPr>
        <w:spacing w:after="0" w:line="5" w:lineRule="exact"/>
        <w:rPr>
          <w:rFonts w:ascii="Arial" w:cs="Arial" w:eastAsia="Arial" w:hAnsi="Arial"/>
          <w:sz w:val="17"/>
          <w:szCs w:val="17"/>
          <w:color w:val="auto"/>
        </w:rPr>
      </w:pPr>
    </w:p>
    <w:p>
      <w:pPr>
        <w:ind w:left="600" w:hanging="297"/>
        <w:spacing w:after="0" w:line="247" w:lineRule="auto"/>
        <w:tabs>
          <w:tab w:leader="none" w:pos="594"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Compliance with the requirements of an increasing body of applicable anti-bribery laws, including the U.S. Foreign Corrupt Practices Act, the U.K. Bribery Act and similar laws of various other countries; and</w:t>
      </w: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Exposure related to buying, selling and financing in currencies other than the local currencies of the countries in which we operate.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Other.</w:t>
      </w:r>
      <w:r>
        <w:rPr>
          <w:rFonts w:ascii="Arial" w:cs="Arial" w:eastAsia="Arial" w:hAnsi="Arial"/>
          <w:sz w:val="17"/>
          <w:szCs w:val="17"/>
          <w:i w:val="1"/>
          <w:iCs w:val="1"/>
          <w:color w:val="auto"/>
        </w:rPr>
        <w:t xml:space="preserve"> </w:t>
      </w:r>
      <w:r>
        <w:rPr>
          <w:rFonts w:ascii="Arial" w:cs="Arial" w:eastAsia="Arial" w:hAnsi="Arial"/>
          <w:sz w:val="17"/>
          <w:szCs w:val="17"/>
          <w:color w:val="auto"/>
        </w:rPr>
        <w:t>Other issues and uncertainties which could adversely impact our business, financial condition, and/or results of operations include:</w:t>
      </w:r>
    </w:p>
    <w:p>
      <w:pPr>
        <w:spacing w:after="0" w:line="232" w:lineRule="exact"/>
        <w:rPr>
          <w:sz w:val="20"/>
          <w:szCs w:val="20"/>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Rising commodity prices and inflation generally, where we are unable to recover such increases from customers;</w:t>
      </w:r>
    </w:p>
    <w:p>
      <w:pPr>
        <w:spacing w:after="0" w:line="21" w:lineRule="exact"/>
        <w:rPr>
          <w:rFonts w:ascii="Arial" w:cs="Arial" w:eastAsia="Arial" w:hAnsi="Arial"/>
          <w:sz w:val="17"/>
          <w:szCs w:val="17"/>
          <w:color w:val="auto"/>
        </w:rPr>
      </w:pPr>
    </w:p>
    <w:p>
      <w:pPr>
        <w:ind w:left="600" w:hanging="297"/>
        <w:spacing w:after="0" w:line="247"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Increasing interest rates impact our financial performance due to an increase in realized losses on the sale of fixed income investments and/or recognized losses due to a corresponding impairment adjustment on investment securities and can impact customer demand as well;</w:t>
      </w:r>
    </w:p>
    <w:p>
      <w:pPr>
        <w:jc w:val="both"/>
        <w:ind w:left="600" w:hanging="297"/>
        <w:spacing w:after="0" w:line="262" w:lineRule="auto"/>
        <w:tabs>
          <w:tab w:leader="none" w:pos="596"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General economic conditions continue to be of concern in many of the regions in which we do business, given that our primary industry is greatly impacted by overall general economic conditions. Any continued adverse worldwide economic conditions, currency exchange rates, trade war, war or significant terrorist acts, could each affect worldwide automotive sales and production levels, thereby impacting the Company;</w:t>
      </w:r>
    </w:p>
    <w:p>
      <w:pPr>
        <w:spacing w:after="0" w:line="1" w:lineRule="exact"/>
        <w:rPr>
          <w:rFonts w:ascii="Arial" w:cs="Arial" w:eastAsia="Arial" w:hAnsi="Arial"/>
          <w:sz w:val="16"/>
          <w:szCs w:val="16"/>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Public health crises (e.g. pandemics) that can result in part shortages, labor shortages, or other impacts to the supply chain or customers;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Manufacturing yield issues; and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Obligations and costs associated with addressing quality issues or warranty claims.</w:t>
      </w:r>
    </w:p>
    <w:p>
      <w:pPr>
        <w:spacing w:after="0" w:line="216"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8" w:name="page19"/>
    <w:bookmarkEnd w:id="18"/>
    <w:p>
      <w:pPr>
        <w:spacing w:after="0"/>
        <w:tabs>
          <w:tab w:leader="none" w:pos="820" w:val="left"/>
        </w:tabs>
        <w:rPr>
          <w:sz w:val="20"/>
          <w:szCs w:val="20"/>
          <w:color w:val="auto"/>
        </w:rPr>
      </w:pPr>
      <w:r>
        <w:rPr>
          <w:rFonts w:ascii="Arial" w:cs="Arial" w:eastAsia="Arial" w:hAnsi="Arial"/>
          <w:sz w:val="17"/>
          <w:szCs w:val="17"/>
          <w:b w:val="1"/>
          <w:bCs w:val="1"/>
          <w:color w:val="auto"/>
        </w:rPr>
        <w:t>Item 1C.</w:t>
      </w:r>
      <w:r>
        <w:rPr>
          <w:sz w:val="20"/>
          <w:szCs w:val="20"/>
          <w:color w:val="auto"/>
        </w:rPr>
        <w:tab/>
      </w:r>
      <w:r>
        <w:rPr>
          <w:rFonts w:ascii="Arial" w:cs="Arial" w:eastAsia="Arial" w:hAnsi="Arial"/>
          <w:sz w:val="16"/>
          <w:szCs w:val="16"/>
          <w:b w:val="1"/>
          <w:bCs w:val="1"/>
          <w:color w:val="auto"/>
        </w:rPr>
        <w:t>Cybersecurity.</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 Management and Strategy</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 has implemented and maintain multiple layers of physical, administrative and technical security processes designed to protect our manufacturing facilities from disruptions that may result from cybersecurity incidents, as well as safeguard the confidentiality of our critical systems, and data residing on those systems, including employee data, customer data, and intellectual property. Our risk assessment and management of material risks from cybersecurity threats is integrated into our overall enterprise risk management process, as well as our information systems processes. Our strategy includes regular formal risk assessments, dynamic risk and threat analysis, utilization of security tools, regular cybersecurity-related tabletop and phishing exercises designed to simulate cybersecurity incidents, and frequent security awareness and technical security trainings. We conduct periodic internal and third-party assessments to evaluate our cybersecurity posture and test and assess our incident response program, incident roles and responsibilities, material impact evaluation, and decision-making processes in the event of a cybersecurity incident. We use our risk and security assessments to enhance our information security capabilities.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an incident response policy, plan, procedures and scenario-based playbooks, an incident detection and response program, a vulnerability management program, disaster recovery and business continuity plans, risk assessment processes, security standards, network security controls, access controls, systems monitoring, employee awareness training and cybersecurity insurance. The Company has obtained Trusted Information Security Assessment Exchange (TISAX) certification labels within the United States and Germany.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internal information security team oversees and works collaboratively with various information security service providers. Our cybersecurity program incorporates external guidance and expertise through the use of third-party service providers to assist in the identification, assessment and management of risks specific to cybersecurity threats, including vendors providing threat intelligence, risk mitigation, dark web monitoring, external scanning and scoring, threat and reputation monitoring, forensics, cyber-insurance, advisory services and legal counsel.</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an incident response plan that includes scenario-based playbooks for managing cybersecurity incidents and associated crisis communication procedures designed to facilitate coordination across the Company and with our partners, customers, the public and others.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For the year ended December 31, 2023, there have been no risks from cybersecurity threats that have materially affected or are reasonably likely to materially affect our business strategy, results of operations or financial condition. For a description of risks related to our information technology systems, including cybersecurity threats, see </w:t>
      </w:r>
      <w:r>
        <w:rPr>
          <w:rFonts w:ascii="Arial" w:cs="Arial" w:eastAsia="Arial" w:hAnsi="Arial"/>
          <w:sz w:val="17"/>
          <w:szCs w:val="17"/>
          <w:u w:val="single" w:color="auto"/>
          <w:color w:val="0000FF"/>
        </w:rPr>
        <w:t>Item 1A, "Risk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Governance</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Board addresses our cybersecurity risk management as part of its general oversight function. The Audit Committee of the Board (the "Audit Committee") is responsible for overseeing our cybersecurity risk management processes, including our assessment and mitigation of material risks from cybersecurity threats. The Audit Committee receives regular reports, summaries or presentations related to cybersecurity threats, risk, mitigation and related processes from our information technology and cybersecurity experts. In addition, on at least an annual basis, the Board receives reports, summaries or presentations related to cybersecurity threats, risk, mitigation and related processes.</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cybersecurity risk assessment and management processes are implemented and maintained by our VP of Information Technology and Information Security Officer ("VP of IT"), who is supported by other members of management, as necessary. Our VP of IT is responsible for approving budgets, cybersecurity incident preparedness, approving cybersecurity processes, reviewing security assessments and other security-related reports, and providing the Chief Financial Officer ("CFO") with regular updates on cybersecurity-related matters. The Company also has an IT Executive Steering Committee comprised of the VP of IT, CFO, General Counsel, CTO and VP of Operations. The VP of IT provides regular cybersecurity updates to the audit committee. The Company's VP of IT has served in this role for two years and has more than 24 years of relevant experience. In addition, we have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7"/>
          <w:szCs w:val="17"/>
          <w:color w:val="auto"/>
        </w:rPr>
        <w:t>an information security team comprised of dozens of employees dedicated to cybersecurity with extensive experience and relevant certifications. The VP of IT is responsible for hiring appropriate personnel, assisting with the integration of cybersecurity risk considerations into our overall risk management strategy, communicating key priorities to relevant personnel, and mitigating and remediating in the event of a cybersecurity incident.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cybersecurity incident response and vulnerability management programs are designed to escalate certain cybersecurity incidents to various levels of management depending on the circumstances, including our VP of Information Technology and Information Security Officer, General Counsel, CFO and/or Chief Executive Officer. Management works with our incident response team to help mitigate and remediate certain escalated cybersecurity incidents. In addition, our incident response and vulnerability management programs include reporting certain cybersecurity incidents to the Audit Committee and, in certain circumstances, to the Board.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December 31, 2023, the Company operates primarily out of facilities in Zeeland and Holland, Michigan, which consist of manufacturing, warehouse, and office space. The Company also operates a chemistry lab facility in Zeeland, Michigan to support production. In addition, the Company operates overseas offices in Europe and Asia as further discussed below. The location, square footage and use of the most significant facilities as of December 31, 2023 were as follows: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23"/>
        </w:trPr>
        <w:tc>
          <w:tcPr>
            <w:tcW w:w="3200" w:type="dxa"/>
            <w:vAlign w:val="bottom"/>
            <w:tcBorders>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Owned Locations</w:t>
            </w:r>
          </w:p>
        </w:tc>
        <w:tc>
          <w:tcPr>
            <w:tcW w:w="1420" w:type="dxa"/>
            <w:vAlign w:val="bottom"/>
            <w:tcBorders>
              <w:bottom w:val="single" w:sz="8" w:color="CCEEFF"/>
            </w:tcBorders>
            <w:gridSpan w:val="2"/>
            <w:vMerge w:val="restart"/>
            <w:shd w:val="clear" w:color="auto" w:fill="CCEEFF"/>
          </w:tcPr>
          <w:p>
            <w:pPr>
              <w:spacing w:after="0"/>
              <w:rPr>
                <w:sz w:val="20"/>
                <w:szCs w:val="20"/>
                <w:color w:val="auto"/>
              </w:rPr>
            </w:pPr>
            <w:r>
              <w:rPr>
                <w:rFonts w:ascii="Arial" w:cs="Arial" w:eastAsia="Arial" w:hAnsi="Arial"/>
                <w:sz w:val="13"/>
                <w:szCs w:val="13"/>
                <w:b w:val="1"/>
                <w:bCs w:val="1"/>
                <w:color w:val="auto"/>
              </w:rPr>
              <w:t>Square Footage</w:t>
            </w:r>
          </w:p>
        </w:tc>
        <w:tc>
          <w:tcPr>
            <w:tcW w:w="1980" w:type="dxa"/>
            <w:vAlign w:val="bottom"/>
            <w:tcBorders>
              <w:bottom w:val="single" w:sz="8" w:color="CCEEFF"/>
            </w:tcBorders>
            <w:gridSpan w:val="2"/>
            <w:vMerge w:val="restart"/>
            <w:shd w:val="clear" w:color="auto" w:fill="CCEEFF"/>
          </w:tcPr>
          <w:p>
            <w:pPr>
              <w:ind w:left="380"/>
              <w:spacing w:after="0"/>
              <w:rPr>
                <w:sz w:val="20"/>
                <w:szCs w:val="20"/>
                <w:color w:val="auto"/>
              </w:rPr>
            </w:pPr>
            <w:r>
              <w:rPr>
                <w:rFonts w:ascii="Arial" w:cs="Arial" w:eastAsia="Arial" w:hAnsi="Arial"/>
                <w:sz w:val="13"/>
                <w:szCs w:val="13"/>
                <w:b w:val="1"/>
                <w:bCs w:val="1"/>
                <w:color w:val="auto"/>
              </w:rPr>
              <w:t>Date of Acquisition/Build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2"/>
              </w:rPr>
              <w:t>(1)</w:t>
            </w:r>
          </w:p>
        </w:tc>
        <w:tc>
          <w:tcPr>
            <w:tcW w:w="200" w:type="dxa"/>
            <w:vAlign w:val="bottom"/>
            <w:tcBorders>
              <w:bottom w:val="single" w:sz="8" w:color="CCEEFF"/>
            </w:tcBorders>
            <w:vMerge w:val="restart"/>
            <w:shd w:val="clear" w:color="auto" w:fill="CCEEFF"/>
          </w:tcPr>
          <w:p>
            <w:pPr>
              <w:spacing w:after="0"/>
              <w:rPr>
                <w:sz w:val="10"/>
                <w:szCs w:val="10"/>
                <w:color w:val="auto"/>
              </w:rPr>
            </w:pPr>
          </w:p>
        </w:tc>
        <w:tc>
          <w:tcPr>
            <w:tcW w:w="4320" w:type="dxa"/>
            <w:vAlign w:val="bottom"/>
            <w:tcBorders>
              <w:bottom w:val="single" w:sz="8" w:color="CCEEFF"/>
            </w:tcBorders>
            <w:gridSpan w:val="3"/>
            <w:vMerge w:val="restart"/>
            <w:shd w:val="clear" w:color="auto" w:fill="CCEEFF"/>
          </w:tcPr>
          <w:p>
            <w:pPr>
              <w:ind w:left="180"/>
              <w:spacing w:after="0"/>
              <w:rPr>
                <w:sz w:val="20"/>
                <w:szCs w:val="20"/>
                <w:color w:val="auto"/>
              </w:rPr>
            </w:pPr>
            <w:r>
              <w:rPr>
                <w:rFonts w:ascii="Arial" w:cs="Arial" w:eastAsia="Arial" w:hAnsi="Arial"/>
                <w:sz w:val="13"/>
                <w:szCs w:val="13"/>
                <w:b w:val="1"/>
                <w:bCs w:val="1"/>
                <w:color w:val="auto"/>
              </w:rPr>
              <w:t>Use</w:t>
            </w:r>
          </w:p>
        </w:tc>
        <w:tc>
          <w:tcPr>
            <w:tcW w:w="0" w:type="dxa"/>
            <w:vAlign w:val="bottom"/>
          </w:tcPr>
          <w:p>
            <w:pPr>
              <w:spacing w:after="0"/>
              <w:rPr>
                <w:sz w:val="1"/>
                <w:szCs w:val="1"/>
                <w:color w:val="auto"/>
              </w:rPr>
            </w:pPr>
          </w:p>
        </w:tc>
      </w:tr>
      <w:tr>
        <w:trPr>
          <w:trHeight w:val="20"/>
        </w:trPr>
        <w:tc>
          <w:tcPr>
            <w:tcW w:w="3200" w:type="dxa"/>
            <w:vAlign w:val="bottom"/>
            <w:gridSpan w:val="2"/>
            <w:vMerge w:val="continue"/>
            <w:shd w:val="clear" w:color="auto" w:fill="CCEEFF"/>
          </w:tcPr>
          <w:p>
            <w:pPr>
              <w:spacing w:after="0" w:line="20" w:lineRule="exact"/>
              <w:rPr>
                <w:sz w:val="1"/>
                <w:szCs w:val="1"/>
                <w:color w:val="auto"/>
              </w:rPr>
            </w:pPr>
          </w:p>
        </w:tc>
        <w:tc>
          <w:tcPr>
            <w:tcW w:w="1420" w:type="dxa"/>
            <w:vAlign w:val="bottom"/>
            <w:gridSpan w:val="2"/>
            <w:vMerge w:val="continue"/>
            <w:shd w:val="clear" w:color="auto" w:fill="CCEEFF"/>
          </w:tcPr>
          <w:p>
            <w:pPr>
              <w:spacing w:after="0" w:line="20" w:lineRule="exact"/>
              <w:rPr>
                <w:sz w:val="1"/>
                <w:szCs w:val="1"/>
                <w:color w:val="auto"/>
              </w:rPr>
            </w:pPr>
          </w:p>
        </w:tc>
        <w:tc>
          <w:tcPr>
            <w:tcW w:w="1980" w:type="dxa"/>
            <w:vAlign w:val="bottom"/>
            <w:gridSpan w:val="2"/>
            <w:vMerge w:val="continue"/>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vMerge w:val="continue"/>
            <w:shd w:val="clear" w:color="auto" w:fill="CCEEFF"/>
          </w:tcPr>
          <w:p>
            <w:pPr>
              <w:spacing w:after="0" w:line="20" w:lineRule="exact"/>
              <w:rPr>
                <w:sz w:val="1"/>
                <w:szCs w:val="1"/>
                <w:color w:val="auto"/>
              </w:rPr>
            </w:pPr>
          </w:p>
        </w:tc>
        <w:tc>
          <w:tcPr>
            <w:tcW w:w="4320" w:type="dxa"/>
            <w:vAlign w:val="bottom"/>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1120" w:type="dxa"/>
            <w:vAlign w:val="bottom"/>
            <w:shd w:val="clear" w:color="auto" w:fill="000000"/>
          </w:tcPr>
          <w:p>
            <w:pPr>
              <w:spacing w:after="0"/>
              <w:rPr>
                <w:sz w:val="3"/>
                <w:szCs w:val="3"/>
                <w:color w:val="auto"/>
              </w:rPr>
            </w:pPr>
          </w:p>
        </w:tc>
        <w:tc>
          <w:tcPr>
            <w:tcW w:w="2080" w:type="dxa"/>
            <w:vAlign w:val="bottom"/>
            <w:shd w:val="clear" w:color="auto" w:fill="CCEEFF"/>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3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120" w:type="dxa"/>
            <w:vAlign w:val="bottom"/>
          </w:tcPr>
          <w:p>
            <w:pPr>
              <w:ind w:left="20"/>
              <w:spacing w:after="0"/>
              <w:rPr>
                <w:sz w:val="20"/>
                <w:szCs w:val="20"/>
                <w:color w:val="auto"/>
              </w:rPr>
            </w:pPr>
            <w:r>
              <w:rPr>
                <w:rFonts w:ascii="Arial" w:cs="Arial" w:eastAsia="Arial" w:hAnsi="Arial"/>
                <w:sz w:val="17"/>
                <w:szCs w:val="17"/>
                <w:color w:val="auto"/>
              </w:rPr>
              <w:t>Zeeland, MI</w:t>
            </w:r>
          </w:p>
        </w:tc>
        <w:tc>
          <w:tcPr>
            <w:tcW w:w="20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26,600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3"/>
          </w:tcPr>
          <w:p>
            <w:pPr>
              <w:jc w:val="right"/>
              <w:ind w:right="200"/>
              <w:spacing w:after="0"/>
              <w:rPr>
                <w:sz w:val="20"/>
                <w:szCs w:val="20"/>
                <w:color w:val="auto"/>
              </w:rPr>
            </w:pPr>
            <w:r>
              <w:rPr>
                <w:rFonts w:ascii="Arial" w:cs="Arial" w:eastAsia="Arial" w:hAnsi="Arial"/>
                <w:sz w:val="17"/>
                <w:szCs w:val="17"/>
                <w:color w:val="auto"/>
              </w:rPr>
              <w:t>1970</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Warehouse, Office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197,200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1972</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 Office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70,000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1989</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Manufacturing</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1989</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Office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359,100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1996</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Manufacturing</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2000</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334,000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2006</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Manufacturing, Office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2010</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 Warehouse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31,800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2011</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Office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349,600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2016</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 Warehouse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258,400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2018</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Warehouse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345,000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2023</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 Warehouse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Holland,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242,300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2012</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Manufacturing, Warehouse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Holland,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2021</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Office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Erlenbach, Germany</w:t>
            </w:r>
          </w:p>
        </w:tc>
        <w:tc>
          <w:tcPr>
            <w:tcW w:w="1020" w:type="dxa"/>
            <w:vAlign w:val="bottom"/>
          </w:tcPr>
          <w:p>
            <w:pPr>
              <w:jc w:val="right"/>
              <w:spacing w:after="0"/>
              <w:rPr>
                <w:sz w:val="20"/>
                <w:szCs w:val="20"/>
                <w:color w:val="auto"/>
              </w:rPr>
            </w:pPr>
            <w:r>
              <w:rPr>
                <w:rFonts w:ascii="Arial" w:cs="Arial" w:eastAsia="Arial" w:hAnsi="Arial"/>
                <w:sz w:val="17"/>
                <w:szCs w:val="17"/>
                <w:color w:val="auto"/>
              </w:rPr>
              <w:t>90,000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2003</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Office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Shanghai, China</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2006</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Office, Warehouse</w:t>
            </w:r>
          </w:p>
        </w:tc>
        <w:tc>
          <w:tcPr>
            <w:tcW w:w="0" w:type="dxa"/>
            <w:vAlign w:val="bottom"/>
          </w:tcPr>
          <w:p>
            <w:pPr>
              <w:spacing w:after="0"/>
              <w:rPr>
                <w:sz w:val="1"/>
                <w:szCs w:val="1"/>
                <w:color w:val="auto"/>
              </w:rPr>
            </w:pPr>
          </w:p>
        </w:tc>
      </w:tr>
      <w:tr>
        <w:trPr>
          <w:trHeight w:val="222"/>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Shanghai, China</w:t>
            </w:r>
          </w:p>
        </w:tc>
        <w:tc>
          <w:tcPr>
            <w:tcW w:w="1020" w:type="dxa"/>
            <w:vAlign w:val="bottom"/>
          </w:tcPr>
          <w:p>
            <w:pPr>
              <w:jc w:val="right"/>
              <w:spacing w:after="0"/>
              <w:rPr>
                <w:sz w:val="20"/>
                <w:szCs w:val="20"/>
                <w:color w:val="auto"/>
              </w:rPr>
            </w:pPr>
            <w:r>
              <w:rPr>
                <w:rFonts w:ascii="Arial" w:cs="Arial" w:eastAsia="Arial" w:hAnsi="Arial"/>
                <w:sz w:val="17"/>
                <w:szCs w:val="17"/>
                <w:color w:val="auto"/>
              </w:rPr>
              <w:t>85,000</w:t>
            </w:r>
          </w:p>
        </w:tc>
        <w:tc>
          <w:tcPr>
            <w:tcW w:w="400" w:type="dxa"/>
            <w:vAlign w:val="bottom"/>
          </w:tcPr>
          <w:p>
            <w:pPr>
              <w:spacing w:after="0"/>
              <w:rPr>
                <w:sz w:val="19"/>
                <w:szCs w:val="19"/>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2017</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Office, Warehouse, Light Assembly</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3"/>
          <w:szCs w:val="13"/>
          <w:color w:val="auto"/>
        </w:rPr>
        <w:t>Date of Acquisition/Build refers to first year of operations and does not refer to subsequent additions or expansions.</w:t>
      </w:r>
    </w:p>
    <w:p>
      <w:pPr>
        <w:spacing w:after="0" w:line="2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2021, the Company completed construction of a 36,000 square -foot addition to its main corporate office and manufacturing facility to expand its chemistry lab facilities, with a total cost of approximately $10 million, which was funded from cash and cash equivalents on hand.</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Additionally, in the fourth quarter of 2023, the Company completed construction on a 345,000 square-foot manufacturing facility located at a 140 acre site in Zeeland, Michigan, where the Company previously performed master planning and completed land infrastructure improvements. The total cost of the building project was approximately $85 million, which was funded with cash and cash equivalents on hand.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began construction on two building expansions during the second quarter of 2022. The Company is expanding its current distribution center by an additional 300,000 square feet, with a total cost still expected to be approximately $40 - $45 million. The Company is also expanding another of its manufacturing facilities by an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20" w:name="page21"/>
    <w:bookmarkEnd w:id="20"/>
    <w:p>
      <w:pPr>
        <w:jc w:val="both"/>
        <w:spacing w:after="0" w:line="279" w:lineRule="auto"/>
        <w:rPr>
          <w:sz w:val="20"/>
          <w:szCs w:val="20"/>
          <w:color w:val="auto"/>
        </w:rPr>
      </w:pPr>
      <w:r>
        <w:rPr>
          <w:rFonts w:ascii="Arial" w:cs="Arial" w:eastAsia="Arial" w:hAnsi="Arial"/>
          <w:sz w:val="17"/>
          <w:szCs w:val="17"/>
          <w:color w:val="auto"/>
        </w:rPr>
        <w:t>additional 60,000 feet, with a total cost still expected to be $ 20 - $30 million. Both of these expansion projects will be funded with cash and cash equivalents on hand. Both facilities are expected to operational sometime in 2024.</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2023, the Company began the design and initial build phase of the previously announced Gentex Discovery Preschool, an on-site daycare and preschool designed to provide Company employees with convenient, cost-effective access to quality childcare. Construction is expected to begin in 2024, subject to regulatory approval as a result of wetlands mitigation, with an expected completion date in 2025. The total cost of the building project is expected to be $12 - $15 million, which will be funded with cash and cash equivalents on hand.</w:t>
      </w:r>
    </w:p>
    <w:p>
      <w:pPr>
        <w:spacing w:after="0" w:line="194"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 also has leased sales and engineering offices throughout North America, Europe, and Asia to support its sales and engineering efforts, as well as a leased manufacturing facility in Grand Rapids, Michigan: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Country</w:t>
            </w:r>
          </w:p>
        </w:tc>
        <w:tc>
          <w:tcPr>
            <w:tcW w:w="786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rPr>
              <w:t>Number of Leased Offices/Facilities</w:t>
            </w:r>
          </w:p>
        </w:tc>
        <w:tc>
          <w:tcPr>
            <w:tcW w:w="540" w:type="dxa"/>
            <w:vAlign w:val="bottom"/>
            <w:tcBorders>
              <w:bottom w:val="single" w:sz="8" w:color="CCEEFF"/>
            </w:tcBorders>
            <w:shd w:val="clear" w:color="auto" w:fill="CCEEFF"/>
          </w:tcPr>
          <w:p>
            <w:pPr>
              <w:spacing w:after="0"/>
              <w:rPr>
                <w:sz w:val="14"/>
                <w:szCs w:val="14"/>
                <w:color w:val="auto"/>
              </w:rPr>
            </w:pPr>
          </w:p>
        </w:tc>
      </w:tr>
      <w:tr>
        <w:trPr>
          <w:trHeight w:val="214"/>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7"/>
                <w:szCs w:val="17"/>
                <w:color w:val="auto"/>
              </w:rPr>
              <w:t>United States</w:t>
            </w:r>
          </w:p>
        </w:tc>
        <w:tc>
          <w:tcPr>
            <w:tcW w:w="228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54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Germany</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5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7"/>
                <w:szCs w:val="17"/>
                <w:color w:val="auto"/>
              </w:rPr>
              <w:t>Japan</w:t>
            </w:r>
          </w:p>
        </w:tc>
        <w:tc>
          <w:tcPr>
            <w:tcW w:w="228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54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Canada</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5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7"/>
                <w:szCs w:val="17"/>
                <w:color w:val="auto"/>
              </w:rPr>
              <w:t>Israel</w:t>
            </w:r>
          </w:p>
        </w:tc>
        <w:tc>
          <w:tcPr>
            <w:tcW w:w="228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54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United Kingdom</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5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7"/>
                <w:szCs w:val="17"/>
                <w:color w:val="auto"/>
              </w:rPr>
              <w:t>France</w:t>
            </w:r>
          </w:p>
        </w:tc>
        <w:tc>
          <w:tcPr>
            <w:tcW w:w="228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54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Sweden</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5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Arial" w:cs="Arial" w:eastAsia="Arial" w:hAnsi="Arial"/>
                <w:sz w:val="17"/>
                <w:szCs w:val="17"/>
                <w:color w:val="auto"/>
              </w:rPr>
              <w:t>Korea</w:t>
            </w:r>
          </w:p>
        </w:tc>
        <w:tc>
          <w:tcPr>
            <w:tcW w:w="228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540" w:type="dxa"/>
            <w:vAlign w:val="bottom"/>
          </w:tcPr>
          <w:p>
            <w:pPr>
              <w:spacing w:after="0"/>
              <w:rPr>
                <w:sz w:val="19"/>
                <w:szCs w:val="19"/>
                <w:color w:val="auto"/>
              </w:rPr>
            </w:pPr>
          </w:p>
        </w:tc>
      </w:tr>
    </w:tbl>
    <w:p>
      <w:pPr>
        <w:spacing w:after="0" w:line="177"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The Company's Automotive Products segment operates in virtually all of the foregoing facilities. The Company's Other segment operates in certain Zeeland, Michigan facilities, as well as a research and development offices in Salt Lake City, Utah; Santa Clara, CA; Canada; and Israel.</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Capacity.</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believes its existing and planned facilities are currently suitable, adequate, and have the capacity required for current and near-term planned business. Nevertheless, the Company continues to evaluate longer term facilities needs.</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estimates that it currently has building capacity to manufacture approximately 34 - 37 million interior automatic-dimming mirror units annually, based on current product mix (excluding the impact of the above referenced construction). The Company evaluates equipment capacity on an ongoing basis and adds equipment as needed. In 2023, the Company shipped 31.8 million interior automatic-dimming mirrors.</w:t>
      </w:r>
    </w:p>
    <w:p>
      <w:pPr>
        <w:spacing w:after="0" w:line="10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automotive exterior mirror manufacturing facility has an estimated building capacity to manufacture approximately 19 - 22 million units annually, based on the current product mix (excluding the impact of the above referenced construction). The Company evaluates equipment capacity on an ongoing basis and adds equipment as needed. In 2023, the Company shipped approximately 18.8 million exterior automatic-dimming mirrors.</w:t>
      </w:r>
    </w:p>
    <w:p>
      <w:pPr>
        <w:spacing w:after="0" w:line="200" w:lineRule="exact"/>
        <w:rPr>
          <w:sz w:val="20"/>
          <w:szCs w:val="20"/>
          <w:color w:val="auto"/>
        </w:rPr>
      </w:pPr>
    </w:p>
    <w:p>
      <w:pPr>
        <w:spacing w:after="0" w:line="32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any matters that constitute material pending legal proceedings that will have a material adverse effect on the financial position, future results of operations, or cash flows of the Company.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PART II</w:t>
      </w:r>
    </w:p>
    <w:p>
      <w:pPr>
        <w:spacing w:after="0" w:line="39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Item 5. Market for the Registrant’s Common Equity, Related Stockholder Matters and Issuer Purchases of Equity Securities.</w:t>
      </w:r>
    </w:p>
    <w:p>
      <w:pPr>
        <w:spacing w:after="0" w:line="229" w:lineRule="exact"/>
        <w:rPr>
          <w:sz w:val="20"/>
          <w:szCs w:val="20"/>
          <w:color w:val="auto"/>
        </w:rPr>
      </w:pPr>
    </w:p>
    <w:p>
      <w:pPr>
        <w:ind w:left="380" w:hanging="379"/>
        <w:spacing w:after="0" w:line="234" w:lineRule="auto"/>
        <w:tabs>
          <w:tab w:leader="none" w:pos="26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Company’s common stock trades on The Nasdaq Global Select Market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under the symbol GNTX. As of February 1, 2024, there were 5,005 record-holders of the Company’s common stock and restricted common stock.</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0000FF"/>
        </w:rPr>
        <w:t>Item 12 of Part III</w:t>
      </w:r>
      <w:r>
        <w:rPr>
          <w:rFonts w:ascii="Arial" w:cs="Arial" w:eastAsia="Arial" w:hAnsi="Arial"/>
          <w:sz w:val="17"/>
          <w:szCs w:val="17"/>
          <w:color w:val="auto"/>
        </w:rPr>
        <w:t xml:space="preserve"> with respect to "Equity Compensation Plan Information", which is incorporated herein by reference.</w:t>
      </w:r>
    </w:p>
    <w:p>
      <w:pPr>
        <w:spacing w:after="0" w:line="144" w:lineRule="exact"/>
        <w:rPr>
          <w:sz w:val="20"/>
          <w:szCs w:val="20"/>
          <w:color w:val="auto"/>
        </w:rPr>
      </w:pPr>
    </w:p>
    <w:p>
      <w:pPr>
        <w:jc w:val="both"/>
        <w:ind w:left="380"/>
        <w:spacing w:after="0" w:line="263" w:lineRule="auto"/>
        <w:rPr>
          <w:sz w:val="20"/>
          <w:szCs w:val="20"/>
          <w:color w:val="auto"/>
        </w:rPr>
      </w:pPr>
      <w:r>
        <w:rPr>
          <w:rFonts w:ascii="Arial" w:cs="Arial" w:eastAsia="Arial" w:hAnsi="Arial"/>
          <w:sz w:val="17"/>
          <w:szCs w:val="17"/>
          <w:color w:val="auto"/>
        </w:rPr>
        <w:t>Stock Performance Graph: The following graph depicts the cumulative total return on the Company’s common stock compared to the cumulative total return on the Nasdaq Composite Index (all U.S. companies) and the Dow Jones U.S. Auto Parts Index (excluding tire and rubber makers). The graph assumes an investment of $100 on the last trading day of 2018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81915</wp:posOffset>
            </wp:positionV>
            <wp:extent cx="5160645" cy="3738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0645" cy="373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80"/>
        <w:spacing w:after="0" w:line="263" w:lineRule="auto"/>
        <w:rPr>
          <w:sz w:val="20"/>
          <w:szCs w:val="20"/>
          <w:color w:val="auto"/>
        </w:rPr>
      </w:pPr>
      <w:r>
        <w:rPr>
          <w:rFonts w:ascii="Arial" w:cs="Arial" w:eastAsia="Arial" w:hAnsi="Arial"/>
          <w:sz w:val="17"/>
          <w:szCs w:val="17"/>
          <w:color w:val="auto"/>
        </w:rPr>
        <w:t>In February 2022, the Board approved a continuing resolution to pay a quarterly dividend at a rate of $0.120 per share until the Board takes other action with respect to the payment of dividends. The Company intends to continue to pay a quarterly cash dividend and will consider future dividend rate adjustments based on the Company’s financial condition, profitability, cash flow, liquidity and other relevant business factors.</w:t>
      </w:r>
    </w:p>
    <w:p>
      <w:pPr>
        <w:spacing w:after="0" w:line="125" w:lineRule="exact"/>
        <w:rPr>
          <w:sz w:val="20"/>
          <w:szCs w:val="20"/>
          <w:color w:val="auto"/>
        </w:rPr>
      </w:pPr>
    </w:p>
    <w:p>
      <w:pPr>
        <w:ind w:left="260" w:hanging="259"/>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32" w:lineRule="exact"/>
        <w:rPr>
          <w:rFonts w:ascii="Arial" w:cs="Arial" w:eastAsia="Arial" w:hAnsi="Arial"/>
          <w:sz w:val="17"/>
          <w:szCs w:val="17"/>
          <w:color w:val="auto"/>
        </w:rPr>
      </w:pPr>
    </w:p>
    <w:p>
      <w:pPr>
        <w:jc w:val="both"/>
        <w:ind w:left="380" w:hanging="379"/>
        <w:spacing w:after="0" w:line="263" w:lineRule="auto"/>
        <w:tabs>
          <w:tab w:leader="none" w:pos="39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has in place and has announced a share repurchase plan. As previously disclosed, the Company may purchase authorized shares of its common stock under the plan based on a number of factors, including: market, economic, and industry conditions; the market price of the Company's common stock; anti-</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2" w:name="page23"/>
    <w:bookmarkEnd w:id="22"/>
    <w:p>
      <w:pPr>
        <w:ind w:left="480"/>
        <w:spacing w:after="0" w:line="279" w:lineRule="auto"/>
        <w:rPr>
          <w:sz w:val="20"/>
          <w:szCs w:val="20"/>
          <w:color w:val="auto"/>
        </w:rPr>
      </w:pPr>
      <w:r>
        <w:rPr>
          <w:rFonts w:ascii="Arial" w:cs="Arial" w:eastAsia="Arial" w:hAnsi="Arial"/>
          <w:sz w:val="17"/>
          <w:szCs w:val="17"/>
          <w:color w:val="auto"/>
        </w:rPr>
        <w:t>dilutive effect on earnings; available cash; and other factors that the Company deems appropriate. The plan does not have an expiration date, but the Board of Directors reviews such plan periodically.</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is a summary of share repurchase activity during 2023:</w:t>
      </w:r>
    </w:p>
    <w:p>
      <w:pPr>
        <w:spacing w:after="0" w:line="202" w:lineRule="exact"/>
        <w:rPr>
          <w:sz w:val="20"/>
          <w:szCs w:val="20"/>
          <w:color w:val="auto"/>
        </w:rPr>
      </w:pPr>
    </w:p>
    <w:p>
      <w:pPr>
        <w:jc w:val="center"/>
        <w:ind w:right="200"/>
        <w:spacing w:after="0"/>
        <w:rPr>
          <w:sz w:val="20"/>
          <w:szCs w:val="20"/>
          <w:color w:val="auto"/>
        </w:rPr>
      </w:pPr>
      <w:r>
        <w:rPr>
          <w:rFonts w:ascii="Arial" w:cs="Arial" w:eastAsia="Arial" w:hAnsi="Arial"/>
          <w:sz w:val="13"/>
          <w:szCs w:val="13"/>
          <w:b w:val="1"/>
          <w:bCs w:val="1"/>
          <w:color w:val="auto"/>
        </w:rPr>
        <w:t>Issuer Purchase of Equity Securities</w:t>
      </w:r>
    </w:p>
    <w:p>
      <w:pPr>
        <w:spacing w:after="0" w:line="36"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2640" w:type="dxa"/>
            <w:vAlign w:val="bottom"/>
            <w:tcBorders>
              <w:top w:val="single" w:sz="8" w:color="auto"/>
            </w:tcBorders>
          </w:tcPr>
          <w:p>
            <w:pPr>
              <w:spacing w:after="0"/>
              <w:rPr>
                <w:sz w:val="11"/>
                <w:szCs w:val="11"/>
                <w:color w:val="auto"/>
              </w:rPr>
            </w:pPr>
          </w:p>
        </w:tc>
        <w:tc>
          <w:tcPr>
            <w:tcW w:w="230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Total Number of Shares</w:t>
            </w:r>
          </w:p>
        </w:tc>
        <w:tc>
          <w:tcPr>
            <w:tcW w:w="17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3"/>
                <w:szCs w:val="13"/>
                <w:b w:val="1"/>
                <w:bCs w:val="1"/>
                <w:color w:val="auto"/>
              </w:rPr>
              <w:t>Average Price Paid Per</w:t>
            </w:r>
          </w:p>
        </w:tc>
        <w:tc>
          <w:tcPr>
            <w:tcW w:w="214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rPr>
              <w:t>Total Number of Shares</w:t>
            </w:r>
          </w:p>
        </w:tc>
        <w:tc>
          <w:tcPr>
            <w:tcW w:w="216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rPr>
              <w:t>Maximum Number of Shares That</w:t>
            </w:r>
          </w:p>
        </w:tc>
        <w:tc>
          <w:tcPr>
            <w:tcW w:w="0" w:type="dxa"/>
            <w:vAlign w:val="bottom"/>
          </w:tcPr>
          <w:p>
            <w:pPr>
              <w:spacing w:after="0"/>
              <w:rPr>
                <w:sz w:val="1"/>
                <w:szCs w:val="1"/>
                <w:color w:val="auto"/>
              </w:rPr>
            </w:pPr>
          </w:p>
        </w:tc>
      </w:tr>
      <w:tr>
        <w:trPr>
          <w:trHeight w:val="135"/>
        </w:trPr>
        <w:tc>
          <w:tcPr>
            <w:tcW w:w="2640" w:type="dxa"/>
            <w:vAlign w:val="bottom"/>
            <w:vMerge w:val="restart"/>
          </w:tcPr>
          <w:p>
            <w:pPr>
              <w:ind w:left="1120"/>
              <w:spacing w:after="0"/>
              <w:rPr>
                <w:sz w:val="20"/>
                <w:szCs w:val="20"/>
                <w:color w:val="auto"/>
              </w:rPr>
            </w:pPr>
            <w:r>
              <w:rPr>
                <w:rFonts w:ascii="Arial" w:cs="Arial" w:eastAsia="Arial" w:hAnsi="Arial"/>
                <w:sz w:val="13"/>
                <w:szCs w:val="13"/>
                <w:b w:val="1"/>
                <w:bCs w:val="1"/>
                <w:color w:val="auto"/>
              </w:rPr>
              <w:t>Period</w:t>
            </w:r>
          </w:p>
        </w:tc>
        <w:tc>
          <w:tcPr>
            <w:tcW w:w="2300" w:type="dxa"/>
            <w:vAlign w:val="bottom"/>
            <w:gridSpan w:val="2"/>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21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Purchased As Part of a Publicly</w:t>
            </w:r>
          </w:p>
        </w:tc>
        <w:tc>
          <w:tcPr>
            <w:tcW w:w="21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May Yet Be Purchased Under the</w:t>
            </w:r>
          </w:p>
        </w:tc>
        <w:tc>
          <w:tcPr>
            <w:tcW w:w="0" w:type="dxa"/>
            <w:vAlign w:val="bottom"/>
          </w:tcPr>
          <w:p>
            <w:pPr>
              <w:spacing w:after="0"/>
              <w:rPr>
                <w:sz w:val="1"/>
                <w:szCs w:val="1"/>
                <w:color w:val="auto"/>
              </w:rPr>
            </w:pPr>
          </w:p>
        </w:tc>
      </w:tr>
      <w:tr>
        <w:trPr>
          <w:trHeight w:val="176"/>
        </w:trPr>
        <w:tc>
          <w:tcPr>
            <w:tcW w:w="2640" w:type="dxa"/>
            <w:vAlign w:val="bottom"/>
            <w:tcBorders>
              <w:bottom w:val="single" w:sz="8" w:color="auto"/>
            </w:tcBorders>
            <w:vMerge w:val="continue"/>
          </w:tcPr>
          <w:p>
            <w:pPr>
              <w:spacing w:after="0"/>
              <w:rPr>
                <w:sz w:val="15"/>
                <w:szCs w:val="15"/>
                <w:color w:val="auto"/>
              </w:rPr>
            </w:pPr>
          </w:p>
        </w:tc>
        <w:tc>
          <w:tcPr>
            <w:tcW w:w="23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rPr>
              <w:t>Purchased</w:t>
            </w:r>
          </w:p>
        </w:tc>
        <w:tc>
          <w:tcPr>
            <w:tcW w:w="1700" w:type="dxa"/>
            <w:vAlign w:val="bottom"/>
            <w:tcBorders>
              <w:bottom w:val="single" w:sz="8" w:color="auto"/>
            </w:tcBorders>
          </w:tcPr>
          <w:p>
            <w:pPr>
              <w:jc w:val="right"/>
              <w:ind w:right="659"/>
              <w:spacing w:after="0"/>
              <w:rPr>
                <w:sz w:val="20"/>
                <w:szCs w:val="20"/>
                <w:color w:val="auto"/>
              </w:rPr>
            </w:pPr>
            <w:r>
              <w:rPr>
                <w:rFonts w:ascii="Arial" w:cs="Arial" w:eastAsia="Arial" w:hAnsi="Arial"/>
                <w:sz w:val="13"/>
                <w:szCs w:val="13"/>
                <w:b w:val="1"/>
                <w:bCs w:val="1"/>
                <w:color w:val="auto"/>
              </w:rPr>
              <w:t>Share</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Announced Plan*</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Plan*</w:t>
            </w:r>
          </w:p>
        </w:tc>
        <w:tc>
          <w:tcPr>
            <w:tcW w:w="0" w:type="dxa"/>
            <w:vAlign w:val="bottom"/>
          </w:tcPr>
          <w:p>
            <w:pPr>
              <w:spacing w:after="0"/>
              <w:rPr>
                <w:sz w:val="1"/>
                <w:szCs w:val="1"/>
                <w:color w:val="auto"/>
              </w:rPr>
            </w:pPr>
          </w:p>
        </w:tc>
      </w:tr>
      <w:tr>
        <w:trPr>
          <w:trHeight w:val="206"/>
        </w:trPr>
        <w:tc>
          <w:tcPr>
            <w:tcW w:w="2640" w:type="dxa"/>
            <w:vAlign w:val="bottom"/>
          </w:tcPr>
          <w:p>
            <w:pPr>
              <w:ind w:left="20"/>
              <w:spacing w:after="0"/>
              <w:rPr>
                <w:sz w:val="20"/>
                <w:szCs w:val="20"/>
                <w:color w:val="auto"/>
              </w:rPr>
            </w:pPr>
            <w:r>
              <w:rPr>
                <w:rFonts w:ascii="Arial" w:cs="Arial" w:eastAsia="Arial" w:hAnsi="Arial"/>
                <w:sz w:val="17"/>
                <w:szCs w:val="17"/>
                <w:color w:val="auto"/>
              </w:rPr>
              <w:t>January 2023</w:t>
            </w:r>
          </w:p>
        </w:tc>
        <w:tc>
          <w:tcPr>
            <w:tcW w:w="2300" w:type="dxa"/>
            <w:vAlign w:val="bottom"/>
            <w:gridSpan w:val="2"/>
          </w:tcPr>
          <w:p>
            <w:pPr>
              <w:ind w:left="1920"/>
              <w:spacing w:after="0"/>
              <w:rPr>
                <w:sz w:val="20"/>
                <w:szCs w:val="20"/>
                <w:color w:val="auto"/>
              </w:rPr>
            </w:pPr>
            <w:r>
              <w:rPr>
                <w:rFonts w:ascii="Arial" w:cs="Arial" w:eastAsia="Arial" w:hAnsi="Arial"/>
                <w:sz w:val="17"/>
                <w:szCs w:val="17"/>
                <w:color w:val="auto"/>
              </w:rPr>
              <w:t>— $</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2160" w:type="dxa"/>
            <w:vAlign w:val="bottom"/>
          </w:tcPr>
          <w:p>
            <w:pPr>
              <w:jc w:val="right"/>
              <w:spacing w:after="0"/>
              <w:rPr>
                <w:sz w:val="20"/>
                <w:szCs w:val="20"/>
                <w:color w:val="auto"/>
              </w:rPr>
            </w:pPr>
            <w:r>
              <w:rPr>
                <w:rFonts w:ascii="Arial" w:cs="Arial" w:eastAsia="Arial" w:hAnsi="Arial"/>
                <w:sz w:val="17"/>
                <w:szCs w:val="17"/>
                <w:color w:val="auto"/>
              </w:rPr>
              <w:t>20,783,165</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February 2023</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46,835</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28.58</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46,835</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20,736,330</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March 2023</w:t>
            </w:r>
          </w:p>
        </w:tc>
        <w:tc>
          <w:tcPr>
            <w:tcW w:w="2160" w:type="dxa"/>
            <w:vAlign w:val="bottom"/>
          </w:tcPr>
          <w:p>
            <w:pPr>
              <w:jc w:val="right"/>
              <w:spacing w:after="0"/>
              <w:rPr>
                <w:sz w:val="20"/>
                <w:szCs w:val="20"/>
                <w:color w:val="auto"/>
              </w:rPr>
            </w:pPr>
            <w:r>
              <w:rPr>
                <w:rFonts w:ascii="Arial" w:cs="Arial" w:eastAsia="Arial" w:hAnsi="Arial"/>
                <w:sz w:val="17"/>
                <w:szCs w:val="17"/>
                <w:color w:val="auto"/>
              </w:rPr>
              <w:t>1,000,091</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27.12</w:t>
            </w:r>
          </w:p>
        </w:tc>
        <w:tc>
          <w:tcPr>
            <w:tcW w:w="2140" w:type="dxa"/>
            <w:vAlign w:val="bottom"/>
          </w:tcPr>
          <w:p>
            <w:pPr>
              <w:jc w:val="right"/>
              <w:spacing w:after="0"/>
              <w:rPr>
                <w:sz w:val="20"/>
                <w:szCs w:val="20"/>
                <w:color w:val="auto"/>
              </w:rPr>
            </w:pPr>
            <w:r>
              <w:rPr>
                <w:rFonts w:ascii="Arial" w:cs="Arial" w:eastAsia="Arial" w:hAnsi="Arial"/>
                <w:sz w:val="17"/>
                <w:szCs w:val="17"/>
                <w:color w:val="auto"/>
              </w:rPr>
              <w:t>1,000,091</w:t>
            </w:r>
          </w:p>
        </w:tc>
        <w:tc>
          <w:tcPr>
            <w:tcW w:w="2160" w:type="dxa"/>
            <w:vAlign w:val="bottom"/>
          </w:tcPr>
          <w:p>
            <w:pPr>
              <w:jc w:val="right"/>
              <w:spacing w:after="0"/>
              <w:rPr>
                <w:sz w:val="20"/>
                <w:szCs w:val="20"/>
                <w:color w:val="auto"/>
              </w:rPr>
            </w:pPr>
            <w:r>
              <w:rPr>
                <w:rFonts w:ascii="Arial" w:cs="Arial" w:eastAsia="Arial" w:hAnsi="Arial"/>
                <w:sz w:val="17"/>
                <w:szCs w:val="17"/>
                <w:color w:val="auto"/>
              </w:rPr>
              <w:t>19,736,239</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2023</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19,736,239</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May 2023</w:t>
            </w:r>
          </w:p>
        </w:tc>
        <w:tc>
          <w:tcPr>
            <w:tcW w:w="2160" w:type="dxa"/>
            <w:vAlign w:val="bottom"/>
          </w:tcPr>
          <w:p>
            <w:pPr>
              <w:jc w:val="right"/>
              <w:spacing w:after="0"/>
              <w:rPr>
                <w:sz w:val="20"/>
                <w:szCs w:val="20"/>
                <w:color w:val="auto"/>
              </w:rPr>
            </w:pPr>
            <w:r>
              <w:rPr>
                <w:rFonts w:ascii="Arial" w:cs="Arial" w:eastAsia="Arial" w:hAnsi="Arial"/>
                <w:sz w:val="17"/>
                <w:szCs w:val="17"/>
                <w:color w:val="auto"/>
              </w:rPr>
              <w:t>400,062</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26.78</w:t>
            </w:r>
          </w:p>
        </w:tc>
        <w:tc>
          <w:tcPr>
            <w:tcW w:w="2140" w:type="dxa"/>
            <w:vAlign w:val="bottom"/>
          </w:tcPr>
          <w:p>
            <w:pPr>
              <w:jc w:val="right"/>
              <w:spacing w:after="0"/>
              <w:rPr>
                <w:sz w:val="20"/>
                <w:szCs w:val="20"/>
                <w:color w:val="auto"/>
              </w:rPr>
            </w:pPr>
            <w:r>
              <w:rPr>
                <w:rFonts w:ascii="Arial" w:cs="Arial" w:eastAsia="Arial" w:hAnsi="Arial"/>
                <w:sz w:val="17"/>
                <w:szCs w:val="17"/>
                <w:color w:val="auto"/>
              </w:rPr>
              <w:t>400,062</w:t>
            </w:r>
          </w:p>
        </w:tc>
        <w:tc>
          <w:tcPr>
            <w:tcW w:w="2160" w:type="dxa"/>
            <w:vAlign w:val="bottom"/>
          </w:tcPr>
          <w:p>
            <w:pPr>
              <w:jc w:val="right"/>
              <w:spacing w:after="0"/>
              <w:rPr>
                <w:sz w:val="20"/>
                <w:szCs w:val="20"/>
                <w:color w:val="auto"/>
              </w:rPr>
            </w:pPr>
            <w:r>
              <w:rPr>
                <w:rFonts w:ascii="Arial" w:cs="Arial" w:eastAsia="Arial" w:hAnsi="Arial"/>
                <w:sz w:val="17"/>
                <w:szCs w:val="17"/>
                <w:color w:val="auto"/>
              </w:rPr>
              <w:t>19,336,177</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2023</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520,312</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27.64</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520,312</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18,815,865</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July 2023</w:t>
            </w:r>
          </w:p>
        </w:tc>
        <w:tc>
          <w:tcPr>
            <w:tcW w:w="2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2160" w:type="dxa"/>
            <w:vAlign w:val="bottom"/>
          </w:tcPr>
          <w:p>
            <w:pPr>
              <w:jc w:val="right"/>
              <w:spacing w:after="0"/>
              <w:rPr>
                <w:sz w:val="20"/>
                <w:szCs w:val="20"/>
                <w:color w:val="auto"/>
              </w:rPr>
            </w:pPr>
            <w:r>
              <w:rPr>
                <w:rFonts w:ascii="Arial" w:cs="Arial" w:eastAsia="Arial" w:hAnsi="Arial"/>
                <w:sz w:val="17"/>
                <w:szCs w:val="17"/>
                <w:color w:val="auto"/>
              </w:rPr>
              <w:t>18,815,865</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August 2023</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210,525</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32.51</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210,525</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18,605,340</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September 2023</w:t>
            </w:r>
          </w:p>
        </w:tc>
        <w:tc>
          <w:tcPr>
            <w:tcW w:w="2160" w:type="dxa"/>
            <w:vAlign w:val="bottom"/>
          </w:tcPr>
          <w:p>
            <w:pPr>
              <w:jc w:val="right"/>
              <w:spacing w:after="0"/>
              <w:rPr>
                <w:sz w:val="20"/>
                <w:szCs w:val="20"/>
                <w:color w:val="auto"/>
              </w:rPr>
            </w:pPr>
            <w:r>
              <w:rPr>
                <w:rFonts w:ascii="Arial" w:cs="Arial" w:eastAsia="Arial" w:hAnsi="Arial"/>
                <w:sz w:val="17"/>
                <w:szCs w:val="17"/>
                <w:color w:val="auto"/>
              </w:rPr>
              <w:t>565,963</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32.38</w:t>
            </w:r>
          </w:p>
        </w:tc>
        <w:tc>
          <w:tcPr>
            <w:tcW w:w="2140" w:type="dxa"/>
            <w:vAlign w:val="bottom"/>
          </w:tcPr>
          <w:p>
            <w:pPr>
              <w:jc w:val="right"/>
              <w:spacing w:after="0"/>
              <w:rPr>
                <w:sz w:val="20"/>
                <w:szCs w:val="20"/>
                <w:color w:val="auto"/>
              </w:rPr>
            </w:pPr>
            <w:r>
              <w:rPr>
                <w:rFonts w:ascii="Arial" w:cs="Arial" w:eastAsia="Arial" w:hAnsi="Arial"/>
                <w:sz w:val="17"/>
                <w:szCs w:val="17"/>
                <w:color w:val="auto"/>
              </w:rPr>
              <w:t>565,963</w:t>
            </w:r>
          </w:p>
        </w:tc>
        <w:tc>
          <w:tcPr>
            <w:tcW w:w="2160" w:type="dxa"/>
            <w:vAlign w:val="bottom"/>
          </w:tcPr>
          <w:p>
            <w:pPr>
              <w:jc w:val="right"/>
              <w:spacing w:after="0"/>
              <w:rPr>
                <w:sz w:val="20"/>
                <w:szCs w:val="20"/>
                <w:color w:val="auto"/>
              </w:rPr>
            </w:pPr>
            <w:r>
              <w:rPr>
                <w:rFonts w:ascii="Arial" w:cs="Arial" w:eastAsia="Arial" w:hAnsi="Arial"/>
                <w:sz w:val="17"/>
                <w:szCs w:val="17"/>
                <w:color w:val="auto"/>
              </w:rPr>
              <w:t>18,039,377</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October 2023</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150,127</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28.76</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150,127</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17,889,250</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November 2023</w:t>
            </w:r>
          </w:p>
        </w:tc>
        <w:tc>
          <w:tcPr>
            <w:tcW w:w="2160" w:type="dxa"/>
            <w:vAlign w:val="bottom"/>
          </w:tcPr>
          <w:p>
            <w:pPr>
              <w:jc w:val="right"/>
              <w:spacing w:after="0"/>
              <w:rPr>
                <w:sz w:val="20"/>
                <w:szCs w:val="20"/>
                <w:color w:val="auto"/>
              </w:rPr>
            </w:pPr>
            <w:r>
              <w:rPr>
                <w:rFonts w:ascii="Arial" w:cs="Arial" w:eastAsia="Arial" w:hAnsi="Arial"/>
                <w:sz w:val="17"/>
                <w:szCs w:val="17"/>
                <w:color w:val="auto"/>
              </w:rPr>
              <w:t>1,296,575</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30.45</w:t>
            </w:r>
          </w:p>
        </w:tc>
        <w:tc>
          <w:tcPr>
            <w:tcW w:w="2140" w:type="dxa"/>
            <w:vAlign w:val="bottom"/>
          </w:tcPr>
          <w:p>
            <w:pPr>
              <w:jc w:val="right"/>
              <w:spacing w:after="0"/>
              <w:rPr>
                <w:sz w:val="20"/>
                <w:szCs w:val="20"/>
                <w:color w:val="auto"/>
              </w:rPr>
            </w:pPr>
            <w:r>
              <w:rPr>
                <w:rFonts w:ascii="Arial" w:cs="Arial" w:eastAsia="Arial" w:hAnsi="Arial"/>
                <w:sz w:val="17"/>
                <w:szCs w:val="17"/>
                <w:color w:val="auto"/>
              </w:rPr>
              <w:t>1,296,575</w:t>
            </w:r>
          </w:p>
        </w:tc>
        <w:tc>
          <w:tcPr>
            <w:tcW w:w="2160" w:type="dxa"/>
            <w:vAlign w:val="bottom"/>
          </w:tcPr>
          <w:p>
            <w:pPr>
              <w:jc w:val="right"/>
              <w:spacing w:after="0"/>
              <w:rPr>
                <w:sz w:val="20"/>
                <w:szCs w:val="20"/>
                <w:color w:val="auto"/>
              </w:rPr>
            </w:pPr>
            <w:r>
              <w:rPr>
                <w:rFonts w:ascii="Arial" w:cs="Arial" w:eastAsia="Arial" w:hAnsi="Arial"/>
                <w:sz w:val="17"/>
                <w:szCs w:val="17"/>
                <w:color w:val="auto"/>
              </w:rPr>
              <w:t>16,592,675</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2023</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741,496</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31.70</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741,496</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15,851,179</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Total</w:t>
            </w:r>
          </w:p>
        </w:tc>
        <w:tc>
          <w:tcPr>
            <w:tcW w:w="2160" w:type="dxa"/>
            <w:vAlign w:val="bottom"/>
          </w:tcPr>
          <w:p>
            <w:pPr>
              <w:jc w:val="right"/>
              <w:spacing w:after="0"/>
              <w:rPr>
                <w:sz w:val="20"/>
                <w:szCs w:val="20"/>
                <w:color w:val="auto"/>
              </w:rPr>
            </w:pPr>
            <w:r>
              <w:rPr>
                <w:rFonts w:ascii="Arial" w:cs="Arial" w:eastAsia="Arial" w:hAnsi="Arial"/>
                <w:sz w:val="17"/>
                <w:szCs w:val="17"/>
                <w:color w:val="auto"/>
              </w:rPr>
              <w:t>4,931,986</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4,931,986</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See above paragraph with respect to the publicly announced share repurchase plan</w:t>
      </w:r>
    </w:p>
    <w:p>
      <w:pPr>
        <w:spacing w:after="0" w:line="200" w:lineRule="exact"/>
        <w:rPr>
          <w:sz w:val="20"/>
          <w:szCs w:val="20"/>
          <w:color w:val="auto"/>
        </w:rPr>
      </w:pPr>
    </w:p>
    <w:p>
      <w:pPr>
        <w:spacing w:after="0" w:line="25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tem 6.</w:t>
        <w:tab/>
        <w:t>[Reserved]</w:t>
      </w: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65405</wp:posOffset>
            </wp:positionV>
            <wp:extent cx="716724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340"/>
          </w:cols>
          <w:pgMar w:left="220" w:top="840" w:right="339" w:bottom="1440" w:gutter="0" w:footer="0" w:header="0"/>
        </w:sectPr>
      </w:pPr>
    </w:p>
    <w:bookmarkStart w:id="23" w:name="page24"/>
    <w:bookmarkEnd w:id="23"/>
    <w:p>
      <w:pPr>
        <w:spacing w:after="0"/>
        <w:tabs>
          <w:tab w:leader="none" w:pos="7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960" w:type="dxa"/>
            <w:vAlign w:val="bottom"/>
            <w:tcBorders>
              <w:bottom w:val="single" w:sz="8" w:color="auto"/>
            </w:tcBorders>
            <w:gridSpan w:val="5"/>
          </w:tcPr>
          <w:p>
            <w:pPr>
              <w:jc w:val="center"/>
              <w:ind w:left="880"/>
              <w:spacing w:after="0"/>
              <w:rPr>
                <w:sz w:val="20"/>
                <w:szCs w:val="20"/>
                <w:color w:val="auto"/>
              </w:rPr>
            </w:pPr>
            <w:r>
              <w:rPr>
                <w:rFonts w:ascii="Arial" w:cs="Arial" w:eastAsia="Arial" w:hAnsi="Arial"/>
                <w:sz w:val="13"/>
                <w:szCs w:val="13"/>
                <w:b w:val="1"/>
                <w:bCs w:val="1"/>
                <w:color w:val="auto"/>
              </w:rPr>
              <w:t>Percentage of Net Sales</w:t>
            </w:r>
          </w:p>
        </w:tc>
        <w:tc>
          <w:tcPr>
            <w:tcW w:w="96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b w:val="1"/>
                <w:bCs w:val="1"/>
                <w:color w:val="auto"/>
              </w:rPr>
              <w:t>Percentage Change</w:t>
            </w:r>
          </w:p>
        </w:tc>
      </w:tr>
      <w:tr>
        <w:trPr>
          <w:trHeight w:val="181"/>
        </w:trPr>
        <w:tc>
          <w:tcPr>
            <w:tcW w:w="4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Pr>
          <w:p>
            <w:pPr>
              <w:jc w:val="right"/>
              <w:ind w:right="40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260" w:type="dxa"/>
            <w:vAlign w:val="bottom"/>
          </w:tcPr>
          <w:p>
            <w:pPr>
              <w:jc w:val="right"/>
              <w:ind w:right="400"/>
              <w:spacing w:after="0"/>
              <w:rPr>
                <w:sz w:val="20"/>
                <w:szCs w:val="20"/>
                <w:color w:val="auto"/>
              </w:rPr>
            </w:pPr>
            <w:r>
              <w:rPr>
                <w:rFonts w:ascii="Arial" w:cs="Arial" w:eastAsia="Arial" w:hAnsi="Arial"/>
                <w:sz w:val="13"/>
                <w:szCs w:val="13"/>
                <w:b w:val="1"/>
                <w:bCs w:val="1"/>
                <w:color w:val="auto"/>
              </w:rPr>
              <w:t>2022</w:t>
            </w:r>
          </w:p>
        </w:tc>
      </w:tr>
      <w:tr>
        <w:trPr>
          <w:trHeight w:val="189"/>
        </w:trPr>
        <w:tc>
          <w:tcPr>
            <w:tcW w:w="4080" w:type="dxa"/>
            <w:vAlign w:val="bottom"/>
          </w:tcPr>
          <w:p>
            <w:pPr>
              <w:spacing w:after="0"/>
              <w:rPr>
                <w:sz w:val="16"/>
                <w:szCs w:val="16"/>
                <w:color w:val="auto"/>
              </w:rPr>
            </w:pPr>
          </w:p>
        </w:tc>
        <w:tc>
          <w:tcPr>
            <w:tcW w:w="2960" w:type="dxa"/>
            <w:vAlign w:val="bottom"/>
            <w:tcBorders>
              <w:bottom w:val="single" w:sz="8" w:color="auto"/>
            </w:tcBorders>
            <w:gridSpan w:val="5"/>
          </w:tcPr>
          <w:p>
            <w:pPr>
              <w:jc w:val="center"/>
              <w:ind w:left="880"/>
              <w:spacing w:after="0"/>
              <w:rPr>
                <w:sz w:val="20"/>
                <w:szCs w:val="20"/>
                <w:color w:val="auto"/>
              </w:rPr>
            </w:pPr>
            <w:r>
              <w:rPr>
                <w:rFonts w:ascii="Arial" w:cs="Arial" w:eastAsia="Arial" w:hAnsi="Arial"/>
                <w:sz w:val="13"/>
                <w:szCs w:val="13"/>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gridSpan w:val="2"/>
          </w:tcPr>
          <w:p>
            <w:pPr>
              <w:ind w:left="560"/>
              <w:spacing w:after="0"/>
              <w:rPr>
                <w:sz w:val="20"/>
                <w:szCs w:val="20"/>
                <w:color w:val="auto"/>
              </w:rPr>
            </w:pPr>
            <w:r>
              <w:rPr>
                <w:rFonts w:ascii="Arial" w:cs="Arial" w:eastAsia="Arial" w:hAnsi="Arial"/>
                <w:sz w:val="13"/>
                <w:szCs w:val="13"/>
                <w:b w:val="1"/>
                <w:bCs w:val="1"/>
                <w:color w:val="auto"/>
              </w:rPr>
              <w:t>Vs</w:t>
            </w:r>
          </w:p>
        </w:tc>
        <w:tc>
          <w:tcPr>
            <w:tcW w:w="1260" w:type="dxa"/>
            <w:vAlign w:val="bottom"/>
          </w:tcPr>
          <w:p>
            <w:pPr>
              <w:jc w:val="right"/>
              <w:ind w:right="460"/>
              <w:spacing w:after="0"/>
              <w:rPr>
                <w:sz w:val="20"/>
                <w:szCs w:val="20"/>
                <w:color w:val="auto"/>
              </w:rPr>
            </w:pPr>
            <w:r>
              <w:rPr>
                <w:rFonts w:ascii="Arial" w:cs="Arial" w:eastAsia="Arial" w:hAnsi="Arial"/>
                <w:sz w:val="13"/>
                <w:szCs w:val="13"/>
                <w:b w:val="1"/>
                <w:bCs w:val="1"/>
                <w:color w:val="auto"/>
              </w:rPr>
              <w:t>Vs</w:t>
            </w:r>
          </w:p>
        </w:tc>
      </w:tr>
      <w:tr>
        <w:trPr>
          <w:trHeight w:val="181"/>
        </w:trPr>
        <w:tc>
          <w:tcPr>
            <w:tcW w:w="40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2021</w:t>
            </w:r>
          </w:p>
        </w:tc>
      </w:tr>
      <w:tr>
        <w:trPr>
          <w:trHeight w:val="207"/>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19.8 %</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ind w:left="720"/>
              <w:spacing w:after="0"/>
              <w:rPr>
                <w:sz w:val="20"/>
                <w:szCs w:val="20"/>
                <w:color w:val="auto"/>
              </w:rPr>
            </w:pPr>
            <w:r>
              <w:rPr>
                <w:rFonts w:ascii="Arial" w:cs="Arial" w:eastAsia="Arial" w:hAnsi="Arial"/>
                <w:sz w:val="17"/>
                <w:szCs w:val="17"/>
                <w:color w:val="auto"/>
                <w:w w:val="98"/>
              </w:rPr>
              <w:t>10.8 %</w:t>
            </w:r>
          </w:p>
        </w:tc>
      </w:tr>
      <w:tr>
        <w:trPr>
          <w:trHeight w:val="214"/>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Goods Sold</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66.8</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68.2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64.2</w:t>
            </w:r>
          </w:p>
        </w:tc>
        <w:tc>
          <w:tcPr>
            <w:tcW w:w="5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7"/>
                <w:szCs w:val="17"/>
                <w:color w:val="auto"/>
              </w:rPr>
              <w:t>17.4</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17.8</w:t>
            </w:r>
          </w:p>
        </w:tc>
      </w:tr>
      <w:tr>
        <w:trPr>
          <w:trHeight w:val="206"/>
        </w:trPr>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Gross Margin</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33.2</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31.8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35.8</w:t>
            </w:r>
          </w:p>
        </w:tc>
        <w:tc>
          <w:tcPr>
            <w:tcW w:w="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r>
      <w:tr>
        <w:trPr>
          <w:trHeight w:val="214"/>
        </w:trPr>
        <w:tc>
          <w:tcPr>
            <w:tcW w:w="40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4"/>
        </w:trPr>
        <w:tc>
          <w:tcPr>
            <w:tcW w:w="4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Engineering, Research and Development</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6.8</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ind w:left="720"/>
              <w:spacing w:after="0"/>
              <w:rPr>
                <w:sz w:val="20"/>
                <w:szCs w:val="20"/>
                <w:color w:val="auto"/>
              </w:rPr>
            </w:pPr>
            <w:r>
              <w:rPr>
                <w:rFonts w:ascii="Arial" w:cs="Arial" w:eastAsia="Arial" w:hAnsi="Arial"/>
                <w:sz w:val="17"/>
                <w:szCs w:val="17"/>
                <w:color w:val="auto"/>
              </w:rPr>
              <w:t>13.2</w:t>
            </w:r>
          </w:p>
        </w:tc>
      </w:tr>
      <w:tr>
        <w:trPr>
          <w:trHeight w:val="214"/>
        </w:trPr>
        <w:tc>
          <w:tcPr>
            <w:tcW w:w="40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Selling, General and Administrative</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4.9</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5.3</w:t>
            </w:r>
          </w:p>
        </w:tc>
        <w:tc>
          <w:tcPr>
            <w:tcW w:w="5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ind w:right="141"/>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ind w:left="720"/>
              <w:spacing w:after="0"/>
              <w:rPr>
                <w:sz w:val="20"/>
                <w:szCs w:val="20"/>
                <w:color w:val="auto"/>
              </w:rPr>
            </w:pPr>
            <w:r>
              <w:rPr>
                <w:rFonts w:ascii="Arial" w:cs="Arial" w:eastAsia="Arial" w:hAnsi="Arial"/>
                <w:sz w:val="17"/>
                <w:szCs w:val="17"/>
                <w:color w:val="auto"/>
              </w:rPr>
              <w:t>15.6</w:t>
            </w:r>
          </w:p>
        </w:tc>
      </w:tr>
      <w:tr>
        <w:trPr>
          <w:trHeight w:val="206"/>
        </w:trPr>
        <w:tc>
          <w:tcPr>
            <w:tcW w:w="4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Total Operating Expenses:</w:t>
            </w: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12.1</w:t>
            </w:r>
          </w:p>
        </w:tc>
        <w:tc>
          <w:tcPr>
            <w:tcW w:w="5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14.2</w:t>
            </w:r>
          </w:p>
        </w:tc>
      </w:tr>
      <w:tr>
        <w:trPr>
          <w:trHeight w:val="206"/>
        </w:trPr>
        <w:tc>
          <w:tcPr>
            <w:tcW w:w="4080" w:type="dxa"/>
            <w:vAlign w:val="bottom"/>
          </w:tcPr>
          <w:p>
            <w:pPr>
              <w:ind w:left="200"/>
              <w:spacing w:after="0"/>
              <w:rPr>
                <w:sz w:val="20"/>
                <w:szCs w:val="20"/>
                <w:color w:val="auto"/>
              </w:rPr>
            </w:pPr>
            <w:r>
              <w:rPr>
                <w:rFonts w:ascii="Arial" w:cs="Arial" w:eastAsia="Arial" w:hAnsi="Arial"/>
                <w:sz w:val="17"/>
                <w:szCs w:val="17"/>
                <w:color w:val="auto"/>
              </w:rPr>
              <w:t>Income From Operations</w:t>
            </w:r>
          </w:p>
        </w:tc>
        <w:tc>
          <w:tcPr>
            <w:tcW w:w="1220" w:type="dxa"/>
            <w:vAlign w:val="bottom"/>
          </w:tcPr>
          <w:p>
            <w:pPr>
              <w:jc w:val="right"/>
              <w:ind w:right="140"/>
              <w:spacing w:after="0"/>
              <w:rPr>
                <w:sz w:val="20"/>
                <w:szCs w:val="20"/>
                <w:color w:val="auto"/>
              </w:rPr>
            </w:pPr>
            <w:r>
              <w:rPr>
                <w:rFonts w:ascii="Arial" w:cs="Arial" w:eastAsia="Arial" w:hAnsi="Arial"/>
                <w:sz w:val="17"/>
                <w:szCs w:val="17"/>
                <w:color w:val="auto"/>
              </w:rPr>
              <w:t>21.6</w:t>
            </w:r>
          </w:p>
        </w:tc>
        <w:tc>
          <w:tcPr>
            <w:tcW w:w="120" w:type="dxa"/>
            <w:vAlign w:val="bottom"/>
          </w:tcPr>
          <w:p>
            <w:pPr>
              <w:spacing w:after="0"/>
              <w:rPr>
                <w:sz w:val="17"/>
                <w:szCs w:val="17"/>
                <w:color w:val="auto"/>
              </w:rPr>
            </w:pPr>
          </w:p>
        </w:tc>
        <w:tc>
          <w:tcPr>
            <w:tcW w:w="1240" w:type="dxa"/>
            <w:vAlign w:val="bottom"/>
          </w:tcPr>
          <w:p>
            <w:pPr>
              <w:jc w:val="right"/>
              <w:ind w:right="138"/>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38"/>
              <w:spacing w:after="0"/>
              <w:rPr>
                <w:sz w:val="20"/>
                <w:szCs w:val="20"/>
                <w:color w:val="auto"/>
              </w:rPr>
            </w:pPr>
            <w:r>
              <w:rPr>
                <w:rFonts w:ascii="Arial" w:cs="Arial" w:eastAsia="Arial" w:hAnsi="Arial"/>
                <w:sz w:val="17"/>
                <w:szCs w:val="17"/>
                <w:color w:val="auto"/>
              </w:rPr>
              <w:t>23.7</w:t>
            </w:r>
          </w:p>
        </w:tc>
        <w:tc>
          <w:tcPr>
            <w:tcW w:w="500" w:type="dxa"/>
            <w:vAlign w:val="bottom"/>
          </w:tcPr>
          <w:p>
            <w:pPr>
              <w:spacing w:after="0"/>
              <w:rPr>
                <w:sz w:val="17"/>
                <w:szCs w:val="17"/>
                <w:color w:val="auto"/>
              </w:rPr>
            </w:pPr>
          </w:p>
        </w:tc>
        <w:tc>
          <w:tcPr>
            <w:tcW w:w="1260" w:type="dxa"/>
            <w:vAlign w:val="bottom"/>
          </w:tcPr>
          <w:p>
            <w:pPr>
              <w:jc w:val="right"/>
              <w:ind w:right="141"/>
              <w:spacing w:after="0"/>
              <w:rPr>
                <w:sz w:val="20"/>
                <w:szCs w:val="20"/>
                <w:color w:val="auto"/>
              </w:rPr>
            </w:pPr>
            <w:r>
              <w:rPr>
                <w:rFonts w:ascii="Arial" w:cs="Arial" w:eastAsia="Arial" w:hAnsi="Arial"/>
                <w:sz w:val="17"/>
                <w:szCs w:val="17"/>
                <w:color w:val="auto"/>
              </w:rPr>
              <w:t>34.0</w:t>
            </w:r>
          </w:p>
        </w:tc>
        <w:tc>
          <w:tcPr>
            <w:tcW w:w="100" w:type="dxa"/>
            <w:vAlign w:val="bottom"/>
          </w:tcPr>
          <w:p>
            <w:pPr>
              <w:spacing w:after="0"/>
              <w:rPr>
                <w:sz w:val="17"/>
                <w:szCs w:val="17"/>
                <w:color w:val="auto"/>
              </w:rPr>
            </w:pPr>
          </w:p>
        </w:tc>
        <w:tc>
          <w:tcPr>
            <w:tcW w:w="1260" w:type="dxa"/>
            <w:vAlign w:val="bottom"/>
          </w:tcPr>
          <w:p>
            <w:pPr>
              <w:jc w:val="right"/>
              <w:ind w:right="100"/>
              <w:spacing w:after="0"/>
              <w:rPr>
                <w:sz w:val="20"/>
                <w:szCs w:val="20"/>
                <w:color w:val="auto"/>
              </w:rPr>
            </w:pPr>
            <w:r>
              <w:rPr>
                <w:rFonts w:ascii="Arial" w:cs="Arial" w:eastAsia="Arial" w:hAnsi="Arial"/>
                <w:sz w:val="17"/>
                <w:szCs w:val="17"/>
                <w:color w:val="auto"/>
              </w:rPr>
              <w:t>(9.7)</w:t>
            </w:r>
          </w:p>
        </w:tc>
      </w:tr>
      <w:tr>
        <w:trPr>
          <w:trHeight w:val="214"/>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(Loss)/Income</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0.4</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3,368.0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(104.3)</w:t>
            </w:r>
          </w:p>
        </w:tc>
      </w:tr>
      <w:tr>
        <w:trPr>
          <w:trHeight w:val="206"/>
        </w:trPr>
        <w:tc>
          <w:tcPr>
            <w:tcW w:w="4080" w:type="dxa"/>
            <w:vAlign w:val="bottom"/>
          </w:tcPr>
          <w:p>
            <w:pPr>
              <w:ind w:left="200"/>
              <w:spacing w:after="0"/>
              <w:rPr>
                <w:sz w:val="20"/>
                <w:szCs w:val="20"/>
                <w:color w:val="auto"/>
              </w:rPr>
            </w:pPr>
            <w:r>
              <w:rPr>
                <w:rFonts w:ascii="Arial" w:cs="Arial" w:eastAsia="Arial" w:hAnsi="Arial"/>
                <w:sz w:val="17"/>
                <w:szCs w:val="17"/>
                <w:color w:val="auto"/>
              </w:rPr>
              <w:t>Income Before Provision for Income Taxes</w:t>
            </w:r>
          </w:p>
        </w:tc>
        <w:tc>
          <w:tcPr>
            <w:tcW w:w="1220" w:type="dxa"/>
            <w:vAlign w:val="bottom"/>
            <w:tcBorders>
              <w:top w:val="single" w:sz="8" w:color="auto"/>
            </w:tcBorders>
          </w:tcPr>
          <w:p>
            <w:pPr>
              <w:jc w:val="right"/>
              <w:ind w:right="140"/>
              <w:spacing w:after="0"/>
              <w:rPr>
                <w:sz w:val="20"/>
                <w:szCs w:val="20"/>
                <w:color w:val="auto"/>
              </w:rPr>
            </w:pPr>
            <w:r>
              <w:rPr>
                <w:rFonts w:ascii="Arial" w:cs="Arial" w:eastAsia="Arial" w:hAnsi="Arial"/>
                <w:sz w:val="17"/>
                <w:szCs w:val="17"/>
                <w:color w:val="auto"/>
              </w:rPr>
              <w:t>22.0</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right"/>
              <w:ind w:right="138"/>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8"/>
              <w:spacing w:after="0"/>
              <w:rPr>
                <w:sz w:val="20"/>
                <w:szCs w:val="20"/>
                <w:color w:val="auto"/>
              </w:rPr>
            </w:pPr>
            <w:r>
              <w:rPr>
                <w:rFonts w:ascii="Arial" w:cs="Arial" w:eastAsia="Arial" w:hAnsi="Arial"/>
                <w:sz w:val="17"/>
                <w:szCs w:val="17"/>
                <w:color w:val="auto"/>
              </w:rPr>
              <w:t>24.1</w:t>
            </w:r>
          </w:p>
        </w:tc>
        <w:tc>
          <w:tcPr>
            <w:tcW w:w="500" w:type="dxa"/>
            <w:vAlign w:val="bottom"/>
          </w:tcPr>
          <w:p>
            <w:pPr>
              <w:spacing w:after="0"/>
              <w:rPr>
                <w:sz w:val="17"/>
                <w:szCs w:val="17"/>
                <w:color w:val="auto"/>
              </w:rPr>
            </w:pPr>
          </w:p>
        </w:tc>
        <w:tc>
          <w:tcPr>
            <w:tcW w:w="1260" w:type="dxa"/>
            <w:vAlign w:val="bottom"/>
            <w:tcBorders>
              <w:top w:val="single" w:sz="8" w:color="auto"/>
            </w:tcBorders>
          </w:tcPr>
          <w:p>
            <w:pPr>
              <w:jc w:val="right"/>
              <w:ind w:right="141"/>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ind w:right="100"/>
              <w:spacing w:after="0"/>
              <w:rPr>
                <w:sz w:val="20"/>
                <w:szCs w:val="20"/>
                <w:color w:val="auto"/>
              </w:rPr>
            </w:pPr>
            <w:r>
              <w:rPr>
                <w:rFonts w:ascii="Arial" w:cs="Arial" w:eastAsia="Arial" w:hAnsi="Arial"/>
                <w:sz w:val="17"/>
                <w:szCs w:val="17"/>
                <w:color w:val="auto"/>
              </w:rPr>
              <w:t>(11.2)</w:t>
            </w:r>
          </w:p>
        </w:tc>
      </w:tr>
      <w:tr>
        <w:trPr>
          <w:trHeight w:val="214"/>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3.2</w:t>
            </w:r>
          </w:p>
        </w:tc>
        <w:tc>
          <w:tcPr>
            <w:tcW w:w="5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7"/>
                <w:szCs w:val="17"/>
                <w:color w:val="auto"/>
              </w:rPr>
              <w:t>50.3</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7"/>
                <w:szCs w:val="17"/>
                <w:color w:val="auto"/>
              </w:rPr>
              <w:t>(8.3)</w:t>
            </w:r>
          </w:p>
        </w:tc>
      </w:tr>
      <w:tr>
        <w:trPr>
          <w:trHeight w:val="206"/>
        </w:trPr>
        <w:tc>
          <w:tcPr>
            <w:tcW w:w="408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18.6 %</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20.8 %</w:t>
            </w:r>
          </w:p>
        </w:tc>
        <w:tc>
          <w:tcPr>
            <w:tcW w:w="5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34.4 %</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r>
      <w:tr>
        <w:trPr>
          <w:trHeight w:val="20"/>
        </w:trPr>
        <w:tc>
          <w:tcPr>
            <w:tcW w:w="4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 2023 to 2022</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In 2023, the Company's net sales increased by $380.3 million, or 20% compared to the prior year, representing the highest annual sales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history. Overall light vehicle production in 2023 increased by 12%, when compared to 2022 in the Company's primary markets, meaning net sales in 2023 outperformed the underlying market by 8%. The outperformance versus the underlying market was driven by growth from the continued adoption of FDM, exterior auto-dimming mirrors, and continued penetration of the Company's base interior mirrors and electronic features. The Company's sales growth was driven by a 15% year over year increase in automatic-dimming mirror shipments, from 44.2 million units in 2022 to 50.6 million units in 2023, together with product mix.</w:t>
      </w:r>
    </w:p>
    <w:p>
      <w:pPr>
        <w:spacing w:after="0" w:line="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net sales for calendar year 2023 were $44.6 million, compared to Other net sales of $ 44.2 million in calendar year 2022. Fire protection sales in 2023 decreased by 32% year over year, while dimmable aircraft windows increased by 211% in 2023 compared to calendar year 2022.</w:t>
      </w:r>
    </w:p>
    <w:p>
      <w:pPr>
        <w:spacing w:after="0" w:line="8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u w:val="single" w:color="auto"/>
          <w:color w:val="auto"/>
        </w:rPr>
        <w:t>Cost of Goods Sold.</w:t>
      </w:r>
      <w:r>
        <w:rPr>
          <w:rFonts w:ascii="Arial" w:cs="Arial" w:eastAsia="Arial" w:hAnsi="Arial"/>
          <w:sz w:val="17"/>
          <w:szCs w:val="17"/>
          <w:i w:val="1"/>
          <w:iCs w:val="1"/>
          <w:color w:val="auto"/>
        </w:rPr>
        <w:t xml:space="preserve"> </w:t>
      </w:r>
      <w:r>
        <w:rPr>
          <w:rFonts w:ascii="Arial" w:cs="Arial" w:eastAsia="Arial" w:hAnsi="Arial"/>
          <w:sz w:val="17"/>
          <w:szCs w:val="17"/>
          <w:color w:val="auto"/>
        </w:rPr>
        <w:t>As a percentage of net sales, cost of goods sold decreased from 68.2% in 2022 to 66.8% in 2023. The year over year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gross margin was primarily the result of improved overhead leverage created by growth in revenue, lower freight costs, pricing increases and cost recoveries, and product mix. These positive impacts were partially offset by increased raw materials costs and annual customer price reductions. On a year over year basis, fixed overhead leverage and lower freights costs each had a positive impact of approximately 100 - 150 basis points on gross margin on a year over year basis. Price increases and cost recoveries, and product mix, each had a positive impact of approximately 50 - 100 basis points on gross margin on a year over year basis. Increased raw material costs and annual customer price reductions each had a negative impact of approximately 50 - 100 basis points on gross margin on a year over year basis.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Operating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research and development expenses ("E, R &amp; D") increased by $21.1 million or 16% from 2022 to 2023, but</w:t>
      </w:r>
      <w:r>
        <w:rPr>
          <w:rFonts w:ascii="Arial" w:cs="Arial" w:eastAsia="Arial" w:hAnsi="Arial"/>
          <w:sz w:val="17"/>
          <w:szCs w:val="17"/>
          <w:i w:val="1"/>
          <w:iCs w:val="1"/>
          <w:color w:val="auto"/>
        </w:rPr>
        <w:t xml:space="preserve"> </w:t>
      </w:r>
      <w:r>
        <w:rPr>
          <w:rFonts w:ascii="Arial" w:cs="Arial" w:eastAsia="Arial" w:hAnsi="Arial"/>
          <w:sz w:val="17"/>
          <w:szCs w:val="17"/>
          <w:color w:val="auto"/>
        </w:rPr>
        <w:t>remained at 7% of net sales. E, R &amp; D increased year over year primarily due to additional staffing and engineering related professional fees to assist with the execution of a high number of new product launches, product redesigns to optimize costs, and new product development.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7"/>
          <w:szCs w:val="17"/>
          <w:color w:val="auto"/>
        </w:rPr>
        <w:t>Selling, general and administrative ("S, G &amp; A") expenses increased by $6.0 million or 6% from 2022 to 2023, which represents 5% of net sales in 2023 compared to 6% of net sales in 2022. The primary reason for the year over year increase in S, G &amp; A from 2022 to 2023 was increased staffing expenses, which were partially offset by lower freight expenses.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Total Other (Loss)/Income.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income increased $8.7 million to $13.5 million for 2023 compared to $4.8 million for 2022,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in interest income from fixed income investments and interest rates on other cash holdings. Other income – net increased $0.8 million in 2023 versus 2022, primarily due to increases in interest income from fixed income investments.</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 tax rate was 15.2% for the year ended December 31, 2023, compared to 13.8% for the prior year. The effective tax rates in 2023</w:t>
      </w:r>
      <w:r>
        <w:rPr>
          <w:rFonts w:ascii="Arial" w:cs="Arial" w:eastAsia="Arial" w:hAnsi="Arial"/>
          <w:sz w:val="17"/>
          <w:szCs w:val="17"/>
          <w:i w:val="1"/>
          <w:iCs w:val="1"/>
          <w:color w:val="auto"/>
        </w:rPr>
        <w:t xml:space="preserve"> </w:t>
      </w:r>
      <w:r>
        <w:rPr>
          <w:rFonts w:ascii="Arial" w:cs="Arial" w:eastAsia="Arial" w:hAnsi="Arial"/>
          <w:sz w:val="17"/>
          <w:szCs w:val="17"/>
          <w:color w:val="auto"/>
        </w:rPr>
        <w:t>and 2022 differed from the statutory federal income tax rate, primarily due to the Foreign Derived Intangible Income Deduction, as well as additional equity compensation deductions and various tax credits.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Net income increased by $109.6 million in 2023, or 34% compared to 2022, primarily due to the year over year changes in gross margin</w:t>
      </w:r>
      <w:r>
        <w:rPr>
          <w:rFonts w:ascii="Arial" w:cs="Arial" w:eastAsia="Arial" w:hAnsi="Arial"/>
          <w:sz w:val="17"/>
          <w:szCs w:val="17"/>
          <w:i w:val="1"/>
          <w:iCs w:val="1"/>
          <w:color w:val="auto"/>
        </w:rPr>
        <w:t xml:space="preserve"> </w:t>
      </w:r>
      <w:r>
        <w:rPr>
          <w:rFonts w:ascii="Arial" w:cs="Arial" w:eastAsia="Arial" w:hAnsi="Arial"/>
          <w:sz w:val="17"/>
          <w:szCs w:val="17"/>
          <w:color w:val="auto"/>
        </w:rPr>
        <w:t>and operating profits.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 2022 to 2021</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In 2022, the Company's net sales increased by $187.8 million, or 11% compared to the prior year. Light vehicle production in 2022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by 3% when compared to 2021 in the Company's primary markets, but total revenue for the year outperformed the underlying market by 8% despite the many supply chain challenges and customer order volatility encountered during the year. The increase in the Company's sales was primarily driven by a 6% year over year increase in automatic-dimming mirror shipments, from 41.8 million units in 2021 to 44.2 million units in 2022.</w:t>
      </w:r>
    </w:p>
    <w:p>
      <w:pPr>
        <w:spacing w:after="0" w:line="8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Other net sales for calendar year 2022 were $44.2 million, compared to Other net sales of $ 34.0 million in calendar year 2021. Fire protection sales in 2022 increased by 53% year over year, while dimmable aircraft windows were down 33% in 2022 compared to calendar year 2021. The Company expects that dimmable aircraft window sales will continue to be impacted until there is a meaningful recovery of the aerospace industry and the Boeing 787 production levels improve.</w:t>
      </w:r>
    </w:p>
    <w:p>
      <w:pPr>
        <w:spacing w:after="0" w:line="19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i w:val="1"/>
          <w:iCs w:val="1"/>
          <w:u w:val="single" w:color="auto"/>
          <w:color w:val="auto"/>
        </w:rPr>
        <w:t>Cost of Goods Sold.</w:t>
      </w:r>
      <w:r>
        <w:rPr>
          <w:rFonts w:ascii="Arial" w:cs="Arial" w:eastAsia="Arial" w:hAnsi="Arial"/>
          <w:sz w:val="17"/>
          <w:szCs w:val="17"/>
          <w:i w:val="1"/>
          <w:iCs w:val="1"/>
          <w:color w:val="auto"/>
        </w:rPr>
        <w:t xml:space="preserve"> </w:t>
      </w:r>
      <w:r>
        <w:rPr>
          <w:rFonts w:ascii="Arial" w:cs="Arial" w:eastAsia="Arial" w:hAnsi="Arial"/>
          <w:sz w:val="17"/>
          <w:szCs w:val="17"/>
          <w:color w:val="auto"/>
        </w:rPr>
        <w:t>As a percentage of net sales, cost of goods sold increased from 64.2% in 2021 to 68.2% in 2022. The year over year decrease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gross margin was primarily the result of increased raw material costs, increased manufacturing costs, higher freight and logistics costs, and certain previously agreed to annual customer price reductions. On a year over year basis, increased raw material costs had a negative impact of approximately 250 - 300 basis points on gross margin. Manufacturing cost increases, freight and logistics cost increases, and annual customer price reductions each independently had a negative impact of approximately 50 - 100 basis points on gross margin on a year over year basis.</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Operating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E, R &amp; D increased by $15.5 million or 13% from 2021 to 2022, but remained at 7% of net sales. E, R &amp; D decreased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additional staffing, professional fees, new product development, and the ongoing product re-designs necessary to mitigate electronics part shortages.</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 G &amp; A expenses increased by $14.3 million or 16% from 2021 to 2022, which represents 6% of net sales in 2022 compared to 5% in 2021. The primary reason for the increase in S, G &amp; A from 2021 to 2022 was primarily due to staffing, increases in outbound freight expenses, and the return of in-person customer meetings and trade show related expenses. S, G &amp; A expenses were also impacted on a year over year basis by the $4.0 million settlement with the SEC that was accrued for in the second and third quarters of 2022, and the related legal and professional fees.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Total Other (Loss)/Income.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income increased $1.2 million to $4.8 million for 2022 compared to $3.6 million for 2021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in interest income from fixed income investments. Other income – net decreased $8.1 million in 2022 versus 2021, primarily due to additional losses on sales of debt investments on a year over year basis.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 tax rate was 13.8% for the year ended December 31, 2022 compared to 13.3% for the prior year. The effective tax rates in 2022</w:t>
      </w:r>
      <w:r>
        <w:rPr>
          <w:rFonts w:ascii="Arial" w:cs="Arial" w:eastAsia="Arial" w:hAnsi="Arial"/>
          <w:sz w:val="17"/>
          <w:szCs w:val="17"/>
          <w:i w:val="1"/>
          <w:iCs w:val="1"/>
          <w:color w:val="auto"/>
        </w:rPr>
        <w:t xml:space="preserve"> </w:t>
      </w:r>
      <w:r>
        <w:rPr>
          <w:rFonts w:ascii="Arial" w:cs="Arial" w:eastAsia="Arial" w:hAnsi="Arial"/>
          <w:sz w:val="17"/>
          <w:szCs w:val="17"/>
          <w:color w:val="auto"/>
        </w:rPr>
        <w:t>and 2021 differed from the statutory federal income tax rate, primarily due to the Foreign Derived Intangible Income Deduction, as well as additional equity compensation deductions and various tax credits.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5" w:name="page26"/>
    <w:bookmarkEnd w:id="25"/>
    <w:p>
      <w:pPr>
        <w:jc w:val="both"/>
        <w:spacing w:after="0" w:line="279" w:lineRule="auto"/>
        <w:rPr>
          <w:sz w:val="20"/>
          <w:szCs w:val="20"/>
          <w:color w:val="auto"/>
        </w:rPr>
      </w:pPr>
      <w:r>
        <w:rPr>
          <w:rFonts w:ascii="Arial" w:cs="Arial" w:eastAsia="Arial" w:hAnsi="Arial"/>
          <w:sz w:val="17"/>
          <w:szCs w:val="17"/>
          <w:i w:val="1"/>
          <w:iCs w:val="1"/>
          <w:u w:val="single" w:color="auto"/>
          <w:color w:val="auto"/>
        </w:rPr>
        <w:t>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Net income decreased by $42.0 million in 2022, or 12% compared to 2021, primarily due to the year over year changes in gross margin</w:t>
      </w:r>
      <w:r>
        <w:rPr>
          <w:rFonts w:ascii="Arial" w:cs="Arial" w:eastAsia="Arial" w:hAnsi="Arial"/>
          <w:sz w:val="17"/>
          <w:szCs w:val="17"/>
          <w:i w:val="1"/>
          <w:iCs w:val="1"/>
          <w:color w:val="auto"/>
        </w:rPr>
        <w:t xml:space="preserve"> </w:t>
      </w:r>
      <w:r>
        <w:rPr>
          <w:rFonts w:ascii="Arial" w:cs="Arial" w:eastAsia="Arial" w:hAnsi="Arial"/>
          <w:sz w:val="17"/>
          <w:szCs w:val="17"/>
          <w:color w:val="auto"/>
        </w:rPr>
        <w:t>and operating profits.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Company’s financial condition throughout the periods presented has remained very strong.</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Company's cash and cash equivalents were $226.4 million, $214.8 million, and $262.3 million as of December 31, 2023, 2022 and 2021, respectively. The Company's cash and cash equivalents include amounts held by foreign subsidiaries of $14.8 million, $12.5 million, and $10.7 million as of December 31, 2023, 2022 and 2021, respectively.</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Cash flow from operating activities was $537.2 million, $338.2 million and $362.2 million for the years ended December 31, 2023, 2022 and 2021, respectively. Cash flow from operating activities increased $199.0 million for the year ended December 31, 2023 compared to the prior year, primarily due to increases in net income and changes in working capital. Cash flow from operating activities decreased $24.0 million for the year ended December 31, 2022 compared to the same period in 2021, primarily due to changes in working capital and a decrease in net income, which were partially offset by changes in deferred taxes.</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Cash flow used for investing activities for the year ended December 31, 2023 increased by $126.7 million to $299.4 million, compared with cash flow used for investing activities of $172.7 million for the year ended December 31, 2022, primarily due to increased technology investment purchases during the year, as well as increased capital expenditures in 2023 compared to 2022. Cash flow used for investing activities for the year ended December 31, 2022 increased by $59.6 million to $172.7 million, compared to cash flow used for investment activities for the year ended December 31, 2021, primarily due to increased investment purchases of equity method investments in 2022 compared to 2021.</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Capital expenditures were $183.7 million, $146.4 million, and $68.8 million for the years ended December 31, 2023, 2022, and 2021, respectively. Capital expenditures for the year ended December 31, 2023 increased by $37.2 million compared with the year ended December 31, 2022, primarily due to increased in expenditures related to building and facility construction projects previously discussed. Capital expenditures for the year ended December 31, 2022 increased by $77.6 million compared to the year ended December 31, 2020, also due to the same building and facility construction projects previously discussed.</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Cash flow used for financing activities for the year ended December 31, 2023, increased $21.1 million to $230.2 million, compared to $209.0 million for the year ended December 31, 2022, primarily due to an increase in the amount of shares of common stock repurchased which totaled $147.4 million during the calendar year 2023 as compared to $112.5 million during the calendar year 2022. Cash flow used for financing activities for the year ended December 31, 2022, decreased $201.1 million to $209.0 million compared to the year ended December 31, 2021, primarily due to a decrease in the amount of shares of common stock repurchased which totaled $112.5 million during the calendar year 2022 as compared to $324.6 million during the calendar year 2021.</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Short-term investments as of December 31, 2023 were $14.4 million, down from $23.0 million as of December 31, 2022 and long-term investments were $299.1 million as of December 31, 2023, up from $202.3 million as of December 31, 2022, due to changes in the Company's overall investment portfolio and increased investment in technology investments.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receivable as of December 31, 2023 increased $45.3 million compared to December 31, 2022, primarily due to an increase in sales year over year.</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as of December 31, 2023, decreased $1.9 million compared to December 31, 2022, primarily due to decreases in raw materials, which were partially offset by increases in finished goods to meet customer order demand.</w:t>
      </w:r>
    </w:p>
    <w:p>
      <w:pPr>
        <w:spacing w:after="0" w:line="8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Intangible Assets, net as of December 31, 2023 decreased $5.4 million compared to December 31, 2022, due to the amortization of definite lived intangible assets and patents, which is discussed further in </w:t>
      </w:r>
      <w:r>
        <w:rPr>
          <w:rFonts w:ascii="Arial" w:cs="Arial" w:eastAsia="Arial" w:hAnsi="Arial"/>
          <w:sz w:val="17"/>
          <w:szCs w:val="17"/>
          <w:u w:val="single" w:color="auto"/>
          <w:color w:val="0000FF"/>
        </w:rPr>
        <w:t>Note 10</w:t>
      </w:r>
      <w:r>
        <w:rPr>
          <w:rFonts w:ascii="Arial" w:cs="Arial" w:eastAsia="Arial" w:hAnsi="Arial"/>
          <w:sz w:val="17"/>
          <w:szCs w:val="17"/>
          <w:color w:val="auto"/>
        </w:rPr>
        <w:t xml:space="preserve"> of the Consolidated Financial Statements.</w:t>
      </w:r>
    </w:p>
    <w:p>
      <w:pPr>
        <w:spacing w:after="0" w:line="8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payable as of December 31, 2023, increased $32.7 million compared to December 31, 2022, primarily due to increases in, and/or timing of capital expenditure payments.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7"/>
          <w:szCs w:val="17"/>
          <w:color w:val="auto"/>
        </w:rPr>
        <w:t xml:space="preserve">Management considers the Company’s current working capital and long-term investments, as well as its existing credit financing arrangement (notwithstanding covenants prohibiting additional indebtedness), discussed further in </w:t>
      </w:r>
      <w:r>
        <w:rPr>
          <w:rFonts w:ascii="Arial" w:cs="Arial" w:eastAsia="Arial" w:hAnsi="Arial"/>
          <w:sz w:val="17"/>
          <w:szCs w:val="17"/>
          <w:u w:val="single" w:color="auto"/>
          <w:color w:val="0000FF"/>
        </w:rPr>
        <w:t>Note 2</w:t>
      </w:r>
      <w:r>
        <w:rPr>
          <w:rFonts w:ascii="Arial" w:cs="Arial" w:eastAsia="Arial" w:hAnsi="Arial"/>
          <w:sz w:val="17"/>
          <w:szCs w:val="17"/>
          <w:color w:val="auto"/>
        </w:rPr>
        <w:t xml:space="preserve"> of the Consolidated Financial Statements, in addition to internally generated cash flow, to be sufficient to cover anticipated cash needs for the foreseeable future considering its contractual obligations and commitments.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working capital and fixed income long-term investments: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96"/>
              <w:spacing w:after="0"/>
              <w:rPr>
                <w:sz w:val="20"/>
                <w:szCs w:val="20"/>
                <w:color w:val="auto"/>
              </w:rPr>
            </w:pPr>
            <w:r>
              <w:rPr>
                <w:rFonts w:ascii="Arial" w:cs="Arial" w:eastAsia="Arial" w:hAnsi="Arial"/>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96"/>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16"/>
              <w:spacing w:after="0"/>
              <w:rPr>
                <w:sz w:val="20"/>
                <w:szCs w:val="20"/>
                <w:color w:val="auto"/>
              </w:rPr>
            </w:pPr>
            <w:r>
              <w:rPr>
                <w:rFonts w:ascii="Arial" w:cs="Arial" w:eastAsia="Arial" w:hAnsi="Arial"/>
                <w:sz w:val="17"/>
                <w:szCs w:val="17"/>
                <w:b w:val="1"/>
                <w:bCs w:val="1"/>
                <w:color w:val="auto"/>
              </w:rPr>
              <w:t>2021</w:t>
            </w: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5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726,129,177</w:t>
            </w:r>
          </w:p>
        </w:tc>
        <w:tc>
          <w:tcPr>
            <w:tcW w:w="5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698,099,624</w:t>
            </w:r>
          </w:p>
        </w:tc>
        <w:tc>
          <w:tcPr>
            <w:tcW w:w="52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801,593,707</w:t>
            </w:r>
          </w:p>
        </w:tc>
      </w:tr>
      <w:tr>
        <w:trPr>
          <w:trHeight w:val="214"/>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Fixed Income Long Term Investments</w:t>
            </w: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155,863,252</w:t>
            </w:r>
          </w:p>
        </w:tc>
        <w:tc>
          <w:tcPr>
            <w:tcW w:w="5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140,341,898</w:t>
            </w: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190,875,668</w:t>
            </w: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5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881,992,429</w:t>
            </w:r>
          </w:p>
        </w:tc>
        <w:tc>
          <w:tcPr>
            <w:tcW w:w="5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838,441,522</w:t>
            </w:r>
          </w:p>
        </w:tc>
        <w:tc>
          <w:tcPr>
            <w:tcW w:w="52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992,469,375</w:t>
            </w:r>
          </w:p>
        </w:tc>
      </w:tr>
    </w:tbl>
    <w:p>
      <w:pPr>
        <w:spacing w:after="0" w:line="36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increase in working capital as of December 31, 2023 compared to December 31, 2022 is primarily due to increases in cash and accounts receivable, which was partially offset by increases in accounts payable. The decrease in working capital as of December 31, 2022 compared to 2021 is primarily due to increases in inventory and accounts receivable, which were partially offset by decreases in cash and prepaid expenses and other.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Please refer to </w:t>
      </w:r>
      <w:r>
        <w:rPr>
          <w:rFonts w:ascii="Arial" w:cs="Arial" w:eastAsia="Arial" w:hAnsi="Arial"/>
          <w:sz w:val="17"/>
          <w:szCs w:val="17"/>
          <w:u w:val="single" w:color="auto"/>
          <w:color w:val="0000FF"/>
        </w:rPr>
        <w:t>Part II, Item 5</w:t>
      </w:r>
      <w:r>
        <w:rPr>
          <w:rFonts w:ascii="Arial" w:cs="Arial" w:eastAsia="Arial" w:hAnsi="Arial"/>
          <w:sz w:val="17"/>
          <w:szCs w:val="17"/>
          <w:color w:val="auto"/>
        </w:rPr>
        <w:t>, with regard to the Company's previously announced share repurchase plan.</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Outlook</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utilizes the light vehicle production forecasting services of S&amp;P Global Mobility. The S&amp;P Global Mobility mid-January 2024 forecast for light vehicle production for calendar year 2024 are approximately 15.8 million units for North America, 17.4 million units for Europe, 12.2 million units for Japan and Korea, and 28.9 million units for China.</w:t>
      </w:r>
    </w:p>
    <w:p>
      <w:pPr>
        <w:spacing w:after="0" w:line="8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Based on the foregoing, the Company estimates that top line revenue for calendar year 2024 will be between $2.45 and $2.55 billion. All estimates are based on light vehicle production forecasts in the primary regions to which the Company ships product, as well as the estimated option rates for its mirrors and electronics on prospective vehicle models and anticipated product mix. Continuing uncertainties, such as: light vehicle production volumes; the Ukraine-Russia war; the Israel-Hamas war; labor shortages; automotive plant shutdowns; sales rates in Europe, Asia and North America; challenging macroeconomic and geopolitical environments, including inflation, tariffs and potential tax law changes; OEM strategies and cost pressures; customer inventory management and the impact of potential automotive customer (including their Tier 1 suppliers) and supplier bankruptcies; work stoppages, strikes, etc.; could disrupt shipments to customers and make forecasting difficult.</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is estimating that the gross margin will be between 34% and 35% for calendar year 2024. Historically, annual customer price reductions have placed pressure on gross margin on an annual basis. Given the current revenue forecast and projected product mix for 2024, the Company hopes it may be able to offset certain annual customer price reductions with raw material cost decreases, improved operational efficiencies, and leverage on the Company's fixed costs, but there is no certainty of being able to do so.</w:t>
      </w:r>
    </w:p>
    <w:p>
      <w:pPr>
        <w:spacing w:after="0" w:line="10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is also estimating that its operating expenses, which include E, R &amp; D and S, G &amp; A, are expected to be between $295 and $305 million for calendar year 2024, due in part to continued investments that support growth and launch of new business as well as development of new products, which are primarily staffing related. The Company continues to invest heavily in technology directed at funding the development of its current product portfolio and creating iterations of those products that help keep its products new and attractive to our customers, as well as new products.</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is a technology leader in the automotive industry, with a focus on developing uniquely designed solutions that are proprietary. The Company continues to make investments intended to maintain a competitive advantage in its current markets, as well as to use its core competencies to develop products that are applicable in other markets.</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Based on current light vehicle production forecasts, and the resultant forecast our automatic-dimming mirrors and electronics, the Company currently anticipates that 2024 capital expenditures will be between $225 and $250 million, a majority of which will be related to production equipment purchases. Capital expenditures for calendar year 2024 are currently anticipated to be financed from current cash and cash equivalents on hand and cash flows from operating activities.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The Company is also estimating that depreciation and amortization expense for calendar year 2024 will be between $95 and $105 million.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further estimating that its tax rate will be between 16% and 18% for calendar year 2024 based on the current statutory rates.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accordance with its previously announced share repurchase plan and capital allocation strategy, the Company intends to continue to repurchase additional shares of its common stock in 2024 and into the future depending on a number of factors, including: market, economic, and industry conditions; the market price of the Company's common stock; anti-dilutive effect on earnings; available cash; and other factors that the Company deems appropriate.</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is also providing top line revenue guidance for calendar year 2025, taking into account anticipated increases in light vehicle production in 2025 compared to 2024. S&amp;P Global Mobility forecast (as of mid-January 2024) for light vehicle production for calendar year 2025 are approximately 16.2 million units for North America, 17.5 million units for Europe, 11.8 million units for Japan and Korea, and 30.1 million units for China. Based on these forecasts, as well as the Company's estimates for aerospace, medical, and fire protection sales for calendar year 2025, the Company is estimating that revenue for calendar year 2025 will be between $2.65 and $2.75 billion. As noted above, continuing uncertainties make forecasting difficult.</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Market Risk Disclosure</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is subject to market risk exposures of varying correlations and volatilities, including foreign exchange rate risk, and interest rate risk. Fluctuating interest rates and securities prices could negatively impact the Company's financial performance due to realized losses on the sale of fixed income investments and/or realized losses due to an impairment adjustment on investment securities. The Company does not currently believe such risks are necessarily material.</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some assets, liabilities and operations outside the United States, including multi-currency accounts, which currently are not significant overall to the Company as a whole. Because the Company sells its automotive mirrors throughout the world and automobile manufacturing is highly dependent on general economic conditions, it could be significantly affected by weak economic conditions in foreign markets that could reduce demand for its products.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Most of the Company’s non-U.S. sales are invoiced and paid in U.S. dollars. During calendar year 2023, approximately 8% of the Company’s net sales were invoiced and paid in foreign currencies (compared to 7% for calendar year 2022 and 8% for calendar year 2021). The Company currently expects that approximately 8-9% of the Company’s net sales in calendar year 2024 will be invoiced and paid in foreign currencies. The Company does not currently engage in hedging activities of foreign currencies.</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Significant Accounting Policies and Critical Accounting Estimates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preparation of the Company's Consolidated Financial Statements, which have been prepared in accordance with accounting principles generally accepted in the United States, requires management to make estimates, assumptions and apply judgments that affect its financial position and results of operations. On an ongoing basis, management evaluates these estimates and assumptions. Management also continually reviews its accounting policies and financial information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Company’s significant accounting policies are described in </w:t>
      </w:r>
      <w:r>
        <w:rPr>
          <w:rFonts w:ascii="Arial" w:cs="Arial" w:eastAsia="Arial" w:hAnsi="Arial"/>
          <w:sz w:val="17"/>
          <w:szCs w:val="17"/>
          <w:u w:val="single" w:color="auto"/>
          <w:color w:val="0000FF"/>
        </w:rPr>
        <w:t>Note 1</w:t>
      </w:r>
      <w:r>
        <w:rPr>
          <w:rFonts w:ascii="Arial" w:cs="Arial" w:eastAsia="Arial" w:hAnsi="Arial"/>
          <w:sz w:val="17"/>
          <w:szCs w:val="17"/>
          <w:color w:val="auto"/>
        </w:rPr>
        <w:t xml:space="preserve"> of the Consolidated Financial Statements.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Certain of our accounting policies require management to make estimates and assumptions that affect the reported amounts of assets and liabilities as of the date of the Consolidated Financial statements and the reported amounts of revenues and expenses during the reporting period. These estimates and assumptions are based on our historical experience, the terms of existing contracts, our evaluation of trends in the industry, information provided by our customers and suppliers and information available from other outside sources, as appropriate. However, these estimates and assumptions are inherently subject to a degree of uncertainty. As a result, actual results in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these areas may differ significantly from our estimates, as is the case in any application of generally accepted accounting principles.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an accounting estimate to be critical if:</w:t>
      </w:r>
    </w:p>
    <w:p>
      <w:pPr>
        <w:spacing w:after="0" w:line="22" w:lineRule="exact"/>
        <w:rPr>
          <w:sz w:val="20"/>
          <w:szCs w:val="20"/>
          <w:color w:val="auto"/>
        </w:rPr>
      </w:pPr>
    </w:p>
    <w:p>
      <w:pPr>
        <w:ind w:left="700" w:hanging="96"/>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It requires management to make assumptions about matters that were uncertain at the time of the estimate, and</w:t>
      </w:r>
    </w:p>
    <w:p>
      <w:pPr>
        <w:spacing w:after="0" w:line="5" w:lineRule="exact"/>
        <w:rPr>
          <w:rFonts w:ascii="Arial" w:cs="Arial" w:eastAsia="Arial" w:hAnsi="Arial"/>
          <w:sz w:val="17"/>
          <w:szCs w:val="17"/>
          <w:color w:val="auto"/>
        </w:rPr>
      </w:pPr>
    </w:p>
    <w:p>
      <w:pPr>
        <w:ind w:left="600" w:firstLine="4"/>
        <w:spacing w:after="0" w:line="259" w:lineRule="auto"/>
        <w:tabs>
          <w:tab w:leader="none" w:pos="714"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the estimate or different estimates that could have been selected would have had a material impact on our financial condition or results of operations.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u w:val="single" w:color="auto"/>
          <w:color w:val="auto"/>
        </w:rPr>
        <w:t>Revenue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recognizes revenue in accordance with Accounting Standards Codification (ASC) 606,</w:t>
      </w:r>
      <w:r>
        <w:rPr>
          <w:rFonts w:ascii="Arial" w:cs="Arial" w:eastAsia="Arial" w:hAnsi="Arial"/>
          <w:sz w:val="17"/>
          <w:szCs w:val="17"/>
          <w:i w:val="1"/>
          <w:iCs w:val="1"/>
          <w:color w:val="auto"/>
        </w:rPr>
        <w:t xml:space="preserve"> Revenue from Contracts with Customers</w:t>
      </w:r>
      <w:r>
        <w:rPr>
          <w:rFonts w:ascii="Arial" w:cs="Arial" w:eastAsia="Arial" w:hAnsi="Arial"/>
          <w:sz w:val="17"/>
          <w:szCs w:val="17"/>
          <w:color w:val="auto"/>
        </w:rPr>
        <w:t>. Accordingly, revenue is recognized in an amount that reflects the consideration to which the Company expects to be entitled in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in the ordinary course of business. Typically, such purchase orders provide the annual terms, including pricing, related to a particular vehicle model. Purchase orders generally do not specify quantities. The Company recognizes revenue based on the pricing terms included in such annual purchase orders.</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part of certain agreements, entered into in the ordinary course of business, the Company is asked to provide customers with annual price reductions. Such amounts are estimated and accrued as a reduction of revenue as products are shipped to those customers.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our pricing arrangements with customers based on the related content, the cost of our products and other commercial factors. Such pricing accruals are adjusted as they are settled with our customers.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also </w:t>
      </w:r>
      <w:r>
        <w:rPr>
          <w:rFonts w:ascii="Arial" w:cs="Arial" w:eastAsia="Arial" w:hAnsi="Arial"/>
          <w:sz w:val="17"/>
          <w:szCs w:val="17"/>
          <w:u w:val="single" w:color="auto"/>
          <w:color w:val="0000FF"/>
        </w:rPr>
        <w:t>Item 13 of Part III</w:t>
      </w:r>
      <w:r>
        <w:rPr>
          <w:rFonts w:ascii="Arial" w:cs="Arial" w:eastAsia="Arial" w:hAnsi="Arial"/>
          <w:sz w:val="17"/>
          <w:szCs w:val="17"/>
          <w:color w:val="auto"/>
        </w:rPr>
        <w:t xml:space="preserve"> with respect to "Certain Transactions", which is incorporated herein.</w:t>
      </w:r>
    </w:p>
    <w:p>
      <w:pPr>
        <w:spacing w:after="0" w:line="232"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See "</w:t>
      </w:r>
      <w:r>
        <w:rPr>
          <w:rFonts w:ascii="Arial" w:cs="Arial" w:eastAsia="Arial" w:hAnsi="Arial"/>
          <w:sz w:val="17"/>
          <w:szCs w:val="17"/>
          <w:u w:val="single" w:color="auto"/>
          <w:color w:val="0000FF"/>
        </w:rPr>
        <w:t>Market Risk Disclosure</w:t>
      </w:r>
      <w:r>
        <w:rPr>
          <w:rFonts w:ascii="Arial" w:cs="Arial" w:eastAsia="Arial" w:hAnsi="Arial"/>
          <w:sz w:val="17"/>
          <w:szCs w:val="17"/>
          <w:color w:val="auto"/>
        </w:rPr>
        <w:t xml:space="preserve">" in Management’s Discussion and Analysis of Financial Condition and Results of Operations. See </w:t>
      </w:r>
      <w:r>
        <w:rPr>
          <w:rFonts w:ascii="Arial" w:cs="Arial" w:eastAsia="Arial" w:hAnsi="Arial"/>
          <w:sz w:val="17"/>
          <w:szCs w:val="17"/>
          <w:u w:val="single" w:color="auto"/>
          <w:color w:val="0000FF"/>
        </w:rPr>
        <w:t>Item 7, Part II</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9" w:name="page30"/>
    <w:bookmarkEnd w:id="29"/>
    <w:p>
      <w:pPr>
        <w:spacing w:after="0"/>
        <w:tabs>
          <w:tab w:leader="none" w:pos="88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financial statements and reports of independent registered public accounting firm are filed with this report following the signature page: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60" w:type="dxa"/>
            <w:vAlign w:val="bottom"/>
            <w:gridSpan w:val="5"/>
          </w:tcPr>
          <w:p>
            <w:pPr>
              <w:ind w:left="320"/>
              <w:spacing w:after="0"/>
              <w:rPr>
                <w:sz w:val="20"/>
                <w:szCs w:val="20"/>
                <w:color w:val="auto"/>
              </w:rPr>
            </w:pPr>
            <w:r>
              <w:rPr>
                <w:rFonts w:ascii="Arial" w:cs="Arial" w:eastAsia="Arial" w:hAnsi="Arial"/>
                <w:sz w:val="15"/>
                <w:szCs w:val="15"/>
                <w:b w:val="1"/>
                <w:bCs w:val="1"/>
                <w:color w:val="auto"/>
              </w:rPr>
              <w:t>Document</w:t>
            </w:r>
          </w:p>
        </w:tc>
        <w:tc>
          <w:tcPr>
            <w:tcW w:w="3420" w:type="dxa"/>
            <w:vAlign w:val="bottom"/>
            <w:gridSpan w:val="3"/>
          </w:tcPr>
          <w:p>
            <w:pPr>
              <w:jc w:val="center"/>
              <w:ind w:left="2985"/>
              <w:spacing w:after="0"/>
              <w:rPr>
                <w:sz w:val="20"/>
                <w:szCs w:val="20"/>
                <w:color w:val="auto"/>
              </w:rPr>
            </w:pPr>
            <w:r>
              <w:rPr>
                <w:rFonts w:ascii="Arial" w:cs="Arial" w:eastAsia="Arial" w:hAnsi="Arial"/>
                <w:sz w:val="15"/>
                <w:szCs w:val="15"/>
                <w:b w:val="1"/>
                <w:bCs w:val="1"/>
                <w:color w:val="auto"/>
              </w:rPr>
              <w:t>Page</w:t>
            </w:r>
          </w:p>
        </w:tc>
      </w:tr>
      <w:tr>
        <w:trPr>
          <w:trHeight w:val="296"/>
        </w:trPr>
        <w:tc>
          <w:tcPr>
            <w:tcW w:w="7440" w:type="dxa"/>
            <w:vAlign w:val="bottom"/>
            <w:gridSpan w:val="8"/>
          </w:tcPr>
          <w:p>
            <w:pPr>
              <w:spacing w:after="0"/>
              <w:rPr>
                <w:sz w:val="20"/>
                <w:szCs w:val="20"/>
                <w:color w:val="auto"/>
              </w:rPr>
            </w:pPr>
            <w:r>
              <w:rPr>
                <w:rFonts w:ascii="Arial" w:cs="Arial" w:eastAsia="Arial" w:hAnsi="Arial"/>
                <w:sz w:val="15"/>
                <w:szCs w:val="15"/>
                <w:color w:val="0000FF"/>
              </w:rPr>
              <w:t xml:space="preserve">Report of Independent Registered Public Accounting Firm </w:t>
            </w:r>
            <w:r>
              <w:rPr>
                <w:rFonts w:ascii="Arial" w:cs="Arial" w:eastAsia="Arial" w:hAnsi="Arial"/>
                <w:sz w:val="15"/>
                <w:szCs w:val="15"/>
                <w:color w:val="000000"/>
              </w:rPr>
              <w:t>(PCAOB ID:42)</w:t>
            </w:r>
          </w:p>
        </w:tc>
        <w:tc>
          <w:tcPr>
            <w:tcW w:w="3420" w:type="dxa"/>
            <w:vAlign w:val="bottom"/>
            <w:gridSpan w:val="3"/>
          </w:tcPr>
          <w:p>
            <w:pPr>
              <w:jc w:val="center"/>
              <w:ind w:left="2965"/>
              <w:spacing w:after="0"/>
              <w:rPr>
                <w:sz w:val="20"/>
                <w:szCs w:val="20"/>
                <w:color w:val="auto"/>
              </w:rPr>
            </w:pPr>
            <w:r>
              <w:rPr>
                <w:rFonts w:ascii="Arial" w:cs="Arial" w:eastAsia="Arial" w:hAnsi="Arial"/>
                <w:sz w:val="15"/>
                <w:szCs w:val="15"/>
                <w:color w:val="0000FF"/>
              </w:rPr>
              <w:t>41</w:t>
            </w:r>
          </w:p>
        </w:tc>
      </w:tr>
      <w:tr>
        <w:trPr>
          <w:trHeight w:val="20"/>
        </w:trPr>
        <w:tc>
          <w:tcPr>
            <w:tcW w:w="29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6820" w:type="dxa"/>
            <w:vAlign w:val="bottom"/>
            <w:tcBorders>
              <w:bottom w:val="single" w:sz="8" w:color="0000FF"/>
            </w:tcBorders>
            <w:gridSpan w:val="6"/>
          </w:tcPr>
          <w:p>
            <w:pPr>
              <w:spacing w:after="0"/>
              <w:rPr>
                <w:sz w:val="20"/>
                <w:szCs w:val="20"/>
                <w:color w:val="auto"/>
              </w:rPr>
            </w:pPr>
            <w:r>
              <w:rPr>
                <w:rFonts w:ascii="Arial" w:cs="Arial" w:eastAsia="Arial" w:hAnsi="Arial"/>
                <w:sz w:val="15"/>
                <w:szCs w:val="15"/>
                <w:color w:val="0000FF"/>
              </w:rPr>
              <w:t>Report of Independent Registered Public Accounting Firm on Internal Control over Financial Reporting</w:t>
            </w:r>
          </w:p>
        </w:tc>
        <w:tc>
          <w:tcPr>
            <w:tcW w:w="620" w:type="dxa"/>
            <w:vAlign w:val="bottom"/>
            <w:gridSpan w:val="2"/>
          </w:tcPr>
          <w:p>
            <w:pPr>
              <w:spacing w:after="0"/>
              <w:rPr>
                <w:sz w:val="15"/>
                <w:szCs w:val="15"/>
                <w:color w:val="auto"/>
              </w:rPr>
            </w:pPr>
          </w:p>
        </w:tc>
        <w:tc>
          <w:tcPr>
            <w:tcW w:w="3140" w:type="dxa"/>
            <w:vAlign w:val="bottom"/>
          </w:tcPr>
          <w:p>
            <w:pPr>
              <w:spacing w:after="0"/>
              <w:rPr>
                <w:sz w:val="15"/>
                <w:szCs w:val="15"/>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rPr>
              <w:t>43</w:t>
            </w:r>
          </w:p>
        </w:tc>
        <w:tc>
          <w:tcPr>
            <w:tcW w:w="100" w:type="dxa"/>
            <w:vAlign w:val="bottom"/>
          </w:tcPr>
          <w:p>
            <w:pPr>
              <w:spacing w:after="0"/>
              <w:rPr>
                <w:sz w:val="15"/>
                <w:szCs w:val="15"/>
                <w:color w:val="auto"/>
              </w:rPr>
            </w:pPr>
          </w:p>
        </w:tc>
      </w:tr>
      <w:tr>
        <w:trPr>
          <w:trHeight w:val="181"/>
        </w:trPr>
        <w:tc>
          <w:tcPr>
            <w:tcW w:w="7440" w:type="dxa"/>
            <w:vAlign w:val="bottom"/>
            <w:gridSpan w:val="8"/>
          </w:tcPr>
          <w:p>
            <w:pPr>
              <w:spacing w:after="0"/>
              <w:rPr>
                <w:sz w:val="20"/>
                <w:szCs w:val="20"/>
                <w:color w:val="auto"/>
              </w:rPr>
            </w:pPr>
            <w:r>
              <w:rPr>
                <w:rFonts w:ascii="Arial" w:cs="Arial" w:eastAsia="Arial" w:hAnsi="Arial"/>
                <w:sz w:val="15"/>
                <w:szCs w:val="15"/>
                <w:color w:val="0000FF"/>
              </w:rPr>
              <w:t>Consolidated Balance Sheets as of December 31, 2023 and 2022</w:t>
            </w:r>
          </w:p>
        </w:tc>
        <w:tc>
          <w:tcPr>
            <w:tcW w:w="3420" w:type="dxa"/>
            <w:vAlign w:val="bottom"/>
            <w:gridSpan w:val="3"/>
          </w:tcPr>
          <w:p>
            <w:pPr>
              <w:jc w:val="center"/>
              <w:ind w:left="2965"/>
              <w:spacing w:after="0"/>
              <w:rPr>
                <w:sz w:val="20"/>
                <w:szCs w:val="20"/>
                <w:color w:val="auto"/>
              </w:rPr>
            </w:pPr>
            <w:r>
              <w:rPr>
                <w:rFonts w:ascii="Arial" w:cs="Arial" w:eastAsia="Arial" w:hAnsi="Arial"/>
                <w:sz w:val="15"/>
                <w:szCs w:val="15"/>
                <w:color w:val="0000FF"/>
              </w:rPr>
              <w:t>44</w:t>
            </w:r>
          </w:p>
        </w:tc>
      </w:tr>
      <w:tr>
        <w:trPr>
          <w:trHeight w:val="20"/>
        </w:trPr>
        <w:tc>
          <w:tcPr>
            <w:tcW w:w="294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6240" w:type="dxa"/>
            <w:vAlign w:val="bottom"/>
            <w:tcBorders>
              <w:bottom w:val="single" w:sz="8" w:color="0000FF"/>
            </w:tcBorders>
            <w:gridSpan w:val="4"/>
          </w:tcPr>
          <w:p>
            <w:pPr>
              <w:spacing w:after="0"/>
              <w:rPr>
                <w:sz w:val="20"/>
                <w:szCs w:val="20"/>
                <w:color w:val="auto"/>
              </w:rPr>
            </w:pPr>
            <w:r>
              <w:rPr>
                <w:rFonts w:ascii="Arial" w:cs="Arial" w:eastAsia="Arial" w:hAnsi="Arial"/>
                <w:sz w:val="15"/>
                <w:szCs w:val="15"/>
                <w:color w:val="0000FF"/>
              </w:rPr>
              <w:t>Consolidated Statements of Income for the years ended December 31, 2023, 2022, and 2021</w:t>
            </w:r>
          </w:p>
        </w:tc>
        <w:tc>
          <w:tcPr>
            <w:tcW w:w="1200" w:type="dxa"/>
            <w:vAlign w:val="bottom"/>
            <w:gridSpan w:val="4"/>
          </w:tcPr>
          <w:p>
            <w:pPr>
              <w:spacing w:after="0"/>
              <w:rPr>
                <w:sz w:val="15"/>
                <w:szCs w:val="15"/>
                <w:color w:val="auto"/>
              </w:rPr>
            </w:pPr>
          </w:p>
        </w:tc>
        <w:tc>
          <w:tcPr>
            <w:tcW w:w="3140" w:type="dxa"/>
            <w:vAlign w:val="bottom"/>
          </w:tcPr>
          <w:p>
            <w:pPr>
              <w:spacing w:after="0"/>
              <w:rPr>
                <w:sz w:val="15"/>
                <w:szCs w:val="15"/>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rPr>
              <w:t>45</w:t>
            </w:r>
          </w:p>
        </w:tc>
        <w:tc>
          <w:tcPr>
            <w:tcW w:w="100" w:type="dxa"/>
            <w:vAlign w:val="bottom"/>
          </w:tcPr>
          <w:p>
            <w:pPr>
              <w:spacing w:after="0"/>
              <w:rPr>
                <w:sz w:val="15"/>
                <w:szCs w:val="15"/>
                <w:color w:val="auto"/>
              </w:rPr>
            </w:pPr>
          </w:p>
        </w:tc>
      </w:tr>
      <w:tr>
        <w:trPr>
          <w:trHeight w:val="181"/>
        </w:trPr>
        <w:tc>
          <w:tcPr>
            <w:tcW w:w="7340" w:type="dxa"/>
            <w:vAlign w:val="bottom"/>
            <w:tcBorders>
              <w:bottom w:val="single" w:sz="8" w:color="0000FF"/>
            </w:tcBorders>
            <w:gridSpan w:val="7"/>
          </w:tcPr>
          <w:p>
            <w:pPr>
              <w:spacing w:after="0"/>
              <w:rPr>
                <w:sz w:val="20"/>
                <w:szCs w:val="20"/>
                <w:color w:val="auto"/>
              </w:rPr>
            </w:pPr>
            <w:r>
              <w:rPr>
                <w:rFonts w:ascii="Arial" w:cs="Arial" w:eastAsia="Arial" w:hAnsi="Arial"/>
                <w:sz w:val="15"/>
                <w:szCs w:val="15"/>
                <w:color w:val="0000FF"/>
              </w:rPr>
              <w:t>Consolidated Statements of Comprehensive Income for the years ended December 31, 2023, 2022, and 2021</w:t>
            </w:r>
          </w:p>
        </w:tc>
        <w:tc>
          <w:tcPr>
            <w:tcW w:w="1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rPr>
              <w:t>46</w:t>
            </w:r>
          </w:p>
        </w:tc>
        <w:tc>
          <w:tcPr>
            <w:tcW w:w="100" w:type="dxa"/>
            <w:vAlign w:val="bottom"/>
          </w:tcPr>
          <w:p>
            <w:pPr>
              <w:spacing w:after="0"/>
              <w:rPr>
                <w:sz w:val="15"/>
                <w:szCs w:val="15"/>
                <w:color w:val="auto"/>
              </w:rPr>
            </w:pPr>
          </w:p>
        </w:tc>
      </w:tr>
      <w:tr>
        <w:trPr>
          <w:trHeight w:val="181"/>
        </w:trPr>
        <w:tc>
          <w:tcPr>
            <w:tcW w:w="7440" w:type="dxa"/>
            <w:vAlign w:val="bottom"/>
            <w:tcBorders>
              <w:bottom w:val="single" w:sz="8" w:color="0000FF"/>
            </w:tcBorders>
            <w:gridSpan w:val="8"/>
          </w:tcPr>
          <w:p>
            <w:pPr>
              <w:spacing w:after="0"/>
              <w:rPr>
                <w:sz w:val="20"/>
                <w:szCs w:val="20"/>
                <w:color w:val="auto"/>
              </w:rPr>
            </w:pPr>
            <w:r>
              <w:rPr>
                <w:rFonts w:ascii="Arial" w:cs="Arial" w:eastAsia="Arial" w:hAnsi="Arial"/>
                <w:sz w:val="15"/>
                <w:szCs w:val="15"/>
                <w:color w:val="0000FF"/>
              </w:rPr>
              <w:t>Consolidated Statements of Shareholders’ Investment for the years ended December 31, 2023, 2022, and 2021</w:t>
            </w:r>
          </w:p>
        </w:tc>
        <w:tc>
          <w:tcPr>
            <w:tcW w:w="3140" w:type="dxa"/>
            <w:vAlign w:val="bottom"/>
          </w:tcPr>
          <w:p>
            <w:pPr>
              <w:spacing w:after="0"/>
              <w:rPr>
                <w:sz w:val="15"/>
                <w:szCs w:val="15"/>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rPr>
              <w:t>47</w:t>
            </w:r>
          </w:p>
        </w:tc>
        <w:tc>
          <w:tcPr>
            <w:tcW w:w="100" w:type="dxa"/>
            <w:vAlign w:val="bottom"/>
          </w:tcPr>
          <w:p>
            <w:pPr>
              <w:spacing w:after="0"/>
              <w:rPr>
                <w:sz w:val="15"/>
                <w:szCs w:val="15"/>
                <w:color w:val="auto"/>
              </w:rPr>
            </w:pPr>
          </w:p>
        </w:tc>
      </w:tr>
      <w:tr>
        <w:trPr>
          <w:trHeight w:val="181"/>
        </w:trPr>
        <w:tc>
          <w:tcPr>
            <w:tcW w:w="7440" w:type="dxa"/>
            <w:vAlign w:val="bottom"/>
            <w:gridSpan w:val="8"/>
          </w:tcPr>
          <w:p>
            <w:pPr>
              <w:spacing w:after="0"/>
              <w:rPr>
                <w:sz w:val="20"/>
                <w:szCs w:val="20"/>
                <w:color w:val="auto"/>
              </w:rPr>
            </w:pPr>
            <w:r>
              <w:rPr>
                <w:rFonts w:ascii="Arial" w:cs="Arial" w:eastAsia="Arial" w:hAnsi="Arial"/>
                <w:sz w:val="15"/>
                <w:szCs w:val="15"/>
                <w:color w:val="0000FF"/>
              </w:rPr>
              <w:t>Consolidated Statements of Cash Flows for the years ended December 31, 2023, 2022, and 2021</w:t>
            </w:r>
          </w:p>
        </w:tc>
        <w:tc>
          <w:tcPr>
            <w:tcW w:w="3420" w:type="dxa"/>
            <w:vAlign w:val="bottom"/>
            <w:gridSpan w:val="3"/>
          </w:tcPr>
          <w:p>
            <w:pPr>
              <w:jc w:val="center"/>
              <w:ind w:left="2965"/>
              <w:spacing w:after="0"/>
              <w:rPr>
                <w:sz w:val="20"/>
                <w:szCs w:val="20"/>
                <w:color w:val="auto"/>
              </w:rPr>
            </w:pPr>
            <w:r>
              <w:rPr>
                <w:rFonts w:ascii="Arial" w:cs="Arial" w:eastAsia="Arial" w:hAnsi="Arial"/>
                <w:sz w:val="15"/>
                <w:szCs w:val="15"/>
                <w:color w:val="0000FF"/>
              </w:rPr>
              <w:t>48</w:t>
            </w:r>
          </w:p>
        </w:tc>
      </w:tr>
      <w:tr>
        <w:trPr>
          <w:trHeight w:val="181"/>
        </w:trPr>
        <w:tc>
          <w:tcPr>
            <w:tcW w:w="29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5"/>
                <w:szCs w:val="15"/>
                <w:color w:val="0000FF"/>
              </w:rPr>
              <w:t>Notes to Consolidated Financial Statements</w:t>
            </w:r>
          </w:p>
        </w:tc>
        <w:tc>
          <w:tcPr>
            <w:tcW w:w="3580" w:type="dxa"/>
            <w:vAlign w:val="bottom"/>
            <w:tcBorders>
              <w:top w:val="single" w:sz="8" w:color="0000FF"/>
            </w:tcBorders>
            <w:gridSpan w:val="4"/>
          </w:tcPr>
          <w:p>
            <w:pPr>
              <w:spacing w:after="0"/>
              <w:rPr>
                <w:sz w:val="15"/>
                <w:szCs w:val="15"/>
                <w:color w:val="auto"/>
              </w:rPr>
            </w:pPr>
          </w:p>
        </w:tc>
        <w:tc>
          <w:tcPr>
            <w:tcW w:w="920" w:type="dxa"/>
            <w:vAlign w:val="bottom"/>
            <w:gridSpan w:val="3"/>
          </w:tcPr>
          <w:p>
            <w:pPr>
              <w:spacing w:after="0"/>
              <w:rPr>
                <w:sz w:val="15"/>
                <w:szCs w:val="15"/>
                <w:color w:val="auto"/>
              </w:rPr>
            </w:pPr>
          </w:p>
        </w:tc>
        <w:tc>
          <w:tcPr>
            <w:tcW w:w="3140" w:type="dxa"/>
            <w:vAlign w:val="bottom"/>
          </w:tcPr>
          <w:p>
            <w:pPr>
              <w:spacing w:after="0"/>
              <w:rPr>
                <w:sz w:val="15"/>
                <w:szCs w:val="15"/>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5"/>
                <w:szCs w:val="15"/>
                <w:color w:val="0000FF"/>
              </w:rPr>
              <w:t>49</w:t>
            </w:r>
          </w:p>
        </w:tc>
        <w:tc>
          <w:tcPr>
            <w:tcW w:w="1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defined in Item 304 of Regulation S-K, there have been no changes in, or disagreements with, accountants during the 24-month period ended December 31, 2023.</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Disclosure Controls and Procedures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Under the supervision of and with the participation of the Company’s management, the Company's principal executive officer and principal financial officer have evaluated the effectiveness of the design and operation of the Company’s disclosure controls and procedures ([as defined in Exchange Act Rules 13a – 15(e) and 15d – 15(e)]) as of December 31, 2023, and have concluded that the Company’s disclosure controls and procedures are adequate and effective.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Management’s Report on Internal Control Over Financial Reporting</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Rules 13a – 15(f) and 15d – 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-Integrated Framework issued by the Committee of Sponsoring Organizations of the Treadway Commission (2013 Framework)(the COSO criteria). Based on this assessment, management asserts that the Company has maintained effective internal control over financial reporting as of December 31, 2023.</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0" w:name="page31"/>
    <w:bookmarkEnd w:id="30"/>
    <w:p>
      <w:pPr>
        <w:jc w:val="both"/>
        <w:spacing w:after="0" w:line="279" w:lineRule="auto"/>
        <w:rPr>
          <w:sz w:val="20"/>
          <w:szCs w:val="20"/>
          <w:color w:val="auto"/>
        </w:rPr>
      </w:pPr>
      <w:r>
        <w:rPr>
          <w:rFonts w:ascii="Arial" w:cs="Arial" w:eastAsia="Arial" w:hAnsi="Arial"/>
          <w:sz w:val="17"/>
          <w:szCs w:val="17"/>
          <w:color w:val="auto"/>
        </w:rPr>
        <w:t xml:space="preserve">The effectiveness of the Company’s internal control over financial reporting as of December 31, 2023, has been audited by Ernst &amp; Young LLP, an independent registered public accounting firm, as stated in their report which is included in </w:t>
      </w:r>
      <w:r>
        <w:rPr>
          <w:rFonts w:ascii="Arial" w:cs="Arial" w:eastAsia="Arial" w:hAnsi="Arial"/>
          <w:sz w:val="17"/>
          <w:szCs w:val="17"/>
          <w:u w:val="single" w:color="auto"/>
          <w:color w:val="0000FF"/>
        </w:rPr>
        <w:t>Part IV</w:t>
      </w:r>
      <w:r>
        <w:rPr>
          <w:rFonts w:ascii="Arial" w:cs="Arial" w:eastAsia="Arial" w:hAnsi="Arial"/>
          <w:sz w:val="17"/>
          <w:szCs w:val="17"/>
          <w:color w:val="auto"/>
        </w:rPr>
        <w:t xml:space="preserve"> of this Form 10K.</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period covered by this annual report, there have been no changes in the Company’s internal controls over financial reporting that have materially affected or are reasonably likely to materially affect the Company’s internal controls over financial reporting. In addition, there have been no significant changes in the Company’s internal controls or in other factors that could significantly affect internal controls subsequent to December 31, 2023.</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7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31" w:name="page32"/>
    <w:bookmarkEnd w:id="31"/>
    <w:p>
      <w:pPr>
        <w:ind w:left="5300"/>
        <w:spacing w:after="0"/>
        <w:rPr>
          <w:sz w:val="20"/>
          <w:szCs w:val="20"/>
          <w:color w:val="auto"/>
        </w:rPr>
      </w:pPr>
      <w:r>
        <w:rPr>
          <w:rFonts w:ascii="Arial" w:cs="Arial" w:eastAsia="Arial" w:hAnsi="Arial"/>
          <w:sz w:val="17"/>
          <w:szCs w:val="17"/>
          <w:b w:val="1"/>
          <w:bCs w:val="1"/>
          <w:color w:val="auto"/>
        </w:rPr>
        <w:t>PART III</w:t>
      </w:r>
    </w:p>
    <w:p>
      <w:pPr>
        <w:spacing w:after="0" w:line="169"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Information about Our Executive Officers</w:t>
      </w:r>
    </w:p>
    <w:p>
      <w:pPr>
        <w:spacing w:after="0" w:line="22" w:lineRule="exact"/>
        <w:rPr>
          <w:sz w:val="20"/>
          <w:szCs w:val="20"/>
          <w:color w:val="auto"/>
        </w:rPr>
      </w:pPr>
    </w:p>
    <w:p>
      <w:pPr>
        <w:ind w:right="560"/>
        <w:spacing w:after="0" w:line="259" w:lineRule="auto"/>
        <w:rPr>
          <w:sz w:val="20"/>
          <w:szCs w:val="20"/>
          <w:color w:val="auto"/>
        </w:rPr>
      </w:pPr>
      <w:r>
        <w:rPr>
          <w:rFonts w:ascii="Arial" w:cs="Arial" w:eastAsia="Arial" w:hAnsi="Arial"/>
          <w:sz w:val="17"/>
          <w:szCs w:val="17"/>
          <w:color w:val="auto"/>
        </w:rPr>
        <w:t>The following table lists the names, ages, and positions of all of the Company’s executive officers at the time of this report. Officers are generally elected at the meeting of the Board following the annual meeting of shareholders.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6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9"/>
              </w:rPr>
              <w:t>AGE</w:t>
            </w:r>
          </w:p>
        </w:tc>
        <w:tc>
          <w:tcPr>
            <w:tcW w:w="6460" w:type="dxa"/>
            <w:vAlign w:val="bottom"/>
            <w:gridSpan w:val="2"/>
            <w:shd w:val="clear" w:color="auto" w:fill="CCEEFF"/>
          </w:tcPr>
          <w:p>
            <w:pPr>
              <w:ind w:left="2860"/>
              <w:spacing w:after="0"/>
              <w:rPr>
                <w:sz w:val="20"/>
                <w:szCs w:val="20"/>
                <w:color w:val="auto"/>
              </w:rPr>
            </w:pPr>
            <w:r>
              <w:rPr>
                <w:rFonts w:ascii="Arial" w:cs="Arial" w:eastAsia="Arial" w:hAnsi="Arial"/>
                <w:sz w:val="13"/>
                <w:szCs w:val="13"/>
                <w:b w:val="1"/>
                <w:bCs w:val="1"/>
                <w:color w:val="auto"/>
              </w:rPr>
              <w:t>POSITION</w:t>
            </w:r>
          </w:p>
        </w:tc>
        <w:tc>
          <w:tcPr>
            <w:tcW w:w="23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CURRENT POSITION HELD SINCE</w:t>
            </w:r>
          </w:p>
        </w:tc>
      </w:tr>
      <w:tr>
        <w:trPr>
          <w:trHeight w:val="206"/>
        </w:trPr>
        <w:tc>
          <w:tcPr>
            <w:tcW w:w="17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Steve Downing</w:t>
            </w:r>
          </w:p>
        </w:tc>
        <w:tc>
          <w:tcPr>
            <w:tcW w:w="100" w:type="dxa"/>
            <w:vAlign w:val="bottom"/>
          </w:tcPr>
          <w:p>
            <w:pPr>
              <w:spacing w:after="0"/>
              <w:rPr>
                <w:sz w:val="17"/>
                <w:szCs w:val="17"/>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46</w:t>
            </w:r>
          </w:p>
        </w:tc>
        <w:tc>
          <w:tcPr>
            <w:tcW w:w="100" w:type="dxa"/>
            <w:vAlign w:val="bottom"/>
          </w:tcPr>
          <w:p>
            <w:pPr>
              <w:spacing w:after="0"/>
              <w:rPr>
                <w:sz w:val="17"/>
                <w:szCs w:val="17"/>
                <w:color w:val="auto"/>
              </w:rPr>
            </w:pPr>
          </w:p>
        </w:tc>
        <w:tc>
          <w:tcPr>
            <w:tcW w:w="63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President and Chief Executive Officer</w:t>
            </w:r>
          </w:p>
        </w:tc>
        <w:tc>
          <w:tcPr>
            <w:tcW w:w="100" w:type="dxa"/>
            <w:vAlign w:val="bottom"/>
          </w:tcPr>
          <w:p>
            <w:pPr>
              <w:spacing w:after="0"/>
              <w:rPr>
                <w:sz w:val="17"/>
                <w:szCs w:val="17"/>
                <w:color w:val="auto"/>
              </w:rPr>
            </w:pPr>
          </w:p>
        </w:tc>
        <w:tc>
          <w:tcPr>
            <w:tcW w:w="23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January 2018</w:t>
            </w:r>
          </w:p>
        </w:tc>
      </w:tr>
      <w:tr>
        <w:trPr>
          <w:trHeight w:val="214"/>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Neil Boehm</w:t>
            </w:r>
          </w:p>
        </w:tc>
        <w:tc>
          <w:tcPr>
            <w:tcW w:w="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52</w:t>
            </w:r>
          </w:p>
        </w:tc>
        <w:tc>
          <w:tcPr>
            <w:tcW w:w="10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Chief Technology Officer and Vice President, Engineering</w:t>
            </w:r>
          </w:p>
        </w:tc>
        <w:tc>
          <w:tcPr>
            <w:tcW w:w="2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February 2018</w:t>
            </w:r>
          </w:p>
        </w:tc>
      </w:tr>
      <w:tr>
        <w:trPr>
          <w:trHeight w:val="214"/>
        </w:trPr>
        <w:tc>
          <w:tcPr>
            <w:tcW w:w="1820" w:type="dxa"/>
            <w:vAlign w:val="bottom"/>
            <w:gridSpan w:val="2"/>
          </w:tcPr>
          <w:p>
            <w:pPr>
              <w:ind w:left="20"/>
              <w:spacing w:after="0"/>
              <w:rPr>
                <w:sz w:val="20"/>
                <w:szCs w:val="20"/>
                <w:color w:val="auto"/>
              </w:rPr>
            </w:pPr>
            <w:r>
              <w:rPr>
                <w:rFonts w:ascii="Arial" w:cs="Arial" w:eastAsia="Arial" w:hAnsi="Arial"/>
                <w:sz w:val="17"/>
                <w:szCs w:val="17"/>
                <w:color w:val="auto"/>
              </w:rPr>
              <w:t>Kevin Nash</w:t>
            </w:r>
          </w:p>
        </w:tc>
        <w:tc>
          <w:tcPr>
            <w:tcW w:w="520" w:type="dxa"/>
            <w:vAlign w:val="bottom"/>
          </w:tcPr>
          <w:p>
            <w:pPr>
              <w:jc w:val="center"/>
              <w:spacing w:after="0"/>
              <w:rPr>
                <w:sz w:val="20"/>
                <w:szCs w:val="20"/>
                <w:color w:val="auto"/>
              </w:rPr>
            </w:pPr>
            <w:r>
              <w:rPr>
                <w:rFonts w:ascii="Arial" w:cs="Arial" w:eastAsia="Arial" w:hAnsi="Arial"/>
                <w:sz w:val="17"/>
                <w:szCs w:val="17"/>
                <w:color w:val="auto"/>
                <w:w w:val="94"/>
              </w:rPr>
              <w:t>49</w:t>
            </w:r>
          </w:p>
        </w:tc>
        <w:tc>
          <w:tcPr>
            <w:tcW w:w="100" w:type="dxa"/>
            <w:vAlign w:val="bottom"/>
          </w:tcPr>
          <w:p>
            <w:pPr>
              <w:spacing w:after="0"/>
              <w:rPr>
                <w:sz w:val="18"/>
                <w:szCs w:val="18"/>
                <w:color w:val="auto"/>
              </w:rPr>
            </w:pPr>
          </w:p>
        </w:tc>
        <w:tc>
          <w:tcPr>
            <w:tcW w:w="6460" w:type="dxa"/>
            <w:vAlign w:val="bottom"/>
            <w:gridSpan w:val="2"/>
          </w:tcPr>
          <w:p>
            <w:pPr>
              <w:ind w:left="20"/>
              <w:spacing w:after="0"/>
              <w:rPr>
                <w:sz w:val="20"/>
                <w:szCs w:val="20"/>
                <w:color w:val="auto"/>
              </w:rPr>
            </w:pPr>
            <w:r>
              <w:rPr>
                <w:rFonts w:ascii="Arial" w:cs="Arial" w:eastAsia="Arial" w:hAnsi="Arial"/>
                <w:sz w:val="17"/>
                <w:szCs w:val="17"/>
                <w:color w:val="auto"/>
              </w:rPr>
              <w:t>Vice President, Finance, Chief Financial Officer and Treasurer</w:t>
            </w:r>
          </w:p>
        </w:tc>
        <w:tc>
          <w:tcPr>
            <w:tcW w:w="2300" w:type="dxa"/>
            <w:vAlign w:val="bottom"/>
          </w:tcPr>
          <w:p>
            <w:pPr>
              <w:ind w:left="20"/>
              <w:spacing w:after="0"/>
              <w:rPr>
                <w:sz w:val="20"/>
                <w:szCs w:val="20"/>
                <w:color w:val="auto"/>
              </w:rPr>
            </w:pPr>
            <w:r>
              <w:rPr>
                <w:rFonts w:ascii="Arial" w:cs="Arial" w:eastAsia="Arial" w:hAnsi="Arial"/>
                <w:sz w:val="17"/>
                <w:szCs w:val="17"/>
                <w:color w:val="auto"/>
              </w:rPr>
              <w:t>February 2018</w:t>
            </w:r>
          </w:p>
        </w:tc>
      </w:tr>
      <w:tr>
        <w:trPr>
          <w:trHeight w:val="214"/>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Matthew Chiodo</w:t>
            </w:r>
          </w:p>
        </w:tc>
        <w:tc>
          <w:tcPr>
            <w:tcW w:w="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59</w:t>
            </w:r>
          </w:p>
        </w:tc>
        <w:tc>
          <w:tcPr>
            <w:tcW w:w="10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Chief Sales Officer and Senior Vice President, Sales</w:t>
            </w:r>
          </w:p>
        </w:tc>
        <w:tc>
          <w:tcPr>
            <w:tcW w:w="2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January 2022</w:t>
            </w:r>
          </w:p>
        </w:tc>
      </w:tr>
      <w:tr>
        <w:trPr>
          <w:trHeight w:val="222"/>
        </w:trPr>
        <w:tc>
          <w:tcPr>
            <w:tcW w:w="1820" w:type="dxa"/>
            <w:vAlign w:val="bottom"/>
            <w:gridSpan w:val="2"/>
          </w:tcPr>
          <w:p>
            <w:pPr>
              <w:ind w:left="20"/>
              <w:spacing w:after="0"/>
              <w:rPr>
                <w:sz w:val="20"/>
                <w:szCs w:val="20"/>
                <w:color w:val="auto"/>
              </w:rPr>
            </w:pPr>
            <w:r>
              <w:rPr>
                <w:rFonts w:ascii="Arial" w:cs="Arial" w:eastAsia="Arial" w:hAnsi="Arial"/>
                <w:sz w:val="17"/>
                <w:szCs w:val="17"/>
                <w:color w:val="auto"/>
              </w:rPr>
              <w:t>Scott Ryan</w:t>
            </w:r>
          </w:p>
        </w:tc>
        <w:tc>
          <w:tcPr>
            <w:tcW w:w="520" w:type="dxa"/>
            <w:vAlign w:val="bottom"/>
          </w:tcPr>
          <w:p>
            <w:pPr>
              <w:jc w:val="center"/>
              <w:spacing w:after="0"/>
              <w:rPr>
                <w:sz w:val="20"/>
                <w:szCs w:val="20"/>
                <w:color w:val="auto"/>
              </w:rPr>
            </w:pPr>
            <w:r>
              <w:rPr>
                <w:rFonts w:ascii="Arial" w:cs="Arial" w:eastAsia="Arial" w:hAnsi="Arial"/>
                <w:sz w:val="17"/>
                <w:szCs w:val="17"/>
                <w:color w:val="auto"/>
                <w:w w:val="94"/>
              </w:rPr>
              <w:t>43</w:t>
            </w:r>
          </w:p>
        </w:tc>
        <w:tc>
          <w:tcPr>
            <w:tcW w:w="10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7"/>
                <w:szCs w:val="17"/>
                <w:color w:val="auto"/>
              </w:rPr>
              <w:t>Vice President, General Counsel and Corporate Secretary</w:t>
            </w:r>
          </w:p>
        </w:tc>
        <w:tc>
          <w:tcPr>
            <w:tcW w:w="2300" w:type="dxa"/>
            <w:vAlign w:val="bottom"/>
          </w:tcPr>
          <w:p>
            <w:pPr>
              <w:ind w:left="20"/>
              <w:spacing w:after="0"/>
              <w:rPr>
                <w:sz w:val="20"/>
                <w:szCs w:val="20"/>
                <w:color w:val="auto"/>
              </w:rPr>
            </w:pPr>
            <w:r>
              <w:rPr>
                <w:rFonts w:ascii="Arial" w:cs="Arial" w:eastAsia="Arial" w:hAnsi="Arial"/>
                <w:sz w:val="17"/>
                <w:szCs w:val="17"/>
                <w:color w:val="auto"/>
              </w:rPr>
              <w:t>August 2018</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family relationships among the officers listed in the preceding table.</w:t>
      </w:r>
    </w:p>
    <w:p>
      <w:pPr>
        <w:spacing w:after="0" w:line="144" w:lineRule="exact"/>
        <w:rPr>
          <w:sz w:val="20"/>
          <w:szCs w:val="20"/>
          <w:color w:val="auto"/>
        </w:rPr>
      </w:pPr>
    </w:p>
    <w:p>
      <w:pPr>
        <w:jc w:val="both"/>
        <w:spacing w:after="0" w:line="210" w:lineRule="exact"/>
        <w:rPr>
          <w:sz w:val="20"/>
          <w:szCs w:val="20"/>
          <w:color w:val="auto"/>
        </w:rPr>
      </w:pPr>
      <w:r>
        <w:rPr>
          <w:rFonts w:ascii="Arial" w:cs="Arial" w:eastAsia="Arial" w:hAnsi="Arial"/>
          <w:sz w:val="17"/>
          <w:szCs w:val="17"/>
          <w:color w:val="auto"/>
        </w:rPr>
        <w:t xml:space="preserve">Steve Downing was elected Chief Executive Officer effective as of January 1, 2018. Mr. Downing has been employed by the Company since 2002. Prior to being elected Chief Executive Officer, he served as President and Chief Operating Officer from August 2017 to December 2017, as Senior Vice President and Chief Financial Officer from June 2015 to August 2017, and as Vice President of Finance and Chief Financial Officer from May 2013 to June 2015. He served in a variety of roles before that time. Certain terms of Mr. Downing's employment arrangement are contained herein in </w:t>
      </w:r>
      <w:r>
        <w:rPr>
          <w:rFonts w:ascii="Arial" w:cs="Arial" w:eastAsia="Arial" w:hAnsi="Arial"/>
          <w:sz w:val="17"/>
          <w:szCs w:val="17"/>
          <w:u w:val="single" w:color="auto"/>
          <w:color w:val="0000FF"/>
        </w:rPr>
        <w:t>Part III,</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Item 11</w:t>
      </w:r>
      <w:r>
        <w:rPr>
          <w:rFonts w:ascii="Arial" w:cs="Arial" w:eastAsia="Arial" w:hAnsi="Arial"/>
          <w:sz w:val="17"/>
          <w:szCs w:val="17"/>
          <w:color w:val="0000FF"/>
        </w:rPr>
        <w:t xml:space="preserve"> </w:t>
      </w:r>
      <w:r>
        <w:rPr>
          <w:rFonts w:ascii="Arial" w:cs="Arial" w:eastAsia="Arial" w:hAnsi="Arial"/>
          <w:sz w:val="17"/>
          <w:szCs w:val="17"/>
          <w:color w:val="000000"/>
        </w:rPr>
        <w:t>to this Form 10</w:t>
      </w:r>
      <w:r>
        <w:rPr>
          <w:rFonts w:ascii="MS PGothic" w:cs="MS PGothic" w:eastAsia="MS PGothic" w:hAnsi="MS PGothic"/>
          <w:sz w:val="17"/>
          <w:szCs w:val="17"/>
          <w:color w:val="000000"/>
        </w:rPr>
        <w:t>‑</w:t>
      </w:r>
      <w:r>
        <w:rPr>
          <w:rFonts w:ascii="Arial" w:cs="Arial" w:eastAsia="Arial" w:hAnsi="Arial"/>
          <w:sz w:val="17"/>
          <w:szCs w:val="17"/>
          <w:color w:val="000000"/>
        </w:rPr>
        <w:t>K.</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Neil Boehm was appointed as the Company's Vice President, Engineering and Chief Technology Officer as of February 15, 2018 and was also appointed an executive officer. Mr. Boehm has been employed by the Company since 2001. Prior to his current position, he served as the Company's Vice President of Engineering, beginning in 2015 and before that served as Senior Director of Engineering. Certain terms of Mr. Boehm's employment arrangement are contained herein in </w:t>
      </w:r>
      <w:r>
        <w:rPr>
          <w:rFonts w:ascii="Arial" w:cs="Arial" w:eastAsia="Arial" w:hAnsi="Arial"/>
          <w:sz w:val="17"/>
          <w:szCs w:val="17"/>
          <w:u w:val="single" w:color="auto"/>
          <w:color w:val="0000FF"/>
        </w:rPr>
        <w:t>Part III, Item 11</w:t>
      </w:r>
      <w:r>
        <w:rPr>
          <w:rFonts w:ascii="Arial" w:cs="Arial" w:eastAsia="Arial" w:hAnsi="Arial"/>
          <w:sz w:val="17"/>
          <w:szCs w:val="17"/>
          <w:color w:val="auto"/>
        </w:rPr>
        <w:t xml:space="preserve"> to this Form 10-K.</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Kevin Nash was appointed as the Company's Vice President, Finance, Chief Financial Officer, and Treasurer, effective as of February 15, 2018. He is also the Company's Chief Accounting Officer. Mr. Nash has been employed by the Company since 1999. Prior to his current position, he served as the Company's Vice President of Accounting and Chief Accounting Officer, beginning in 2014 and before that served as Director of Accounting and Chief Accounting Officer. Certain terms of Mr. Nash's employment arrangement are contained herein in </w:t>
      </w:r>
      <w:r>
        <w:rPr>
          <w:rFonts w:ascii="Arial" w:cs="Arial" w:eastAsia="Arial" w:hAnsi="Arial"/>
          <w:sz w:val="17"/>
          <w:szCs w:val="17"/>
          <w:u w:val="single" w:color="auto"/>
          <w:color w:val="0000FF"/>
        </w:rPr>
        <w:t>Part III, Item 11</w:t>
      </w:r>
      <w:r>
        <w:rPr>
          <w:rFonts w:ascii="Arial" w:cs="Arial" w:eastAsia="Arial" w:hAnsi="Arial"/>
          <w:sz w:val="17"/>
          <w:szCs w:val="17"/>
          <w:color w:val="auto"/>
        </w:rPr>
        <w:t xml:space="preserve"> to this Form 10-K.</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Matthew Chiodo's title changed to Chief Sales Officer and Senior Vice President of Sales on January 17, 2022, though he was already and continues to be a named executive officer. Mr. Chiodo has been employed by the Company since 2001. Prior to his current title, his title was the Company's Vice President of Sales, beginning in 2017 and before that served as Director of Sales for several years. Certain terms of Mr. Chiodo's employment arrangement are contained herein in </w:t>
      </w:r>
      <w:r>
        <w:rPr>
          <w:rFonts w:ascii="Arial" w:cs="Arial" w:eastAsia="Arial" w:hAnsi="Arial"/>
          <w:sz w:val="17"/>
          <w:szCs w:val="17"/>
          <w:u w:val="single" w:color="auto"/>
          <w:color w:val="0000FF"/>
        </w:rPr>
        <w:t>Part III, Item 11</w:t>
      </w:r>
      <w:r>
        <w:rPr>
          <w:rFonts w:ascii="Arial" w:cs="Arial" w:eastAsia="Arial" w:hAnsi="Arial"/>
          <w:sz w:val="17"/>
          <w:szCs w:val="17"/>
          <w:color w:val="auto"/>
        </w:rPr>
        <w:t xml:space="preserve"> to this Form 10-K.</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Scott Ryan was appointed as the Company's Vice President, General Counsel and Corporate Secretary on August 16, 2018. Mr. Ryan has been employed by the Company since 2010. Prior to his current position, he served as Assistant General Counsel and Corporate Secretary from June 2015 to August 2018. Prior to that he served as Patent Counsel from November 2013 to June 2015. Certain terms of Mr. Ryan's employment arrangement are contained herein in </w:t>
      </w:r>
      <w:r>
        <w:rPr>
          <w:rFonts w:ascii="Arial" w:cs="Arial" w:eastAsia="Arial" w:hAnsi="Arial"/>
          <w:sz w:val="17"/>
          <w:szCs w:val="17"/>
          <w:u w:val="single" w:color="auto"/>
          <w:color w:val="0000FF"/>
        </w:rPr>
        <w:t>Part III, Item 11</w:t>
      </w:r>
      <w:r>
        <w:rPr>
          <w:rFonts w:ascii="Arial" w:cs="Arial" w:eastAsia="Arial" w:hAnsi="Arial"/>
          <w:sz w:val="17"/>
          <w:szCs w:val="17"/>
          <w:color w:val="auto"/>
        </w:rPr>
        <w:t xml:space="preserve"> to this Form 10-K.</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Information relating to directors appearing under the caption “Election of Directors” in the definitive Proxy Statement for 2024 Annual Meeting of Shareholders and filed with the Commission within 120 days after the Company’s fiscal year end, December 31, 2023 (the “Proxy Statement”), is hereby incorporated herein by reference. No changes were made to the procedures by which shareholders may recommend nominees for the Board. Any information concerning compliance with Section 16(a) of the Securities and Exchange Act of 1934 that may appear under the caption “Delinquent Section 16 Reports” in the definitive Proxy Statement is hereby incorporated herein by reference. Information relating to the Company’s Audit Committee and concerning whether at least one member of the Audit Committee is an “audit committee financial expert” as that term is defined under Item 407(d)(5) of Regulation S-K appearing under the caption “Corporate Governance – Audit Committee” in the definitive Proxy Statement is hereby incorporated herein by reference.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2" w:name="page33"/>
    <w:bookmarkEnd w:id="32"/>
    <w:p>
      <w:pPr>
        <w:jc w:val="both"/>
        <w:spacing w:after="0" w:line="253" w:lineRule="auto"/>
        <w:rPr>
          <w:sz w:val="20"/>
          <w:szCs w:val="20"/>
          <w:color w:val="auto"/>
        </w:rPr>
      </w:pPr>
      <w:r>
        <w:rPr>
          <w:rFonts w:ascii="Arial" w:cs="Arial" w:eastAsia="Arial" w:hAnsi="Arial"/>
          <w:sz w:val="17"/>
          <w:szCs w:val="17"/>
          <w:color w:val="auto"/>
        </w:rPr>
        <w:t>The Company has adopted a Code of Ethics for Certain Senior Officers that applies to its principal executive officer, principal financial officer, and principal accounting officer. A copy of the Code of Ethics for Certain Senior Officers is available without charge, upon written request, from the Corporate Secretary of the Company, 600 N. Centennial Street, Zeeland, Michigan 49464 and on the Company's website. The Company intends to satisfy the disclosure requirement under Item 5.05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33" w:name="page34"/>
    <w:bookmarkEnd w:id="33"/>
    <w:p>
      <w:pPr>
        <w:spacing w:after="0"/>
        <w:tabs>
          <w:tab w:leader="none" w:pos="78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under the caption "Compensation Committee Report," "Compensation Discussion and Analysis," "Executive Compensation,"</w:t>
      </w:r>
    </w:p>
    <w:p>
      <w:pPr>
        <w:spacing w:after="0" w:line="2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"Director Compensation," and "Compensation Committee Interlocks and Insider Participation" contained in the definitive Proxy Statement is hereby incorporated herein by reference. The "Compensation Committee Report" shall not be deemed to be soliciting material or to be filed with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commission.</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previously disclosed, the Compensation Committee has a goal that base salaries for officers, including named executive officers, are at or near the market median for base salaries when compared to the Company's established peer group.</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In light of that, the Compensation Committee has periodically reviewed base salaries for officers, including where officers rank compared to the</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Company's established peer group. It was determined by the Compensation Committee that certain officer base salaries trail the announced goal of base salaries at market median. As such, in light of the positive financial outlook for the Company the ever-increasing competition for talent, the need to</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attract and retain management to fulfil the Company's strategic goals, desire for base salaries to approach market median, and the high level individual performances of officers, the Compensation Committee recommended to the Board and the Board approved certain changes in base salaries for 2024,</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though such changes did not include the Company's President and CEO. Mr. Downing requested no increase to his base salary in 2024. In light of Mr. Downing's continued excellent performance, and base salary, the Board approved increases to Mr. Downing's annual and long term incentives, as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disclosed herein. The Board, on February 15, 2024, approved the following base salaries for the CEO and other named executive officers for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Executive Officer</w:t>
            </w:r>
          </w:p>
        </w:tc>
        <w:tc>
          <w:tcPr>
            <w:tcW w:w="5440" w:type="dxa"/>
            <w:vAlign w:val="bottom"/>
            <w:tcBorders>
              <w:bottom w:val="single" w:sz="8" w:color="auto"/>
            </w:tcBorders>
          </w:tcPr>
          <w:p>
            <w:pPr>
              <w:ind w:left="3340"/>
              <w:spacing w:after="0"/>
              <w:rPr>
                <w:sz w:val="20"/>
                <w:szCs w:val="20"/>
                <w:color w:val="auto"/>
              </w:rPr>
            </w:pPr>
            <w:r>
              <w:rPr>
                <w:rFonts w:ascii="Arial" w:cs="Arial" w:eastAsia="Arial" w:hAnsi="Arial"/>
                <w:sz w:val="13"/>
                <w:szCs w:val="13"/>
                <w:b w:val="1"/>
                <w:bCs w:val="1"/>
                <w:color w:val="auto"/>
              </w:rPr>
              <w:t>Position</w:t>
            </w:r>
          </w:p>
        </w:tc>
        <w:tc>
          <w:tcPr>
            <w:tcW w:w="2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2024 Base Salary</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2023 Base Salary</w:t>
            </w:r>
          </w:p>
        </w:tc>
      </w:tr>
      <w:tr>
        <w:trPr>
          <w:trHeight w:val="207"/>
        </w:trPr>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President and CEO</w:t>
            </w:r>
          </w:p>
        </w:tc>
        <w:tc>
          <w:tcPr>
            <w:tcW w:w="18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w:t>
            </w:r>
          </w:p>
        </w:tc>
      </w:tr>
      <w:tr>
        <w:trPr>
          <w:trHeight w:val="214"/>
        </w:trPr>
        <w:tc>
          <w:tcPr>
            <w:tcW w:w="18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440" w:type="dxa"/>
            <w:vAlign w:val="bottom"/>
          </w:tcPr>
          <w:p>
            <w:pPr>
              <w:ind w:left="240"/>
              <w:spacing w:after="0"/>
              <w:rPr>
                <w:sz w:val="20"/>
                <w:szCs w:val="20"/>
                <w:color w:val="auto"/>
              </w:rPr>
            </w:pPr>
            <w:r>
              <w:rPr>
                <w:rFonts w:ascii="Arial" w:cs="Arial" w:eastAsia="Arial" w:hAnsi="Arial"/>
                <w:sz w:val="17"/>
                <w:szCs w:val="17"/>
                <w:color w:val="auto"/>
              </w:rPr>
              <w:t>VP, Engineering and CTO</w:t>
            </w:r>
          </w:p>
        </w:tc>
        <w:tc>
          <w:tcPr>
            <w:tcW w:w="188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575,000</w:t>
            </w:r>
          </w:p>
        </w:tc>
        <w:tc>
          <w:tcPr>
            <w:tcW w:w="34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515,000</w:t>
            </w:r>
          </w:p>
        </w:tc>
      </w:tr>
      <w:tr>
        <w:trPr>
          <w:trHeight w:val="214"/>
        </w:trPr>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VP, Finance, CFO and Treasurer</w:t>
            </w:r>
          </w:p>
        </w:tc>
        <w:tc>
          <w:tcPr>
            <w:tcW w:w="18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555,000</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515,000</w:t>
            </w:r>
          </w:p>
        </w:tc>
      </w:tr>
      <w:tr>
        <w:trPr>
          <w:trHeight w:val="214"/>
        </w:trPr>
        <w:tc>
          <w:tcPr>
            <w:tcW w:w="18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440" w:type="dxa"/>
            <w:vAlign w:val="bottom"/>
          </w:tcPr>
          <w:p>
            <w:pPr>
              <w:ind w:left="240"/>
              <w:spacing w:after="0"/>
              <w:rPr>
                <w:sz w:val="20"/>
                <w:szCs w:val="20"/>
                <w:color w:val="auto"/>
              </w:rPr>
            </w:pPr>
            <w:r>
              <w:rPr>
                <w:rFonts w:ascii="Arial" w:cs="Arial" w:eastAsia="Arial" w:hAnsi="Arial"/>
                <w:sz w:val="17"/>
                <w:szCs w:val="17"/>
                <w:color w:val="auto"/>
              </w:rPr>
              <w:t>Senior VP, Sales and CSO</w:t>
            </w:r>
          </w:p>
        </w:tc>
        <w:tc>
          <w:tcPr>
            <w:tcW w:w="188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480,000</w:t>
            </w:r>
          </w:p>
        </w:tc>
        <w:tc>
          <w:tcPr>
            <w:tcW w:w="34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455,000</w:t>
            </w:r>
          </w:p>
        </w:tc>
      </w:tr>
      <w:tr>
        <w:trPr>
          <w:trHeight w:val="214"/>
        </w:trPr>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VP, General Counsel and Corporate Secretary</w:t>
            </w:r>
          </w:p>
        </w:tc>
        <w:tc>
          <w:tcPr>
            <w:tcW w:w="18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440,000</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415,000</w:t>
            </w:r>
          </w:p>
        </w:tc>
      </w:tr>
    </w:tbl>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Amended and Restated Annual Incentive Performance-Based Bonus Plan</w:t>
      </w:r>
    </w:p>
    <w:p>
      <w:pPr>
        <w:spacing w:after="0" w:line="23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Board previously approved the Amended and Restated Annual Incentive Performance-Based Bonus Plan (the "Annual Plan") to further emphasize performance-based compensation. In lieu of participating in the profit-sharing bonus paid to all employees, the Annual Plan provides potential cash-based bonuses for officers based on the achievement of three key performance metrics: Revenue (33.33% weighting); Operating Income (33.33% weighting); and Earnings per Diluted Share (33.33% weighting). The Annual Plan covers certain officers, including named executive officers.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At the beginning of each year, the Compensation Committee reviews and approves a cash bonus target under the Annual Plan for each officer, as a percentage of base salary for the year. Under the Annual Plan in 2024, the CEO may earn up to 220% of base salary. The non-CEO named executive officers may earn up to 0% to 150% of their respective base salaries. All performance-related targets under the Annual Plan are set by, and achievement of targets are approved by</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the Compensation Committee and/or the Board of Directors.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our executive officers, the 2024 Annual Plan payout opportunities as a percentage of base salary applicable to each performance metric are shown in the table below:</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900" w:type="dxa"/>
            <w:vAlign w:val="bottom"/>
            <w:tcBorders>
              <w:bottom w:val="single" w:sz="8" w:color="auto"/>
            </w:tcBorders>
          </w:tcPr>
          <w:p>
            <w:pPr>
              <w:ind w:left="2500"/>
              <w:spacing w:after="0"/>
              <w:rPr>
                <w:sz w:val="20"/>
                <w:szCs w:val="20"/>
                <w:color w:val="auto"/>
              </w:rPr>
            </w:pPr>
            <w:r>
              <w:rPr>
                <w:rFonts w:ascii="Arial" w:cs="Arial" w:eastAsia="Arial" w:hAnsi="Arial"/>
                <w:sz w:val="13"/>
                <w:szCs w:val="13"/>
                <w:b w:val="1"/>
                <w:bCs w:val="1"/>
                <w:color w:val="auto"/>
              </w:rPr>
              <w:t>Executive Officer</w:t>
            </w:r>
          </w:p>
        </w:tc>
        <w:tc>
          <w:tcPr>
            <w:tcW w:w="298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Annual Plan Threshold</w:t>
            </w:r>
          </w:p>
        </w:tc>
        <w:tc>
          <w:tcPr>
            <w:tcW w:w="166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Annual Plan Target</w:t>
            </w:r>
          </w:p>
        </w:tc>
        <w:tc>
          <w:tcPr>
            <w:tcW w:w="168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Annual Plan Maximum</w:t>
            </w:r>
          </w:p>
        </w:tc>
      </w:tr>
      <w:tr>
        <w:trPr>
          <w:trHeight w:val="207"/>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29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55.0 %</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110.0 %</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220.0 %</w:t>
            </w:r>
          </w:p>
        </w:tc>
      </w:tr>
      <w:tr>
        <w:trPr>
          <w:trHeight w:val="214"/>
        </w:trPr>
        <w:tc>
          <w:tcPr>
            <w:tcW w:w="490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2980" w:type="dxa"/>
            <w:vAlign w:val="bottom"/>
          </w:tcPr>
          <w:p>
            <w:pPr>
              <w:jc w:val="right"/>
              <w:ind w:right="39"/>
              <w:spacing w:after="0"/>
              <w:rPr>
                <w:sz w:val="20"/>
                <w:szCs w:val="20"/>
                <w:color w:val="auto"/>
              </w:rPr>
            </w:pPr>
            <w:r>
              <w:rPr>
                <w:rFonts w:ascii="Arial" w:cs="Arial" w:eastAsia="Arial" w:hAnsi="Arial"/>
                <w:sz w:val="17"/>
                <w:szCs w:val="17"/>
                <w:color w:val="auto"/>
              </w:rPr>
              <w:t>37.5 %</w:t>
            </w:r>
          </w:p>
        </w:tc>
        <w:tc>
          <w:tcPr>
            <w:tcW w:w="1660" w:type="dxa"/>
            <w:vAlign w:val="bottom"/>
          </w:tcPr>
          <w:p>
            <w:pPr>
              <w:jc w:val="right"/>
              <w:spacing w:after="0"/>
              <w:rPr>
                <w:sz w:val="20"/>
                <w:szCs w:val="20"/>
                <w:color w:val="auto"/>
              </w:rPr>
            </w:pPr>
            <w:r>
              <w:rPr>
                <w:rFonts w:ascii="Arial" w:cs="Arial" w:eastAsia="Arial" w:hAnsi="Arial"/>
                <w:sz w:val="17"/>
                <w:szCs w:val="17"/>
                <w:color w:val="auto"/>
              </w:rPr>
              <w:t>75.0 %</w:t>
            </w:r>
          </w:p>
        </w:tc>
        <w:tc>
          <w:tcPr>
            <w:tcW w:w="1680" w:type="dxa"/>
            <w:vAlign w:val="bottom"/>
          </w:tcPr>
          <w:p>
            <w:pPr>
              <w:jc w:val="right"/>
              <w:spacing w:after="0"/>
              <w:rPr>
                <w:sz w:val="20"/>
                <w:szCs w:val="20"/>
                <w:color w:val="auto"/>
              </w:rPr>
            </w:pPr>
            <w:r>
              <w:rPr>
                <w:rFonts w:ascii="Arial" w:cs="Arial" w:eastAsia="Arial" w:hAnsi="Arial"/>
                <w:sz w:val="17"/>
                <w:szCs w:val="17"/>
                <w:color w:val="auto"/>
              </w:rPr>
              <w:t>150.0 %</w:t>
            </w:r>
          </w:p>
        </w:tc>
      </w:tr>
      <w:tr>
        <w:trPr>
          <w:trHeight w:val="214"/>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29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37.5 %</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75.0 %</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150.0 %</w:t>
            </w:r>
          </w:p>
        </w:tc>
      </w:tr>
      <w:tr>
        <w:trPr>
          <w:trHeight w:val="214"/>
        </w:trPr>
        <w:tc>
          <w:tcPr>
            <w:tcW w:w="490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2980" w:type="dxa"/>
            <w:vAlign w:val="bottom"/>
          </w:tcPr>
          <w:p>
            <w:pPr>
              <w:jc w:val="right"/>
              <w:ind w:right="39"/>
              <w:spacing w:after="0"/>
              <w:rPr>
                <w:sz w:val="20"/>
                <w:szCs w:val="20"/>
                <w:color w:val="auto"/>
              </w:rPr>
            </w:pPr>
            <w:r>
              <w:rPr>
                <w:rFonts w:ascii="Arial" w:cs="Arial" w:eastAsia="Arial" w:hAnsi="Arial"/>
                <w:sz w:val="17"/>
                <w:szCs w:val="17"/>
                <w:color w:val="auto"/>
              </w:rPr>
              <w:t>37.5 %</w:t>
            </w:r>
          </w:p>
        </w:tc>
        <w:tc>
          <w:tcPr>
            <w:tcW w:w="1660" w:type="dxa"/>
            <w:vAlign w:val="bottom"/>
          </w:tcPr>
          <w:p>
            <w:pPr>
              <w:jc w:val="right"/>
              <w:spacing w:after="0"/>
              <w:rPr>
                <w:sz w:val="20"/>
                <w:szCs w:val="20"/>
                <w:color w:val="auto"/>
              </w:rPr>
            </w:pPr>
            <w:r>
              <w:rPr>
                <w:rFonts w:ascii="Arial" w:cs="Arial" w:eastAsia="Arial" w:hAnsi="Arial"/>
                <w:sz w:val="17"/>
                <w:szCs w:val="17"/>
                <w:color w:val="auto"/>
              </w:rPr>
              <w:t>75.0 %</w:t>
            </w:r>
          </w:p>
        </w:tc>
        <w:tc>
          <w:tcPr>
            <w:tcW w:w="1680" w:type="dxa"/>
            <w:vAlign w:val="bottom"/>
          </w:tcPr>
          <w:p>
            <w:pPr>
              <w:jc w:val="right"/>
              <w:spacing w:after="0"/>
              <w:rPr>
                <w:sz w:val="20"/>
                <w:szCs w:val="20"/>
                <w:color w:val="auto"/>
              </w:rPr>
            </w:pPr>
            <w:r>
              <w:rPr>
                <w:rFonts w:ascii="Arial" w:cs="Arial" w:eastAsia="Arial" w:hAnsi="Arial"/>
                <w:sz w:val="17"/>
                <w:szCs w:val="17"/>
                <w:color w:val="auto"/>
              </w:rPr>
              <w:t>150.0 %</w:t>
            </w:r>
          </w:p>
        </w:tc>
      </w:tr>
      <w:tr>
        <w:trPr>
          <w:trHeight w:val="214"/>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29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37.5 %</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75.0 %</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34" w:name="page35"/>
    <w:bookmarkEnd w:id="34"/>
    <w:p>
      <w:pPr>
        <w:jc w:val="both"/>
        <w:spacing w:after="0" w:line="250" w:lineRule="auto"/>
        <w:rPr>
          <w:sz w:val="20"/>
          <w:szCs w:val="20"/>
          <w:color w:val="auto"/>
        </w:rPr>
      </w:pPr>
      <w:r>
        <w:rPr>
          <w:rFonts w:ascii="Arial" w:cs="Arial" w:eastAsia="Arial" w:hAnsi="Arial"/>
          <w:sz w:val="17"/>
          <w:szCs w:val="17"/>
          <w:color w:val="auto"/>
        </w:rPr>
        <w:t>For 2024, Mr. Downing's Annual Plan target opportunity increased from 100% to 110% in part due to their being no increase to his base salary, despite that base salary being below market median among the Company's defined peer group. In lieu of a base salary increase, the Compensation Committee recommended to the Board, and the Board approved an increase to Mr. Downing's Annual Plan target opportunity in 2024. Mr. Downing's target opportunity remains within the market median for short-term incentives for executives with similar job responsibilities. No other changes were made to the Annual Plan target opportunities for executive officers in 2024, as it is believed those threshold, target, and maximum opportunity levels remain appropriate. The foregoing payout opportunities are multiplied by the weighting factor of a particular performance metric to determine the amounts of cash bonuses payable to officers based on actual performance compared to the threshold, target, or maximum for a performance metric. When actual performance is compared to the established threshold, target, or maximum, as applicable, for any performance metric, linear interpolation is used to determine any pro rata portion of the performance bonus. The Compensation Committee and/or the Board also have discretion to increase (or decrease) such performance-based bonuses using their judgment, provided that bonuses are not in any event to exceed 250% of the applicable base salary.</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Since its inception in 2019, the Annual Plan uses the same three key performance metrics and weighting: Revenue (weighted 33.33%), Operating Income (weighted 33.33%) and Earnings per Diluted Share (33.33%) because such metrics are not only appropriate measures of performance, but also align with the Company's overall business strategy.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determining whether annual cash bonuses are paid under the Annual Plan, actual performance for the year is measured against specified target levels for each performance metric. Generally, the target for the three performance metrics reflects a level of performance, which at the time set would be anticipated to be challenging but achievable. The threshold level is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an additional 100% of the target award was warranted.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For 2023, target performance and actual results for the performance metrics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Performance Metric</w:t>
            </w:r>
          </w:p>
        </w:tc>
        <w:tc>
          <w:tcPr>
            <w:tcW w:w="172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Weight</w:t>
            </w:r>
          </w:p>
        </w:tc>
        <w:tc>
          <w:tcPr>
            <w:tcW w:w="1900" w:type="dxa"/>
            <w:vAlign w:val="bottom"/>
            <w:tcBorders>
              <w:bottom w:val="single" w:sz="8" w:color="auto"/>
            </w:tcBorders>
          </w:tcPr>
          <w:p>
            <w:pPr>
              <w:jc w:val="right"/>
              <w:ind w:right="840"/>
              <w:spacing w:after="0"/>
              <w:rPr>
                <w:sz w:val="20"/>
                <w:szCs w:val="20"/>
                <w:color w:val="auto"/>
              </w:rPr>
            </w:pPr>
            <w:r>
              <w:rPr>
                <w:rFonts w:ascii="Arial" w:cs="Arial" w:eastAsia="Arial" w:hAnsi="Arial"/>
                <w:sz w:val="13"/>
                <w:szCs w:val="13"/>
                <w:b w:val="1"/>
                <w:bCs w:val="1"/>
                <w:color w:val="auto"/>
              </w:rPr>
              <w:t>Threshold*</w:t>
            </w:r>
          </w:p>
        </w:tc>
        <w:tc>
          <w:tcPr>
            <w:tcW w:w="1800" w:type="dxa"/>
            <w:vAlign w:val="bottom"/>
            <w:tcBorders>
              <w:bottom w:val="single" w:sz="8" w:color="auto"/>
            </w:tcBorders>
          </w:tcPr>
          <w:p>
            <w:pPr>
              <w:jc w:val="right"/>
              <w:ind w:right="880"/>
              <w:spacing w:after="0"/>
              <w:rPr>
                <w:sz w:val="20"/>
                <w:szCs w:val="20"/>
                <w:color w:val="auto"/>
              </w:rPr>
            </w:pPr>
            <w:r>
              <w:rPr>
                <w:rFonts w:ascii="Arial" w:cs="Arial" w:eastAsia="Arial" w:hAnsi="Arial"/>
                <w:sz w:val="13"/>
                <w:szCs w:val="13"/>
                <w:b w:val="1"/>
                <w:bCs w:val="1"/>
                <w:color w:val="auto"/>
              </w:rPr>
              <w:t>Target*</w:t>
            </w:r>
          </w:p>
        </w:tc>
        <w:tc>
          <w:tcPr>
            <w:tcW w:w="142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Maximum*</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rPr>
              <w:t>Actual Performance*</w:t>
            </w:r>
          </w:p>
        </w:tc>
      </w:tr>
      <w:tr>
        <w:trPr>
          <w:trHeight w:val="207"/>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72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33.33 %</w:t>
            </w:r>
          </w:p>
        </w:tc>
        <w:tc>
          <w:tcPr>
            <w:tcW w:w="1900" w:type="dxa"/>
            <w:vAlign w:val="bottom"/>
            <w:shd w:val="clear" w:color="auto" w:fill="CCEEFF"/>
          </w:tcPr>
          <w:p>
            <w:pPr>
              <w:jc w:val="right"/>
              <w:ind w:right="320"/>
              <w:spacing w:after="0"/>
              <w:rPr>
                <w:sz w:val="20"/>
                <w:szCs w:val="20"/>
                <w:color w:val="auto"/>
              </w:rPr>
            </w:pPr>
            <w:r>
              <w:rPr>
                <w:rFonts w:ascii="Arial" w:cs="Arial" w:eastAsia="Arial" w:hAnsi="Arial"/>
                <w:sz w:val="17"/>
                <w:szCs w:val="17"/>
                <w:color w:val="auto"/>
              </w:rPr>
              <w:t>$1,511,180</w:t>
            </w:r>
          </w:p>
        </w:tc>
        <w:tc>
          <w:tcPr>
            <w:tcW w:w="180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$2,014,906</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$2,518,633</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$2,299,215</w:t>
            </w:r>
          </w:p>
        </w:tc>
      </w:tr>
      <w:tr>
        <w:trPr>
          <w:trHeight w:val="214"/>
        </w:trPr>
        <w:tc>
          <w:tcPr>
            <w:tcW w:w="290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1720" w:type="dxa"/>
            <w:vAlign w:val="bottom"/>
          </w:tcPr>
          <w:p>
            <w:pPr>
              <w:jc w:val="right"/>
              <w:ind w:right="200"/>
              <w:spacing w:after="0"/>
              <w:rPr>
                <w:sz w:val="20"/>
                <w:szCs w:val="20"/>
                <w:color w:val="auto"/>
              </w:rPr>
            </w:pPr>
            <w:r>
              <w:rPr>
                <w:rFonts w:ascii="Arial" w:cs="Arial" w:eastAsia="Arial" w:hAnsi="Arial"/>
                <w:sz w:val="17"/>
                <w:szCs w:val="17"/>
                <w:color w:val="auto"/>
              </w:rPr>
              <w:t>33.33 %</w:t>
            </w:r>
          </w:p>
        </w:tc>
        <w:tc>
          <w:tcPr>
            <w:tcW w:w="1900" w:type="dxa"/>
            <w:vAlign w:val="bottom"/>
          </w:tcPr>
          <w:p>
            <w:pPr>
              <w:jc w:val="right"/>
              <w:ind w:right="320"/>
              <w:spacing w:after="0"/>
              <w:rPr>
                <w:sz w:val="20"/>
                <w:szCs w:val="20"/>
                <w:color w:val="auto"/>
              </w:rPr>
            </w:pPr>
            <w:r>
              <w:rPr>
                <w:rFonts w:ascii="Arial" w:cs="Arial" w:eastAsia="Arial" w:hAnsi="Arial"/>
                <w:sz w:val="17"/>
                <w:szCs w:val="17"/>
                <w:color w:val="auto"/>
              </w:rPr>
              <w:t>$287,104</w:t>
            </w:r>
          </w:p>
        </w:tc>
        <w:tc>
          <w:tcPr>
            <w:tcW w:w="1800" w:type="dxa"/>
            <w:vAlign w:val="bottom"/>
          </w:tcPr>
          <w:p>
            <w:pPr>
              <w:jc w:val="right"/>
              <w:ind w:right="140"/>
              <w:spacing w:after="0"/>
              <w:rPr>
                <w:sz w:val="20"/>
                <w:szCs w:val="20"/>
                <w:color w:val="auto"/>
              </w:rPr>
            </w:pPr>
            <w:r>
              <w:rPr>
                <w:rFonts w:ascii="Arial" w:cs="Arial" w:eastAsia="Arial" w:hAnsi="Arial"/>
                <w:sz w:val="17"/>
                <w:szCs w:val="17"/>
                <w:color w:val="auto"/>
              </w:rPr>
              <w:t>$382,805</w:t>
            </w:r>
          </w:p>
        </w:tc>
        <w:tc>
          <w:tcPr>
            <w:tcW w:w="1420" w:type="dxa"/>
            <w:vAlign w:val="bottom"/>
          </w:tcPr>
          <w:p>
            <w:pPr>
              <w:jc w:val="right"/>
              <w:spacing w:after="0"/>
              <w:rPr>
                <w:sz w:val="20"/>
                <w:szCs w:val="20"/>
                <w:color w:val="auto"/>
              </w:rPr>
            </w:pPr>
            <w:r>
              <w:rPr>
                <w:rFonts w:ascii="Arial" w:cs="Arial" w:eastAsia="Arial" w:hAnsi="Arial"/>
                <w:sz w:val="17"/>
                <w:szCs w:val="17"/>
                <w:color w:val="auto"/>
              </w:rPr>
              <w:t>$478,506</w:t>
            </w:r>
          </w:p>
        </w:tc>
        <w:tc>
          <w:tcPr>
            <w:tcW w:w="1500" w:type="dxa"/>
            <w:vAlign w:val="bottom"/>
          </w:tcPr>
          <w:p>
            <w:pPr>
              <w:jc w:val="right"/>
              <w:spacing w:after="0"/>
              <w:rPr>
                <w:sz w:val="20"/>
                <w:szCs w:val="20"/>
                <w:color w:val="auto"/>
              </w:rPr>
            </w:pPr>
            <w:r>
              <w:rPr>
                <w:rFonts w:ascii="Arial" w:cs="Arial" w:eastAsia="Arial" w:hAnsi="Arial"/>
                <w:sz w:val="17"/>
                <w:szCs w:val="17"/>
                <w:color w:val="auto"/>
              </w:rPr>
              <w:t>$495,731</w:t>
            </w:r>
          </w:p>
        </w:tc>
      </w:tr>
      <w:tr>
        <w:trPr>
          <w:trHeight w:val="214"/>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Diluted Share</w:t>
            </w:r>
          </w:p>
        </w:tc>
        <w:tc>
          <w:tcPr>
            <w:tcW w:w="172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33.33 %</w:t>
            </w:r>
          </w:p>
        </w:tc>
        <w:tc>
          <w:tcPr>
            <w:tcW w:w="1900" w:type="dxa"/>
            <w:vAlign w:val="bottom"/>
            <w:shd w:val="clear" w:color="auto" w:fill="CCEEFF"/>
          </w:tcPr>
          <w:p>
            <w:pPr>
              <w:jc w:val="right"/>
              <w:ind w:right="320"/>
              <w:spacing w:after="0"/>
              <w:rPr>
                <w:sz w:val="20"/>
                <w:szCs w:val="20"/>
                <w:color w:val="auto"/>
              </w:rPr>
            </w:pPr>
            <w:r>
              <w:rPr>
                <w:rFonts w:ascii="Arial" w:cs="Arial" w:eastAsia="Arial" w:hAnsi="Arial"/>
                <w:sz w:val="17"/>
                <w:szCs w:val="17"/>
                <w:color w:val="auto"/>
              </w:rPr>
              <w:t>$1.04</w:t>
            </w:r>
          </w:p>
        </w:tc>
        <w:tc>
          <w:tcPr>
            <w:tcW w:w="180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$1.39</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r>
    </w:tbl>
    <w:p>
      <w:pPr>
        <w:spacing w:after="0" w:line="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Amounts in thousands (000) except for per share amounts.</w:t>
      </w:r>
    </w:p>
    <w:p>
      <w:pPr>
        <w:spacing w:after="0" w:line="3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actual Revenue, Operating Income, and Earnings per Diluted Share results compared to the targets and performance of the named executive officers, the payments for 2023 under the Annual Plan are shown in the table below:</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000" w:type="dxa"/>
            <w:vAlign w:val="bottom"/>
            <w:vMerge w:val="restart"/>
          </w:tcPr>
          <w:p>
            <w:pPr>
              <w:ind w:left="3160"/>
              <w:spacing w:after="0"/>
              <w:rPr>
                <w:sz w:val="20"/>
                <w:szCs w:val="20"/>
                <w:color w:val="auto"/>
              </w:rPr>
            </w:pPr>
            <w:r>
              <w:rPr>
                <w:rFonts w:ascii="Arial" w:cs="Arial" w:eastAsia="Arial" w:hAnsi="Arial"/>
                <w:sz w:val="13"/>
                <w:szCs w:val="13"/>
                <w:b w:val="1"/>
                <w:bCs w:val="1"/>
                <w:color w:val="auto"/>
              </w:rPr>
              <w:t>Executive Officer</w:t>
            </w:r>
          </w:p>
        </w:tc>
        <w:tc>
          <w:tcPr>
            <w:tcW w:w="3460" w:type="dxa"/>
            <w:vAlign w:val="bottom"/>
          </w:tcPr>
          <w:p>
            <w:pPr>
              <w:jc w:val="right"/>
              <w:ind w:right="461"/>
              <w:spacing w:after="0"/>
              <w:rPr>
                <w:sz w:val="20"/>
                <w:szCs w:val="20"/>
                <w:color w:val="auto"/>
              </w:rPr>
            </w:pPr>
            <w:r>
              <w:rPr>
                <w:rFonts w:ascii="Arial" w:cs="Arial" w:eastAsia="Arial" w:hAnsi="Arial"/>
                <w:sz w:val="13"/>
                <w:szCs w:val="13"/>
                <w:b w:val="1"/>
                <w:bCs w:val="1"/>
                <w:color w:val="auto"/>
              </w:rPr>
              <w:t>2023 Annual Plan</w:t>
            </w:r>
          </w:p>
        </w:tc>
        <w:tc>
          <w:tcPr>
            <w:tcW w:w="1760" w:type="dxa"/>
            <w:vAlign w:val="bottom"/>
          </w:tcPr>
          <w:p>
            <w:pPr>
              <w:jc w:val="right"/>
              <w:ind w:right="321"/>
              <w:spacing w:after="0"/>
              <w:rPr>
                <w:sz w:val="20"/>
                <w:szCs w:val="20"/>
                <w:color w:val="auto"/>
              </w:rPr>
            </w:pPr>
            <w:r>
              <w:rPr>
                <w:rFonts w:ascii="Arial" w:cs="Arial" w:eastAsia="Arial" w:hAnsi="Arial"/>
                <w:sz w:val="13"/>
                <w:szCs w:val="13"/>
                <w:b w:val="1"/>
                <w:bCs w:val="1"/>
                <w:color w:val="auto"/>
              </w:rPr>
              <w:t>2023 Annual Plan</w:t>
            </w:r>
          </w:p>
        </w:tc>
        <w:tc>
          <w:tcPr>
            <w:tcW w:w="0" w:type="dxa"/>
            <w:vAlign w:val="bottom"/>
          </w:tcPr>
          <w:p>
            <w:pPr>
              <w:spacing w:after="0"/>
              <w:rPr>
                <w:sz w:val="1"/>
                <w:szCs w:val="1"/>
                <w:color w:val="auto"/>
              </w:rPr>
            </w:pPr>
          </w:p>
        </w:tc>
      </w:tr>
      <w:tr>
        <w:trPr>
          <w:trHeight w:val="173"/>
        </w:trPr>
        <w:tc>
          <w:tcPr>
            <w:tcW w:w="6000" w:type="dxa"/>
            <w:vAlign w:val="bottom"/>
            <w:tcBorders>
              <w:bottom w:val="single" w:sz="8" w:color="auto"/>
            </w:tcBorders>
            <w:vMerge w:val="continue"/>
          </w:tcPr>
          <w:p>
            <w:pPr>
              <w:spacing w:after="0"/>
              <w:rPr>
                <w:sz w:val="15"/>
                <w:szCs w:val="15"/>
                <w:color w:val="auto"/>
              </w:rPr>
            </w:pPr>
          </w:p>
        </w:tc>
        <w:tc>
          <w:tcPr>
            <w:tcW w:w="346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Performance Bonus</w:t>
            </w:r>
          </w:p>
        </w:tc>
        <w:tc>
          <w:tcPr>
            <w:tcW w:w="176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Discretionary Bonus</w:t>
            </w:r>
          </w:p>
        </w:tc>
        <w:tc>
          <w:tcPr>
            <w:tcW w:w="0" w:type="dxa"/>
            <w:vAlign w:val="bottom"/>
          </w:tcPr>
          <w:p>
            <w:pPr>
              <w:spacing w:after="0"/>
              <w:rPr>
                <w:sz w:val="1"/>
                <w:szCs w:val="1"/>
                <w:color w:val="auto"/>
              </w:rPr>
            </w:pPr>
          </w:p>
        </w:tc>
      </w:tr>
      <w:tr>
        <w:trPr>
          <w:trHeight w:val="206"/>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34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$1,576,495</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600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3460" w:type="dxa"/>
            <w:vAlign w:val="bottom"/>
          </w:tcPr>
          <w:p>
            <w:pPr>
              <w:jc w:val="right"/>
              <w:ind w:right="81"/>
              <w:spacing w:after="0"/>
              <w:rPr>
                <w:sz w:val="20"/>
                <w:szCs w:val="20"/>
                <w:color w:val="auto"/>
              </w:rPr>
            </w:pPr>
            <w:r>
              <w:rPr>
                <w:rFonts w:ascii="Arial" w:cs="Arial" w:eastAsia="Arial" w:hAnsi="Arial"/>
                <w:sz w:val="17"/>
                <w:szCs w:val="17"/>
                <w:color w:val="auto"/>
              </w:rPr>
              <w:t>$716,378</w:t>
            </w:r>
          </w:p>
        </w:tc>
        <w:tc>
          <w:tcPr>
            <w:tcW w:w="176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34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$716,378</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600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3460" w:type="dxa"/>
            <w:vAlign w:val="bottom"/>
          </w:tcPr>
          <w:p>
            <w:pPr>
              <w:jc w:val="right"/>
              <w:ind w:right="81"/>
              <w:spacing w:after="0"/>
              <w:rPr>
                <w:sz w:val="20"/>
                <w:szCs w:val="20"/>
                <w:color w:val="auto"/>
              </w:rPr>
            </w:pPr>
            <w:r>
              <w:rPr>
                <w:rFonts w:ascii="Arial" w:cs="Arial" w:eastAsia="Arial" w:hAnsi="Arial"/>
                <w:sz w:val="17"/>
                <w:szCs w:val="17"/>
                <w:color w:val="auto"/>
              </w:rPr>
              <w:t>$632,916</w:t>
            </w:r>
          </w:p>
        </w:tc>
        <w:tc>
          <w:tcPr>
            <w:tcW w:w="176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34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$577,275</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These Annual Plan results appropriately reflect management's work in terms of a 13% revenue outperformance versus the Company's primary underlying markets, execution of the previously announced gross margin recovery plan, and ongoing business development efforts. For 2024, the Compensation Committee has established targets for Revenue, Operating Income, and Earnings per Diluted Share for the Annual Plan performance metrics as it has done in the past, and has made a minor change in 2024, to be consistent with periods prior to 2022. During 2022 and 2023, the Compensation Committee and Board widened the range of threshold and maximum performance under the Annual Plan to ±25% to account for increased volatility in potential financial performance, as a result of</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35" w:name="page36"/>
    <w:bookmarkEnd w:id="35"/>
    <w:p>
      <w:pPr>
        <w:jc w:val="both"/>
        <w:spacing w:after="0" w:line="279" w:lineRule="auto"/>
        <w:rPr>
          <w:sz w:val="20"/>
          <w:szCs w:val="20"/>
          <w:color w:val="auto"/>
        </w:rPr>
      </w:pPr>
      <w:r>
        <w:rPr>
          <w:rFonts w:ascii="Arial" w:cs="Arial" w:eastAsia="Arial" w:hAnsi="Arial"/>
          <w:sz w:val="17"/>
          <w:szCs w:val="17"/>
          <w:color w:val="auto"/>
        </w:rPr>
        <w:t>the ongoing supply chain crisis. In 2024, the Company is again using ± 20% of target in 2024 for determining thresholds and maximums under the Annual Plan due to a reduction in overall end market volatility.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2019 Omnibus Incentive Plan and Long-Term Incentive Program</w:t>
      </w: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2019 Omnibus Incentive Plan ("OIP") has been approved by shareholders. Pursuant to the 2019 OIP, the Company implemented the Long-Term Incentive Plan (the "Long-Term Plan"). The Long-Term Plan provides officers, including our named executive officers, with incentive awards that serve an important role by balancing other applicable short-term goals with longer term shareholder value creation</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while minimizing risk-taking behaviors that could negatively affect long-term results.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Long-Term Plan uses three-year performance periods and selected performance objectives to determine equity incentive awards so as to balance short-term goals under the Annual Plan, with performance objectives associated with longer-term shareholder value creation under the Long-Term Plan. Under the Long-Term Plan, the Board and/or the Compensation Committee determines the amount of the long-term incentive awards. Each officer's award opportunity is based on a target dollar value (determined toward the very beginning of the performance period) as a percentage of base salary assigned to his or her position based on market comparisons for similar positions, using both a peer group and general industry market data. The following target opportunities apply for the 2024-2026 performance period under the Long-Term Incentive Plan:</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240" w:type="dxa"/>
            <w:vAlign w:val="bottom"/>
          </w:tcPr>
          <w:p>
            <w:pPr>
              <w:spacing w:after="0"/>
              <w:rPr>
                <w:sz w:val="13"/>
                <w:szCs w:val="13"/>
                <w:color w:val="auto"/>
              </w:rPr>
            </w:pPr>
          </w:p>
        </w:tc>
        <w:tc>
          <w:tcPr>
            <w:tcW w:w="3980" w:type="dxa"/>
            <w:vAlign w:val="bottom"/>
          </w:tcPr>
          <w:p>
            <w:pPr>
              <w:jc w:val="center"/>
              <w:ind w:left="1862"/>
              <w:spacing w:after="0"/>
              <w:rPr>
                <w:sz w:val="20"/>
                <w:szCs w:val="20"/>
                <w:color w:val="auto"/>
              </w:rPr>
            </w:pPr>
            <w:r>
              <w:rPr>
                <w:rFonts w:ascii="Arial" w:cs="Arial" w:eastAsia="Arial" w:hAnsi="Arial"/>
                <w:sz w:val="13"/>
                <w:szCs w:val="13"/>
                <w:b w:val="1"/>
                <w:bCs w:val="1"/>
                <w:color w:val="auto"/>
              </w:rPr>
              <w:t>Long-Term Plan Target</w:t>
            </w:r>
          </w:p>
        </w:tc>
        <w:tc>
          <w:tcPr>
            <w:tcW w:w="0" w:type="dxa"/>
            <w:vAlign w:val="bottom"/>
          </w:tcPr>
          <w:p>
            <w:pPr>
              <w:spacing w:after="0"/>
              <w:rPr>
                <w:sz w:val="1"/>
                <w:szCs w:val="1"/>
                <w:color w:val="auto"/>
              </w:rPr>
            </w:pPr>
          </w:p>
        </w:tc>
      </w:tr>
      <w:tr>
        <w:trPr>
          <w:trHeight w:val="138"/>
        </w:trPr>
        <w:tc>
          <w:tcPr>
            <w:tcW w:w="7240" w:type="dxa"/>
            <w:vAlign w:val="bottom"/>
            <w:vMerge w:val="restart"/>
          </w:tcPr>
          <w:p>
            <w:pPr>
              <w:ind w:left="4040"/>
              <w:spacing w:after="0"/>
              <w:rPr>
                <w:sz w:val="20"/>
                <w:szCs w:val="20"/>
                <w:color w:val="auto"/>
              </w:rPr>
            </w:pPr>
            <w:r>
              <w:rPr>
                <w:rFonts w:ascii="Arial" w:cs="Arial" w:eastAsia="Arial" w:hAnsi="Arial"/>
                <w:sz w:val="13"/>
                <w:szCs w:val="13"/>
                <w:b w:val="1"/>
                <w:bCs w:val="1"/>
                <w:color w:val="auto"/>
              </w:rPr>
              <w:t>Executive Officer</w:t>
            </w:r>
          </w:p>
        </w:tc>
        <w:tc>
          <w:tcPr>
            <w:tcW w:w="3980" w:type="dxa"/>
            <w:vAlign w:val="bottom"/>
          </w:tcPr>
          <w:p>
            <w:pPr>
              <w:jc w:val="center"/>
              <w:ind w:left="1862"/>
              <w:spacing w:after="0" w:line="139" w:lineRule="exact"/>
              <w:rPr>
                <w:sz w:val="20"/>
                <w:szCs w:val="20"/>
                <w:color w:val="auto"/>
              </w:rPr>
            </w:pPr>
            <w:r>
              <w:rPr>
                <w:rFonts w:ascii="Arial" w:cs="Arial" w:eastAsia="Arial" w:hAnsi="Arial"/>
                <w:sz w:val="13"/>
                <w:szCs w:val="13"/>
                <w:b w:val="1"/>
                <w:bCs w:val="1"/>
                <w:color w:val="auto"/>
              </w:rPr>
              <w:t>Opportunity Percentage of</w:t>
            </w:r>
          </w:p>
        </w:tc>
        <w:tc>
          <w:tcPr>
            <w:tcW w:w="0" w:type="dxa"/>
            <w:vAlign w:val="bottom"/>
          </w:tcPr>
          <w:p>
            <w:pPr>
              <w:spacing w:after="0"/>
              <w:rPr>
                <w:sz w:val="1"/>
                <w:szCs w:val="1"/>
                <w:color w:val="auto"/>
              </w:rPr>
            </w:pPr>
          </w:p>
        </w:tc>
      </w:tr>
      <w:tr>
        <w:trPr>
          <w:trHeight w:val="173"/>
        </w:trPr>
        <w:tc>
          <w:tcPr>
            <w:tcW w:w="7240" w:type="dxa"/>
            <w:vAlign w:val="bottom"/>
            <w:tcBorders>
              <w:bottom w:val="single" w:sz="8" w:color="auto"/>
            </w:tcBorders>
            <w:vMerge w:val="continue"/>
          </w:tcPr>
          <w:p>
            <w:pPr>
              <w:spacing w:after="0"/>
              <w:rPr>
                <w:sz w:val="15"/>
                <w:szCs w:val="15"/>
                <w:color w:val="auto"/>
              </w:rPr>
            </w:pPr>
          </w:p>
        </w:tc>
        <w:tc>
          <w:tcPr>
            <w:tcW w:w="3980" w:type="dxa"/>
            <w:vAlign w:val="bottom"/>
            <w:tcBorders>
              <w:bottom w:val="single" w:sz="8" w:color="auto"/>
            </w:tcBorders>
          </w:tcPr>
          <w:p>
            <w:pPr>
              <w:jc w:val="center"/>
              <w:ind w:left="1862"/>
              <w:spacing w:after="0"/>
              <w:rPr>
                <w:sz w:val="20"/>
                <w:szCs w:val="20"/>
                <w:color w:val="auto"/>
              </w:rPr>
            </w:pPr>
            <w:r>
              <w:rPr>
                <w:rFonts w:ascii="Arial" w:cs="Arial" w:eastAsia="Arial" w:hAnsi="Arial"/>
                <w:sz w:val="13"/>
                <w:szCs w:val="13"/>
                <w:b w:val="1"/>
                <w:bCs w:val="1"/>
                <w:color w:val="auto"/>
              </w:rPr>
              <w:t>Base Salary for 2024-2026</w:t>
            </w:r>
          </w:p>
        </w:tc>
        <w:tc>
          <w:tcPr>
            <w:tcW w:w="0" w:type="dxa"/>
            <w:vAlign w:val="bottom"/>
          </w:tcPr>
          <w:p>
            <w:pPr>
              <w:spacing w:after="0"/>
              <w:rPr>
                <w:sz w:val="1"/>
                <w:szCs w:val="1"/>
                <w:color w:val="auto"/>
              </w:rPr>
            </w:pPr>
          </w:p>
        </w:tc>
      </w:tr>
      <w:tr>
        <w:trPr>
          <w:trHeight w:val="206"/>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3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385 %</w:t>
            </w:r>
          </w:p>
        </w:tc>
        <w:tc>
          <w:tcPr>
            <w:tcW w:w="0" w:type="dxa"/>
            <w:vAlign w:val="bottom"/>
          </w:tcPr>
          <w:p>
            <w:pPr>
              <w:spacing w:after="0"/>
              <w:rPr>
                <w:sz w:val="1"/>
                <w:szCs w:val="1"/>
                <w:color w:val="auto"/>
              </w:rPr>
            </w:pPr>
          </w:p>
        </w:tc>
      </w:tr>
      <w:tr>
        <w:trPr>
          <w:trHeight w:val="214"/>
        </w:trPr>
        <w:tc>
          <w:tcPr>
            <w:tcW w:w="72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3980" w:type="dxa"/>
            <w:vAlign w:val="bottom"/>
          </w:tcPr>
          <w:p>
            <w:pPr>
              <w:jc w:val="right"/>
              <w:spacing w:after="0"/>
              <w:rPr>
                <w:sz w:val="20"/>
                <w:szCs w:val="20"/>
                <w:color w:val="auto"/>
              </w:rPr>
            </w:pPr>
            <w:r>
              <w:rPr>
                <w:rFonts w:ascii="Arial" w:cs="Arial" w:eastAsia="Arial" w:hAnsi="Arial"/>
                <w:sz w:val="17"/>
                <w:szCs w:val="17"/>
                <w:color w:val="auto"/>
              </w:rPr>
              <w:t>185 %</w:t>
            </w:r>
          </w:p>
        </w:tc>
        <w:tc>
          <w:tcPr>
            <w:tcW w:w="0" w:type="dxa"/>
            <w:vAlign w:val="bottom"/>
          </w:tcPr>
          <w:p>
            <w:pPr>
              <w:spacing w:after="0"/>
              <w:rPr>
                <w:sz w:val="1"/>
                <w:szCs w:val="1"/>
                <w:color w:val="auto"/>
              </w:rPr>
            </w:pPr>
          </w:p>
        </w:tc>
      </w:tr>
      <w:tr>
        <w:trPr>
          <w:trHeight w:val="214"/>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3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185 %</w:t>
            </w:r>
          </w:p>
        </w:tc>
        <w:tc>
          <w:tcPr>
            <w:tcW w:w="0" w:type="dxa"/>
            <w:vAlign w:val="bottom"/>
          </w:tcPr>
          <w:p>
            <w:pPr>
              <w:spacing w:after="0"/>
              <w:rPr>
                <w:sz w:val="1"/>
                <w:szCs w:val="1"/>
                <w:color w:val="auto"/>
              </w:rPr>
            </w:pPr>
          </w:p>
        </w:tc>
      </w:tr>
      <w:tr>
        <w:trPr>
          <w:trHeight w:val="214"/>
        </w:trPr>
        <w:tc>
          <w:tcPr>
            <w:tcW w:w="72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3980" w:type="dxa"/>
            <w:vAlign w:val="bottom"/>
          </w:tcPr>
          <w:p>
            <w:pPr>
              <w:jc w:val="right"/>
              <w:spacing w:after="0"/>
              <w:rPr>
                <w:sz w:val="20"/>
                <w:szCs w:val="20"/>
                <w:color w:val="auto"/>
              </w:rPr>
            </w:pPr>
            <w:r>
              <w:rPr>
                <w:rFonts w:ascii="Arial" w:cs="Arial" w:eastAsia="Arial" w:hAnsi="Arial"/>
                <w:sz w:val="17"/>
                <w:szCs w:val="17"/>
                <w:color w:val="auto"/>
              </w:rPr>
              <w:t>155 %</w:t>
            </w:r>
          </w:p>
        </w:tc>
        <w:tc>
          <w:tcPr>
            <w:tcW w:w="0" w:type="dxa"/>
            <w:vAlign w:val="bottom"/>
          </w:tcPr>
          <w:p>
            <w:pPr>
              <w:spacing w:after="0"/>
              <w:rPr>
                <w:sz w:val="1"/>
                <w:szCs w:val="1"/>
                <w:color w:val="auto"/>
              </w:rPr>
            </w:pPr>
          </w:p>
        </w:tc>
      </w:tr>
      <w:tr>
        <w:trPr>
          <w:trHeight w:val="214"/>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3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These Long-Term Plan Target Opportunity Percentages of Base Salary for 2024 - 2026 for Mr. Downing and Mr. Boehm have changed from those applicable for 2023 - 2025. Mr. Downing's target opportunity increased from 365% to 385% due in part to there being no increase in his base salary, despite a base salary that is below market median among the Company's defined peer group. The Compensation Committee recommended, and the Board approved, this increase to Mr. Downing's Long-Term Plan target opportunity in 2024 as set forth. Mr. Boehm's target opportunity increased from 155% to 185%, as a result of Mr. Boehm's increase in overall job responsibilities. The Compensation Committee also recommended, and the Board approved, this increase to Mr. Boehm's Long-Term Plan target opportunity in 2024. All Long-Term Plan target opportunities remain within the market median for long-term incentives for the officers' respective job responsibilities.</w:t>
      </w:r>
    </w:p>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Achievement at threshold performance yields 50% of the target award and achievement of the maximum performance yields another 100% of the target award. Actual performance is compared to the established threshold, target, or maximum, as applicable, for an applicable performance objective, and linear interpolation is used to determine any pro rata portion of such award.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Seventy percent (70%) of the total value of the target long-term incentive opportunity is delivered through performance share awards ("PSAs") and the other thirty percent (30%) through restricted stock ("RS"). Both PSAs and RS are forms of performance-based incentive compensation because PSAs involve performance objectives that provide direct alignment with shareholder interests and the value of RS fluctuates based on stock price performance.</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to requiring achievement of performance objectives in respect of PSAs, PSAs and RS require the executive officers to remain employed with the Company for three years from the grant date (unless the executive officer attains retirement age, departs for good reason, dies, or becomes disabled or a change in control occurs whereby an award may be paid or partially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auto"/>
        </w:rPr>
        <w:t>Performance Shares for 2024-2026 Performance Period</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Long-Term Plan is designed to provide PSAs for officers, including our named executive officers. PSAs are tied to the achievement of two performance objectives, each weighted equally: earnings before interest, taxes, depreciation and amortization (EBITDA) and return on invested capital (ROIC), in each case adjusted and calculated as determined by the Compensation Committee. Each performance objective is based on a three-year performance period (2024-2026) with a performance range that can result in PSAs of 50% of target for achieving threshold and 200% of the target opportunity for achieving maximum. The targets for EBITDA and ROIC for 2024-2026 were established by the Compensation Committee as it has done in the past. For the 2024-2026 performance period, ± 20% of target is being used for determining thresholds and maximums, which is consistent with performance periods that began in 2021 and prior, for similar reasons as noted with respect to the Annual Plan.</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EBITDA drives the ability to commit resources to continued growth, but is also a measure of ability to provide shareholder return. It also drives profitable sales growth and optimizes the Company's cost structure. ROIC ensures management uses the Company's capital in an effective manner that drives shareholder value. Since the value of PSAs is tied to the Company's actual performance in financial objectives, it aligns the officers' interests with those of shareholders. The target opportunities of PSAs awarded in 2024 for the named executive officers are shown in the table below:</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2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Executive Officer</w:t>
            </w:r>
          </w:p>
        </w:tc>
        <w:tc>
          <w:tcPr>
            <w:tcW w:w="5980" w:type="dxa"/>
            <w:vAlign w:val="bottom"/>
          </w:tcPr>
          <w:p>
            <w:pPr>
              <w:jc w:val="right"/>
              <w:spacing w:after="0"/>
              <w:rPr>
                <w:sz w:val="20"/>
                <w:szCs w:val="20"/>
                <w:color w:val="auto"/>
              </w:rPr>
            </w:pPr>
            <w:r>
              <w:rPr>
                <w:rFonts w:ascii="Arial" w:cs="Arial" w:eastAsia="Arial" w:hAnsi="Arial"/>
                <w:sz w:val="13"/>
                <w:szCs w:val="13"/>
                <w:b w:val="1"/>
                <w:bCs w:val="1"/>
                <w:color w:val="auto"/>
              </w:rPr>
              <w:t>Number of PSAs Awarded in</w:t>
            </w:r>
          </w:p>
        </w:tc>
        <w:tc>
          <w:tcPr>
            <w:tcW w:w="0" w:type="dxa"/>
            <w:vAlign w:val="bottom"/>
          </w:tcPr>
          <w:p>
            <w:pPr>
              <w:spacing w:after="0"/>
              <w:rPr>
                <w:sz w:val="1"/>
                <w:szCs w:val="1"/>
                <w:color w:val="auto"/>
              </w:rPr>
            </w:pPr>
          </w:p>
        </w:tc>
      </w:tr>
      <w:tr>
        <w:trPr>
          <w:trHeight w:val="173"/>
        </w:trPr>
        <w:tc>
          <w:tcPr>
            <w:tcW w:w="5240" w:type="dxa"/>
            <w:vAlign w:val="bottom"/>
            <w:tcBorders>
              <w:bottom w:val="single" w:sz="8" w:color="auto"/>
            </w:tcBorders>
            <w:vMerge w:val="continue"/>
          </w:tcPr>
          <w:p>
            <w:pPr>
              <w:spacing w:after="0"/>
              <w:rPr>
                <w:sz w:val="15"/>
                <w:szCs w:val="15"/>
                <w:color w:val="auto"/>
              </w:rPr>
            </w:pPr>
          </w:p>
        </w:tc>
        <w:tc>
          <w:tcPr>
            <w:tcW w:w="598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2024 (Target) for 2024-2026</w:t>
            </w:r>
          </w:p>
        </w:tc>
        <w:tc>
          <w:tcPr>
            <w:tcW w:w="0" w:type="dxa"/>
            <w:vAlign w:val="bottom"/>
          </w:tcPr>
          <w:p>
            <w:pPr>
              <w:spacing w:after="0"/>
              <w:rPr>
                <w:sz w:val="1"/>
                <w:szCs w:val="1"/>
                <w:color w:val="auto"/>
              </w:rPr>
            </w:pPr>
          </w:p>
        </w:tc>
      </w:tr>
      <w:tr>
        <w:trPr>
          <w:trHeight w:val="206"/>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68,016</w:t>
            </w:r>
          </w:p>
        </w:tc>
        <w:tc>
          <w:tcPr>
            <w:tcW w:w="0" w:type="dxa"/>
            <w:vAlign w:val="bottom"/>
          </w:tcPr>
          <w:p>
            <w:pPr>
              <w:spacing w:after="0"/>
              <w:rPr>
                <w:sz w:val="1"/>
                <w:szCs w:val="1"/>
                <w:color w:val="auto"/>
              </w:rPr>
            </w:pPr>
          </w:p>
        </w:tc>
      </w:tr>
      <w:tr>
        <w:trPr>
          <w:trHeight w:val="214"/>
        </w:trPr>
        <w:tc>
          <w:tcPr>
            <w:tcW w:w="52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980" w:type="dxa"/>
            <w:vAlign w:val="bottom"/>
          </w:tcPr>
          <w:p>
            <w:pPr>
              <w:jc w:val="right"/>
              <w:ind w:right="1"/>
              <w:spacing w:after="0"/>
              <w:rPr>
                <w:sz w:val="20"/>
                <w:szCs w:val="20"/>
                <w:color w:val="auto"/>
              </w:rPr>
            </w:pPr>
            <w:r>
              <w:rPr>
                <w:rFonts w:ascii="Arial" w:cs="Arial" w:eastAsia="Arial" w:hAnsi="Arial"/>
                <w:sz w:val="17"/>
                <w:szCs w:val="17"/>
                <w:color w:val="auto"/>
              </w:rPr>
              <w:t>22,109</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21,340</w:t>
            </w:r>
          </w:p>
        </w:tc>
        <w:tc>
          <w:tcPr>
            <w:tcW w:w="0" w:type="dxa"/>
            <w:vAlign w:val="bottom"/>
          </w:tcPr>
          <w:p>
            <w:pPr>
              <w:spacing w:after="0"/>
              <w:rPr>
                <w:sz w:val="1"/>
                <w:szCs w:val="1"/>
                <w:color w:val="auto"/>
              </w:rPr>
            </w:pPr>
          </w:p>
        </w:tc>
      </w:tr>
      <w:tr>
        <w:trPr>
          <w:trHeight w:val="214"/>
        </w:trPr>
        <w:tc>
          <w:tcPr>
            <w:tcW w:w="52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980" w:type="dxa"/>
            <w:vAlign w:val="bottom"/>
          </w:tcPr>
          <w:p>
            <w:pPr>
              <w:jc w:val="right"/>
              <w:ind w:right="1"/>
              <w:spacing w:after="0"/>
              <w:rPr>
                <w:sz w:val="20"/>
                <w:szCs w:val="20"/>
                <w:color w:val="auto"/>
              </w:rPr>
            </w:pPr>
            <w:r>
              <w:rPr>
                <w:rFonts w:ascii="Arial" w:cs="Arial" w:eastAsia="Arial" w:hAnsi="Arial"/>
                <w:sz w:val="17"/>
                <w:szCs w:val="17"/>
                <w:color w:val="auto"/>
              </w:rPr>
              <w:t>15,464</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14,175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Restricted Stock Awards for 2024-2026 Performance Period</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other 30% of the total value of the long-term incentive opportunity consists of RS awards. RS incentivizes and rewards executives for improving long-term stock value and serves as a retention tool. Under the Long-Term Plan, RS will generally be granted in February to officers, including our named executive officers, and cliff vest on the third anniversary of the grant. The RS awarded in 2024, based on the target opportunities, for the named executive officers are shown in the table below:</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Executive Officer</w:t>
            </w:r>
          </w:p>
        </w:tc>
        <w:tc>
          <w:tcPr>
            <w:tcW w:w="5880" w:type="dxa"/>
            <w:vAlign w:val="bottom"/>
          </w:tcPr>
          <w:p>
            <w:pPr>
              <w:jc w:val="right"/>
              <w:ind w:right="21"/>
              <w:spacing w:after="0"/>
              <w:rPr>
                <w:sz w:val="20"/>
                <w:szCs w:val="20"/>
                <w:color w:val="auto"/>
              </w:rPr>
            </w:pPr>
            <w:r>
              <w:rPr>
                <w:rFonts w:ascii="Arial" w:cs="Arial" w:eastAsia="Arial" w:hAnsi="Arial"/>
                <w:sz w:val="13"/>
                <w:szCs w:val="13"/>
                <w:b w:val="1"/>
                <w:bCs w:val="1"/>
                <w:color w:val="auto"/>
              </w:rPr>
              <w:t>Number of RS Awarded in</w:t>
            </w:r>
          </w:p>
        </w:tc>
        <w:tc>
          <w:tcPr>
            <w:tcW w:w="0" w:type="dxa"/>
            <w:vAlign w:val="bottom"/>
          </w:tcPr>
          <w:p>
            <w:pPr>
              <w:spacing w:after="0"/>
              <w:rPr>
                <w:sz w:val="1"/>
                <w:szCs w:val="1"/>
                <w:color w:val="auto"/>
              </w:rPr>
            </w:pPr>
          </w:p>
        </w:tc>
      </w:tr>
      <w:tr>
        <w:trPr>
          <w:trHeight w:val="176"/>
        </w:trPr>
        <w:tc>
          <w:tcPr>
            <w:tcW w:w="5280" w:type="dxa"/>
            <w:vAlign w:val="bottom"/>
            <w:tcBorders>
              <w:bottom w:val="single" w:sz="8" w:color="auto"/>
            </w:tcBorders>
            <w:vMerge w:val="continue"/>
          </w:tcPr>
          <w:p>
            <w:pPr>
              <w:spacing w:after="0"/>
              <w:rPr>
                <w:sz w:val="15"/>
                <w:szCs w:val="15"/>
                <w:color w:val="auto"/>
              </w:rPr>
            </w:pPr>
          </w:p>
        </w:tc>
        <w:tc>
          <w:tcPr>
            <w:tcW w:w="588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2024 for 2024-2026</w:t>
            </w: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29,150</w:t>
            </w:r>
          </w:p>
        </w:tc>
        <w:tc>
          <w:tcPr>
            <w:tcW w:w="0" w:type="dxa"/>
            <w:vAlign w:val="bottom"/>
          </w:tcPr>
          <w:p>
            <w:pPr>
              <w:spacing w:after="0"/>
              <w:rPr>
                <w:sz w:val="1"/>
                <w:szCs w:val="1"/>
                <w:color w:val="auto"/>
              </w:rPr>
            </w:pPr>
          </w:p>
        </w:tc>
      </w:tr>
      <w:tr>
        <w:trPr>
          <w:trHeight w:val="214"/>
        </w:trPr>
        <w:tc>
          <w:tcPr>
            <w:tcW w:w="528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880" w:type="dxa"/>
            <w:vAlign w:val="bottom"/>
          </w:tcPr>
          <w:p>
            <w:pPr>
              <w:jc w:val="right"/>
              <w:spacing w:after="0"/>
              <w:rPr>
                <w:sz w:val="20"/>
                <w:szCs w:val="20"/>
                <w:color w:val="auto"/>
              </w:rPr>
            </w:pPr>
            <w:r>
              <w:rPr>
                <w:rFonts w:ascii="Arial" w:cs="Arial" w:eastAsia="Arial" w:hAnsi="Arial"/>
                <w:sz w:val="17"/>
                <w:szCs w:val="17"/>
                <w:color w:val="auto"/>
              </w:rPr>
              <w:t>9,476</w:t>
            </w:r>
          </w:p>
        </w:tc>
        <w:tc>
          <w:tcPr>
            <w:tcW w:w="0" w:type="dxa"/>
            <w:vAlign w:val="bottom"/>
          </w:tcPr>
          <w:p>
            <w:pPr>
              <w:spacing w:after="0"/>
              <w:rPr>
                <w:sz w:val="1"/>
                <w:szCs w:val="1"/>
                <w:color w:val="auto"/>
              </w:rPr>
            </w:pP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9,146</w:t>
            </w:r>
          </w:p>
        </w:tc>
        <w:tc>
          <w:tcPr>
            <w:tcW w:w="0" w:type="dxa"/>
            <w:vAlign w:val="bottom"/>
          </w:tcPr>
          <w:p>
            <w:pPr>
              <w:spacing w:after="0"/>
              <w:rPr>
                <w:sz w:val="1"/>
                <w:szCs w:val="1"/>
                <w:color w:val="auto"/>
              </w:rPr>
            </w:pPr>
          </w:p>
        </w:tc>
      </w:tr>
      <w:tr>
        <w:trPr>
          <w:trHeight w:val="214"/>
        </w:trPr>
        <w:tc>
          <w:tcPr>
            <w:tcW w:w="528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880" w:type="dxa"/>
            <w:vAlign w:val="bottom"/>
          </w:tcPr>
          <w:p>
            <w:pPr>
              <w:jc w:val="right"/>
              <w:spacing w:after="0"/>
              <w:rPr>
                <w:sz w:val="20"/>
                <w:szCs w:val="20"/>
                <w:color w:val="auto"/>
              </w:rPr>
            </w:pPr>
            <w:r>
              <w:rPr>
                <w:rFonts w:ascii="Arial" w:cs="Arial" w:eastAsia="Arial" w:hAnsi="Arial"/>
                <w:sz w:val="17"/>
                <w:szCs w:val="17"/>
                <w:color w:val="auto"/>
              </w:rPr>
              <w:t>6,628</w:t>
            </w:r>
          </w:p>
        </w:tc>
        <w:tc>
          <w:tcPr>
            <w:tcW w:w="0" w:type="dxa"/>
            <w:vAlign w:val="bottom"/>
          </w:tcPr>
          <w:p>
            <w:pPr>
              <w:spacing w:after="0"/>
              <w:rPr>
                <w:sz w:val="1"/>
                <w:szCs w:val="1"/>
                <w:color w:val="auto"/>
              </w:rPr>
            </w:pP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2021-2023 Long-Term Plan Performance (three-year performance period ending December 31, 2023)</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2023, marked the end of the three-year performance period for PSA and RS Long-Term Plan awards made in February 2021.</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Performance Share Awards</w:t>
      </w:r>
    </w:p>
    <w:p>
      <w:pPr>
        <w:spacing w:after="0" w:line="23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performance metrics, targets and performance payout ranges for these awards were set and approved by the Compensation Committee and the Board in February 2021. Consistent with the Long-Term Plan, incentive could be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17"/>
          <w:szCs w:val="17"/>
          <w:color w:val="auto"/>
        </w:rPr>
        <w:t>earned by the officers based on performance associated with two equally weighted metrics, EBITDA and ROIC, in each case adjusted as determined by the Compensation Committee, both measured cumulatively over the three-year performance period. The target levels of achievement for the EBITDA and the ROIC were established to align with financial goals set at the beginning of the three-year performance period for the years 2021 through 2023. The table below summarizes the results of the 2021-2023 performance period relative to target and the achievement level of the 2021-2023 PSAs:.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Performance Metric</w:t>
            </w: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Weight</w:t>
            </w:r>
          </w:p>
        </w:tc>
        <w:tc>
          <w:tcPr>
            <w:tcW w:w="138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Threshold*</w:t>
            </w: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Target*</w:t>
            </w:r>
          </w:p>
        </w:tc>
        <w:tc>
          <w:tcPr>
            <w:tcW w:w="124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Maximum*</w:t>
            </w:r>
          </w:p>
        </w:tc>
        <w:tc>
          <w:tcPr>
            <w:tcW w:w="158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b w:val="1"/>
                <w:bCs w:val="1"/>
                <w:color w:val="auto"/>
              </w:rPr>
              <w:t>Actual Performance*</w:t>
            </w:r>
          </w:p>
        </w:tc>
        <w:tc>
          <w:tcPr>
            <w:tcW w:w="160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Performance to Target</w:t>
            </w:r>
          </w:p>
        </w:tc>
        <w:tc>
          <w:tcPr>
            <w:tcW w:w="16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Weighted Performance</w:t>
            </w:r>
          </w:p>
        </w:tc>
      </w:tr>
      <w:tr>
        <w:trPr>
          <w:trHeight w:val="207"/>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EBITDA</w:t>
            </w:r>
          </w:p>
        </w:tc>
        <w:tc>
          <w:tcPr>
            <w:tcW w:w="1060" w:type="dxa"/>
            <w:vAlign w:val="bottom"/>
            <w:shd w:val="clear" w:color="auto" w:fill="CCEEFF"/>
          </w:tcPr>
          <w:p>
            <w:pPr>
              <w:jc w:val="right"/>
              <w:ind w:right="102"/>
              <w:spacing w:after="0"/>
              <w:rPr>
                <w:sz w:val="20"/>
                <w:szCs w:val="20"/>
                <w:color w:val="auto"/>
              </w:rPr>
            </w:pPr>
            <w:r>
              <w:rPr>
                <w:rFonts w:ascii="Arial" w:cs="Arial" w:eastAsia="Arial" w:hAnsi="Arial"/>
                <w:sz w:val="17"/>
                <w:szCs w:val="17"/>
                <w:color w:val="auto"/>
              </w:rPr>
              <w:t>50 %</w:t>
            </w: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7"/>
                <w:szCs w:val="17"/>
                <w:color w:val="auto"/>
              </w:rPr>
              <w:t>$1,620,110</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7"/>
                <w:szCs w:val="17"/>
                <w:color w:val="auto"/>
              </w:rPr>
              <w:t>$2,025,137</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$2,430,164</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$1,535,931</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50.40 %</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25.20 %</w:t>
            </w:r>
          </w:p>
        </w:tc>
      </w:tr>
      <w:tr>
        <w:trPr>
          <w:trHeight w:val="222"/>
        </w:trPr>
        <w:tc>
          <w:tcPr>
            <w:tcW w:w="1500" w:type="dxa"/>
            <w:vAlign w:val="bottom"/>
          </w:tcPr>
          <w:p>
            <w:pPr>
              <w:ind w:left="20"/>
              <w:spacing w:after="0"/>
              <w:rPr>
                <w:sz w:val="20"/>
                <w:szCs w:val="20"/>
                <w:color w:val="auto"/>
              </w:rPr>
            </w:pPr>
            <w:r>
              <w:rPr>
                <w:rFonts w:ascii="Arial" w:cs="Arial" w:eastAsia="Arial" w:hAnsi="Arial"/>
                <w:sz w:val="17"/>
                <w:szCs w:val="17"/>
                <w:color w:val="auto"/>
              </w:rPr>
              <w:t>ROIC</w:t>
            </w:r>
          </w:p>
        </w:tc>
        <w:tc>
          <w:tcPr>
            <w:tcW w:w="1060" w:type="dxa"/>
            <w:vAlign w:val="bottom"/>
          </w:tcPr>
          <w:p>
            <w:pPr>
              <w:jc w:val="right"/>
              <w:ind w:right="102"/>
              <w:spacing w:after="0"/>
              <w:rPr>
                <w:sz w:val="20"/>
                <w:szCs w:val="20"/>
                <w:color w:val="auto"/>
              </w:rPr>
            </w:pPr>
            <w:r>
              <w:rPr>
                <w:rFonts w:ascii="Arial" w:cs="Arial" w:eastAsia="Arial" w:hAnsi="Arial"/>
                <w:sz w:val="17"/>
                <w:szCs w:val="17"/>
                <w:color w:val="auto"/>
              </w:rPr>
              <w:t>50 %</w:t>
            </w:r>
          </w:p>
        </w:tc>
        <w:tc>
          <w:tcPr>
            <w:tcW w:w="1380" w:type="dxa"/>
            <w:vAlign w:val="bottom"/>
          </w:tcPr>
          <w:p>
            <w:pPr>
              <w:jc w:val="right"/>
              <w:ind w:right="162"/>
              <w:spacing w:after="0"/>
              <w:rPr>
                <w:sz w:val="20"/>
                <w:szCs w:val="20"/>
                <w:color w:val="auto"/>
              </w:rPr>
            </w:pPr>
            <w:r>
              <w:rPr>
                <w:rFonts w:ascii="Arial" w:cs="Arial" w:eastAsia="Arial" w:hAnsi="Arial"/>
                <w:sz w:val="17"/>
                <w:szCs w:val="17"/>
                <w:color w:val="auto"/>
              </w:rPr>
              <w:t>36.80 %</w:t>
            </w:r>
          </w:p>
        </w:tc>
        <w:tc>
          <w:tcPr>
            <w:tcW w:w="1280" w:type="dxa"/>
            <w:vAlign w:val="bottom"/>
          </w:tcPr>
          <w:p>
            <w:pPr>
              <w:jc w:val="right"/>
              <w:ind w:right="102"/>
              <w:spacing w:after="0"/>
              <w:rPr>
                <w:sz w:val="20"/>
                <w:szCs w:val="20"/>
                <w:color w:val="auto"/>
              </w:rPr>
            </w:pPr>
            <w:r>
              <w:rPr>
                <w:rFonts w:ascii="Arial" w:cs="Arial" w:eastAsia="Arial" w:hAnsi="Arial"/>
                <w:sz w:val="17"/>
                <w:szCs w:val="17"/>
                <w:color w:val="auto"/>
              </w:rPr>
              <w:t>46.00 %</w:t>
            </w:r>
          </w:p>
        </w:tc>
        <w:tc>
          <w:tcPr>
            <w:tcW w:w="1240" w:type="dxa"/>
            <w:vAlign w:val="bottom"/>
          </w:tcPr>
          <w:p>
            <w:pPr>
              <w:jc w:val="right"/>
              <w:ind w:right="2"/>
              <w:spacing w:after="0"/>
              <w:rPr>
                <w:sz w:val="20"/>
                <w:szCs w:val="20"/>
                <w:color w:val="auto"/>
              </w:rPr>
            </w:pPr>
            <w:r>
              <w:rPr>
                <w:rFonts w:ascii="Arial" w:cs="Arial" w:eastAsia="Arial" w:hAnsi="Arial"/>
                <w:sz w:val="17"/>
                <w:szCs w:val="17"/>
                <w:color w:val="auto"/>
              </w:rPr>
              <w:t>55.20 %</w:t>
            </w:r>
          </w:p>
        </w:tc>
        <w:tc>
          <w:tcPr>
            <w:tcW w:w="1580" w:type="dxa"/>
            <w:vAlign w:val="bottom"/>
          </w:tcPr>
          <w:p>
            <w:pPr>
              <w:jc w:val="right"/>
              <w:spacing w:after="0"/>
              <w:rPr>
                <w:sz w:val="20"/>
                <w:szCs w:val="20"/>
                <w:color w:val="auto"/>
              </w:rPr>
            </w:pPr>
            <w:r>
              <w:rPr>
                <w:rFonts w:ascii="Arial" w:cs="Arial" w:eastAsia="Arial" w:hAnsi="Arial"/>
                <w:sz w:val="17"/>
                <w:szCs w:val="17"/>
                <w:color w:val="auto"/>
              </w:rPr>
              <w:t>37.12 %</w:t>
            </w:r>
          </w:p>
        </w:tc>
        <w:tc>
          <w:tcPr>
            <w:tcW w:w="1600" w:type="dxa"/>
            <w:vAlign w:val="bottom"/>
          </w:tcPr>
          <w:p>
            <w:pPr>
              <w:jc w:val="right"/>
              <w:spacing w:after="0"/>
              <w:rPr>
                <w:sz w:val="20"/>
                <w:szCs w:val="20"/>
                <w:color w:val="auto"/>
              </w:rPr>
            </w:pPr>
            <w:r>
              <w:rPr>
                <w:rFonts w:ascii="Arial" w:cs="Arial" w:eastAsia="Arial" w:hAnsi="Arial"/>
                <w:sz w:val="17"/>
                <w:szCs w:val="17"/>
                <w:color w:val="auto"/>
              </w:rPr>
              <w:t>62.48 %</w:t>
            </w:r>
          </w:p>
        </w:tc>
        <w:tc>
          <w:tcPr>
            <w:tcW w:w="1600" w:type="dxa"/>
            <w:vAlign w:val="bottom"/>
          </w:tcPr>
          <w:p>
            <w:pPr>
              <w:jc w:val="right"/>
              <w:spacing w:after="0"/>
              <w:rPr>
                <w:sz w:val="20"/>
                <w:szCs w:val="20"/>
                <w:color w:val="auto"/>
              </w:rPr>
            </w:pPr>
            <w:r>
              <w:rPr>
                <w:rFonts w:ascii="Arial" w:cs="Arial" w:eastAsia="Arial" w:hAnsi="Arial"/>
                <w:sz w:val="17"/>
                <w:szCs w:val="17"/>
                <w:color w:val="auto"/>
              </w:rPr>
              <w:t>31.24 %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845" cy="200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845" cy="200025"/>
                    </a:xfrm>
                    <a:prstGeom prst="rect">
                      <a:avLst/>
                    </a:prstGeom>
                    <a:noFill/>
                  </pic:spPr>
                </pic:pic>
              </a:graphicData>
            </a:graphic>
          </wp:anchor>
        </w:drawing>
      </w:r>
    </w:p>
    <w:p>
      <w:pPr>
        <w:ind w:left="20" w:right="700"/>
        <w:spacing w:after="0" w:line="259" w:lineRule="auto"/>
        <w:rPr>
          <w:sz w:val="20"/>
          <w:szCs w:val="20"/>
          <w:color w:val="auto"/>
        </w:rPr>
      </w:pPr>
      <w:r>
        <w:rPr>
          <w:rFonts w:ascii="Arial" w:cs="Arial" w:eastAsia="Arial" w:hAnsi="Arial"/>
          <w:sz w:val="13"/>
          <w:szCs w:val="13"/>
          <w:color w:val="auto"/>
        </w:rPr>
        <w:t>*amounts in thousands (000) except percentages. Threshold, Target, and Maximum for EBITDA and ROIC were adjusted to address the estimated impact of tariffs and the Actual Performance was similarly adjusted with respect to the actual impact of tariffs.</w:t>
      </w:r>
    </w:p>
    <w:p>
      <w:pPr>
        <w:spacing w:after="0" w:line="26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PSAs awarded in February 2021, based on target opportunity, along with the actual payout of PSAs to the executive officers, for the 2021-2023 performance period are reflected in the table below and include additional shares awarded for dividend equivalents assuming reinvestment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dividends.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Executive Officer</w:t>
            </w:r>
          </w:p>
        </w:tc>
        <w:tc>
          <w:tcPr>
            <w:tcW w:w="5040" w:type="dxa"/>
            <w:vAlign w:val="bottom"/>
          </w:tcPr>
          <w:p>
            <w:pPr>
              <w:jc w:val="right"/>
              <w:ind w:right="41"/>
              <w:spacing w:after="0"/>
              <w:rPr>
                <w:sz w:val="20"/>
                <w:szCs w:val="20"/>
                <w:color w:val="auto"/>
              </w:rPr>
            </w:pPr>
            <w:r>
              <w:rPr>
                <w:rFonts w:ascii="Arial" w:cs="Arial" w:eastAsia="Arial" w:hAnsi="Arial"/>
                <w:sz w:val="13"/>
                <w:szCs w:val="13"/>
                <w:b w:val="1"/>
                <w:bCs w:val="1"/>
                <w:color w:val="auto"/>
              </w:rPr>
              <w:t>Number of PSAs Awarded in</w:t>
            </w:r>
          </w:p>
        </w:tc>
        <w:tc>
          <w:tcPr>
            <w:tcW w:w="1820" w:type="dxa"/>
            <w:vAlign w:val="bottom"/>
            <w:vMerge w:val="restart"/>
          </w:tcPr>
          <w:p>
            <w:pPr>
              <w:jc w:val="right"/>
              <w:ind w:right="119"/>
              <w:spacing w:after="0"/>
              <w:rPr>
                <w:sz w:val="20"/>
                <w:szCs w:val="20"/>
                <w:color w:val="auto"/>
              </w:rPr>
            </w:pPr>
            <w:r>
              <w:rPr>
                <w:rFonts w:ascii="Arial" w:cs="Arial" w:eastAsia="Arial" w:hAnsi="Arial"/>
                <w:sz w:val="13"/>
                <w:szCs w:val="13"/>
                <w:b w:val="1"/>
                <w:bCs w:val="1"/>
                <w:color w:val="auto"/>
              </w:rPr>
              <w:t>2021-2023 PSAs Payout</w:t>
            </w:r>
          </w:p>
        </w:tc>
        <w:tc>
          <w:tcPr>
            <w:tcW w:w="0" w:type="dxa"/>
            <w:vAlign w:val="bottom"/>
          </w:tcPr>
          <w:p>
            <w:pPr>
              <w:spacing w:after="0"/>
              <w:rPr>
                <w:sz w:val="1"/>
                <w:szCs w:val="1"/>
                <w:color w:val="auto"/>
              </w:rPr>
            </w:pPr>
          </w:p>
        </w:tc>
      </w:tr>
      <w:tr>
        <w:trPr>
          <w:trHeight w:val="173"/>
        </w:trPr>
        <w:tc>
          <w:tcPr>
            <w:tcW w:w="4240" w:type="dxa"/>
            <w:vAlign w:val="bottom"/>
            <w:tcBorders>
              <w:bottom w:val="single" w:sz="8" w:color="auto"/>
            </w:tcBorders>
            <w:vMerge w:val="continue"/>
          </w:tcPr>
          <w:p>
            <w:pPr>
              <w:spacing w:after="0"/>
              <w:rPr>
                <w:sz w:val="15"/>
                <w:szCs w:val="15"/>
                <w:color w:val="auto"/>
              </w:rPr>
            </w:pPr>
          </w:p>
        </w:tc>
        <w:tc>
          <w:tcPr>
            <w:tcW w:w="504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2021 (Target) for 2021-2023</w:t>
            </w:r>
          </w:p>
        </w:tc>
        <w:tc>
          <w:tcPr>
            <w:tcW w:w="1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04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42,762</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25,203</w:t>
            </w:r>
          </w:p>
        </w:tc>
        <w:tc>
          <w:tcPr>
            <w:tcW w:w="0" w:type="dxa"/>
            <w:vAlign w:val="bottom"/>
          </w:tcPr>
          <w:p>
            <w:pPr>
              <w:spacing w:after="0"/>
              <w:rPr>
                <w:sz w:val="1"/>
                <w:szCs w:val="1"/>
                <w:color w:val="auto"/>
              </w:rPr>
            </w:pPr>
          </w:p>
        </w:tc>
      </w:tr>
      <w:tr>
        <w:trPr>
          <w:trHeight w:val="214"/>
        </w:trPr>
        <w:tc>
          <w:tcPr>
            <w:tcW w:w="42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040" w:type="dxa"/>
            <w:vAlign w:val="bottom"/>
          </w:tcPr>
          <w:p>
            <w:pPr>
              <w:jc w:val="right"/>
              <w:ind w:right="81"/>
              <w:spacing w:after="0"/>
              <w:rPr>
                <w:sz w:val="20"/>
                <w:szCs w:val="20"/>
                <w:color w:val="auto"/>
              </w:rPr>
            </w:pPr>
            <w:r>
              <w:rPr>
                <w:rFonts w:ascii="Arial" w:cs="Arial" w:eastAsia="Arial" w:hAnsi="Arial"/>
                <w:sz w:val="17"/>
                <w:szCs w:val="17"/>
                <w:color w:val="auto"/>
              </w:rPr>
              <w:t>14,081</w:t>
            </w:r>
          </w:p>
        </w:tc>
        <w:tc>
          <w:tcPr>
            <w:tcW w:w="1820" w:type="dxa"/>
            <w:vAlign w:val="bottom"/>
          </w:tcPr>
          <w:p>
            <w:pPr>
              <w:jc w:val="right"/>
              <w:spacing w:after="0"/>
              <w:rPr>
                <w:sz w:val="20"/>
                <w:szCs w:val="20"/>
                <w:color w:val="auto"/>
              </w:rPr>
            </w:pPr>
            <w:r>
              <w:rPr>
                <w:rFonts w:ascii="Arial" w:cs="Arial" w:eastAsia="Arial" w:hAnsi="Arial"/>
                <w:sz w:val="17"/>
                <w:szCs w:val="17"/>
                <w:color w:val="auto"/>
              </w:rPr>
              <w:t>8,879</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04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12,916</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8,726</w:t>
            </w:r>
          </w:p>
        </w:tc>
        <w:tc>
          <w:tcPr>
            <w:tcW w:w="0" w:type="dxa"/>
            <w:vAlign w:val="bottom"/>
          </w:tcPr>
          <w:p>
            <w:pPr>
              <w:spacing w:after="0"/>
              <w:rPr>
                <w:sz w:val="1"/>
                <w:szCs w:val="1"/>
                <w:color w:val="auto"/>
              </w:rPr>
            </w:pPr>
          </w:p>
        </w:tc>
      </w:tr>
      <w:tr>
        <w:trPr>
          <w:trHeight w:val="214"/>
        </w:trPr>
        <w:tc>
          <w:tcPr>
            <w:tcW w:w="42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040" w:type="dxa"/>
            <w:vAlign w:val="bottom"/>
          </w:tcPr>
          <w:p>
            <w:pPr>
              <w:jc w:val="right"/>
              <w:ind w:right="81"/>
              <w:spacing w:after="0"/>
              <w:rPr>
                <w:sz w:val="20"/>
                <w:szCs w:val="20"/>
                <w:color w:val="auto"/>
              </w:rPr>
            </w:pPr>
            <w:r>
              <w:rPr>
                <w:rFonts w:ascii="Arial" w:cs="Arial" w:eastAsia="Arial" w:hAnsi="Arial"/>
                <w:sz w:val="17"/>
                <w:szCs w:val="17"/>
                <w:color w:val="auto"/>
              </w:rPr>
              <w:t>11,394</w:t>
            </w:r>
          </w:p>
        </w:tc>
        <w:tc>
          <w:tcPr>
            <w:tcW w:w="1820" w:type="dxa"/>
            <w:vAlign w:val="bottom"/>
          </w:tcPr>
          <w:p>
            <w:pPr>
              <w:jc w:val="right"/>
              <w:spacing w:after="0"/>
              <w:rPr>
                <w:sz w:val="20"/>
                <w:szCs w:val="20"/>
                <w:color w:val="auto"/>
              </w:rPr>
            </w:pPr>
            <w:r>
              <w:rPr>
                <w:rFonts w:ascii="Arial" w:cs="Arial" w:eastAsia="Arial" w:hAnsi="Arial"/>
                <w:sz w:val="17"/>
                <w:szCs w:val="17"/>
                <w:color w:val="auto"/>
              </w:rPr>
              <w:t>8,291</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04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10,091</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7,636</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Restricted Stock</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RS awarded in February 2021, based on target opportunities, along with the actual payment of RS to executive officers, awarded for the 2021-2023 period are reflected in the table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Executive Officer</w:t>
            </w:r>
          </w:p>
        </w:tc>
        <w:tc>
          <w:tcPr>
            <w:tcW w:w="5560" w:type="dxa"/>
            <w:vAlign w:val="bottom"/>
          </w:tcPr>
          <w:p>
            <w:pPr>
              <w:jc w:val="right"/>
              <w:ind w:right="661"/>
              <w:spacing w:after="0"/>
              <w:rPr>
                <w:sz w:val="20"/>
                <w:szCs w:val="20"/>
                <w:color w:val="auto"/>
              </w:rPr>
            </w:pPr>
            <w:r>
              <w:rPr>
                <w:rFonts w:ascii="Arial" w:cs="Arial" w:eastAsia="Arial" w:hAnsi="Arial"/>
                <w:sz w:val="13"/>
                <w:szCs w:val="13"/>
                <w:b w:val="1"/>
                <w:bCs w:val="1"/>
                <w:color w:val="auto"/>
              </w:rPr>
              <w:t>Number of RS Awarded in</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60" w:type="dxa"/>
            <w:vAlign w:val="bottom"/>
            <w:tcBorders>
              <w:bottom w:val="single" w:sz="8" w:color="auto"/>
            </w:tcBorders>
            <w:vMerge w:val="continue"/>
          </w:tcPr>
          <w:p>
            <w:pPr>
              <w:spacing w:after="0"/>
              <w:rPr>
                <w:sz w:val="15"/>
                <w:szCs w:val="15"/>
                <w:color w:val="auto"/>
              </w:rPr>
            </w:pPr>
          </w:p>
        </w:tc>
        <w:tc>
          <w:tcPr>
            <w:tcW w:w="6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2020 (Target) for 2021-2023  2021-2023 RS Payout/Vesting</w:t>
            </w: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56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rPr>
              <w:t>18,327</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18,327</w:t>
            </w:r>
          </w:p>
        </w:tc>
        <w:tc>
          <w:tcPr>
            <w:tcW w:w="0" w:type="dxa"/>
            <w:vAlign w:val="bottom"/>
          </w:tcPr>
          <w:p>
            <w:pPr>
              <w:spacing w:after="0"/>
              <w:rPr>
                <w:sz w:val="1"/>
                <w:szCs w:val="1"/>
                <w:color w:val="auto"/>
              </w:rPr>
            </w:pPr>
          </w:p>
        </w:tc>
      </w:tr>
      <w:tr>
        <w:trPr>
          <w:trHeight w:val="214"/>
        </w:trPr>
        <w:tc>
          <w:tcPr>
            <w:tcW w:w="426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560" w:type="dxa"/>
            <w:vAlign w:val="bottom"/>
          </w:tcPr>
          <w:p>
            <w:pPr>
              <w:jc w:val="right"/>
              <w:ind w:right="621"/>
              <w:spacing w:after="0"/>
              <w:rPr>
                <w:sz w:val="20"/>
                <w:szCs w:val="20"/>
                <w:color w:val="auto"/>
              </w:rPr>
            </w:pPr>
            <w:r>
              <w:rPr>
                <w:rFonts w:ascii="Arial" w:cs="Arial" w:eastAsia="Arial" w:hAnsi="Arial"/>
                <w:sz w:val="17"/>
                <w:szCs w:val="17"/>
                <w:color w:val="auto"/>
              </w:rPr>
              <w:t>6,456</w:t>
            </w:r>
          </w:p>
        </w:tc>
        <w:tc>
          <w:tcPr>
            <w:tcW w:w="1280" w:type="dxa"/>
            <w:vAlign w:val="bottom"/>
          </w:tcPr>
          <w:p>
            <w:pPr>
              <w:jc w:val="right"/>
              <w:spacing w:after="0"/>
              <w:rPr>
                <w:sz w:val="20"/>
                <w:szCs w:val="20"/>
                <w:color w:val="auto"/>
              </w:rPr>
            </w:pPr>
            <w:r>
              <w:rPr>
                <w:rFonts w:ascii="Arial" w:cs="Arial" w:eastAsia="Arial" w:hAnsi="Arial"/>
                <w:sz w:val="17"/>
                <w:szCs w:val="17"/>
                <w:color w:val="auto"/>
              </w:rPr>
              <w:t>6,456</w:t>
            </w: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56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rPr>
              <w:t>6,345</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6,345</w:t>
            </w:r>
          </w:p>
        </w:tc>
        <w:tc>
          <w:tcPr>
            <w:tcW w:w="0" w:type="dxa"/>
            <w:vAlign w:val="bottom"/>
          </w:tcPr>
          <w:p>
            <w:pPr>
              <w:spacing w:after="0"/>
              <w:rPr>
                <w:sz w:val="1"/>
                <w:szCs w:val="1"/>
                <w:color w:val="auto"/>
              </w:rPr>
            </w:pPr>
          </w:p>
        </w:tc>
      </w:tr>
      <w:tr>
        <w:trPr>
          <w:trHeight w:val="214"/>
        </w:trPr>
        <w:tc>
          <w:tcPr>
            <w:tcW w:w="426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560" w:type="dxa"/>
            <w:vAlign w:val="bottom"/>
          </w:tcPr>
          <w:p>
            <w:pPr>
              <w:jc w:val="right"/>
              <w:ind w:right="621"/>
              <w:spacing w:after="0"/>
              <w:rPr>
                <w:sz w:val="20"/>
                <w:szCs w:val="20"/>
                <w:color w:val="auto"/>
              </w:rPr>
            </w:pPr>
            <w:r>
              <w:rPr>
                <w:rFonts w:ascii="Arial" w:cs="Arial" w:eastAsia="Arial" w:hAnsi="Arial"/>
                <w:sz w:val="17"/>
                <w:szCs w:val="17"/>
                <w:color w:val="auto"/>
              </w:rPr>
              <w:t>6,027</w:t>
            </w:r>
          </w:p>
        </w:tc>
        <w:tc>
          <w:tcPr>
            <w:tcW w:w="1280" w:type="dxa"/>
            <w:vAlign w:val="bottom"/>
          </w:tcPr>
          <w:p>
            <w:pPr>
              <w:jc w:val="right"/>
              <w:spacing w:after="0"/>
              <w:rPr>
                <w:sz w:val="20"/>
                <w:szCs w:val="20"/>
                <w:color w:val="auto"/>
              </w:rPr>
            </w:pPr>
            <w:r>
              <w:rPr>
                <w:rFonts w:ascii="Arial" w:cs="Arial" w:eastAsia="Arial" w:hAnsi="Arial"/>
                <w:sz w:val="17"/>
                <w:szCs w:val="17"/>
                <w:color w:val="auto"/>
              </w:rPr>
              <w:t>6,027</w:t>
            </w: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56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rPr>
              <w:t>5,552</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5,552</w:t>
            </w:r>
          </w:p>
        </w:tc>
        <w:tc>
          <w:tcPr>
            <w:tcW w:w="0" w:type="dxa"/>
            <w:vAlign w:val="bottom"/>
          </w:tcPr>
          <w:p>
            <w:pPr>
              <w:spacing w:after="0"/>
              <w:rPr>
                <w:sz w:val="1"/>
                <w:szCs w:val="1"/>
                <w:color w:val="auto"/>
              </w:rPr>
            </w:pPr>
          </w:p>
        </w:tc>
      </w:tr>
    </w:tbl>
    <w:p>
      <w:pPr>
        <w:spacing w:after="0" w:line="27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Since each executive officer awarded restricted stock in 2021 remained employed by the Company for three years from the grant date, each restricted stock awarded vested with such executive officers.</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Board also approved an increase in the annual retainer paid to all directors who are not an employee of the Company in the amount of $10,000 (going from $80,000 to $90,000), though all other Board compensation remained the same.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information contained under the captions “Common Stock Ownership of Management,” “Common Stock Ownership of Certain Beneficial Owners,” and “Equity Compensation Plan Information” contained in the definitive Proxy Statement is hereby incorporated herein by reference. There are no arrangements known to the registrant, the operation of which may at a subsequent date result in a change in control.</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38" w:name="page39"/>
    <w:bookmarkEnd w:id="38"/>
    <w:p>
      <w:pPr>
        <w:spacing w:after="0"/>
        <w:tabs>
          <w:tab w:leader="none" w:pos="8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information contained under the caption “Certain Transactions” contained in the definitive Proxy Statement is hereby incorporated herein by reference. The information contained under the caption “Election of Directors” contained in the definitive Proxy Statement is hereby incorporated herein by reference.</w:t>
      </w:r>
    </w:p>
    <w:p>
      <w:pPr>
        <w:spacing w:after="0" w:line="35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color w:val="auto"/>
        </w:rPr>
        <w:t>Principal Accounting Fee and Services.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Information regarding principal accounting fees and services set forth under the caption “Ratification of Appointment of Independent Auditors – Principal Accounting Fees and Services” in the definitive Proxy Statement is hereby incorporated herein by reference. Information concerning the policy adopted by the Audit Committee regarding the pre-approval of audit and non-audit services provided by the Company’s independent auditors set forth under the caption “Corporate Governance – Audit Committee” in the definitive Proxy Statement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39" w:name="page40"/>
    <w:bookmarkEnd w:id="39"/>
    <w:p>
      <w:pPr>
        <w:ind w:left="5300"/>
        <w:spacing w:after="0"/>
        <w:rPr>
          <w:sz w:val="20"/>
          <w:szCs w:val="20"/>
          <w:color w:val="auto"/>
        </w:rPr>
      </w:pPr>
      <w:r>
        <w:rPr>
          <w:rFonts w:ascii="Arial" w:cs="Arial" w:eastAsia="Arial" w:hAnsi="Arial"/>
          <w:sz w:val="17"/>
          <w:szCs w:val="17"/>
          <w:b w:val="1"/>
          <w:bCs w:val="1"/>
          <w:color w:val="auto"/>
        </w:rPr>
        <w:t>PART IV</w:t>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69" w:lineRule="exact"/>
        <w:rPr>
          <w:sz w:val="20"/>
          <w:szCs w:val="20"/>
          <w:color w:val="auto"/>
        </w:rPr>
      </w:pPr>
    </w:p>
    <w:p>
      <w:pPr>
        <w:ind w:left="1800" w:hanging="894"/>
        <w:spacing w:after="0"/>
        <w:tabs>
          <w:tab w:leader="none" w:pos="1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0000FF"/>
        </w:rPr>
        <w:t>Financial Statements. See Part II, Item 8.</w:t>
      </w:r>
    </w:p>
    <w:p>
      <w:pPr>
        <w:spacing w:after="0" w:line="131" w:lineRule="exact"/>
        <w:rPr>
          <w:rFonts w:ascii="Arial" w:cs="Arial" w:eastAsia="Arial" w:hAnsi="Arial"/>
          <w:sz w:val="17"/>
          <w:szCs w:val="17"/>
          <w:color w:val="auto"/>
        </w:rPr>
      </w:pPr>
    </w:p>
    <w:p>
      <w:pPr>
        <w:ind w:left="1800" w:right="3339" w:hanging="63"/>
        <w:spacing w:after="0" w:line="449" w:lineRule="auto"/>
        <w:tabs>
          <w:tab w:leader="none" w:pos="1923"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Financial Statements Schedules. None required or not applicable. 3. Exhibits. See Exhibit Index on Page </w:t>
      </w:r>
      <w:r>
        <w:rPr>
          <w:rFonts w:ascii="Arial" w:cs="Arial" w:eastAsia="Arial" w:hAnsi="Arial"/>
          <w:sz w:val="17"/>
          <w:szCs w:val="17"/>
          <w:u w:val="single" w:color="auto"/>
          <w:color w:val="0000FF"/>
        </w:rPr>
        <w:t>76</w:t>
      </w:r>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ind w:left="1800" w:hanging="894"/>
        <w:spacing w:after="0"/>
        <w:tabs>
          <w:tab w:leader="none" w:pos="1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 (a) above.</w:t>
      </w:r>
    </w:p>
    <w:p>
      <w:pPr>
        <w:spacing w:after="0" w:line="21" w:lineRule="exact"/>
        <w:rPr>
          <w:rFonts w:ascii="Arial" w:cs="Arial" w:eastAsia="Arial" w:hAnsi="Arial"/>
          <w:sz w:val="17"/>
          <w:szCs w:val="17"/>
          <w:color w:val="auto"/>
        </w:rPr>
      </w:pPr>
    </w:p>
    <w:p>
      <w:pPr>
        <w:ind w:left="1800" w:hanging="894"/>
        <w:spacing w:after="0"/>
        <w:tabs>
          <w:tab w:leader="none" w:pos="1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 (a) above.</w:t>
      </w:r>
    </w:p>
    <w:p>
      <w:pPr>
        <w:spacing w:after="0" w:line="31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139"/>
          </w:cols>
          <w:pgMar w:left="320" w:top="1066" w:right="1440" w:bottom="1440" w:gutter="0" w:footer="0" w:header="0"/>
        </w:sectPr>
      </w:pPr>
    </w:p>
    <w:bookmarkStart w:id="40" w:name="page41"/>
    <w:bookmarkEnd w:id="40"/>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14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Pursuant to the requirements of Section 13 of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6"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GENTEX CORPORATION</w:t>
      </w:r>
    </w:p>
    <w:p>
      <w:pPr>
        <w:spacing w:after="0" w:line="270" w:lineRule="exact"/>
        <w:rPr>
          <w:sz w:val="20"/>
          <w:szCs w:val="20"/>
          <w:color w:val="auto"/>
        </w:rPr>
      </w:pPr>
    </w:p>
    <w:tbl>
      <w:tblPr>
        <w:tblLayout w:type="fixed"/>
        <w:tblInd w:w="3880" w:type="dxa"/>
        <w:tblCellMar>
          <w:top w:w="0" w:type="dxa"/>
          <w:left w:w="0" w:type="dxa"/>
          <w:bottom w:w="0" w:type="dxa"/>
          <w:right w:w="0" w:type="dxa"/>
        </w:tblCellMar>
      </w:tblPr>
      <w:tr>
        <w:trPr>
          <w:trHeight w:val="218"/>
        </w:trPr>
        <w:tc>
          <w:tcPr>
            <w:tcW w:w="1020" w:type="dxa"/>
            <w:vAlign w:val="bottom"/>
          </w:tcPr>
          <w:p>
            <w:pPr>
              <w:spacing w:after="0"/>
              <w:rPr>
                <w:sz w:val="20"/>
                <w:szCs w:val="20"/>
                <w:color w:val="auto"/>
              </w:rPr>
            </w:pPr>
            <w:r>
              <w:rPr>
                <w:rFonts w:ascii="Arial" w:cs="Arial" w:eastAsia="Arial" w:hAnsi="Arial"/>
                <w:sz w:val="17"/>
                <w:szCs w:val="17"/>
                <w:color w:val="auto"/>
              </w:rPr>
              <w:t>By:</w:t>
            </w:r>
          </w:p>
        </w:tc>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Steven R. Downing</w:t>
            </w:r>
          </w:p>
        </w:tc>
      </w:tr>
      <w:tr>
        <w:trPr>
          <w:trHeight w:val="202"/>
        </w:trPr>
        <w:tc>
          <w:tcPr>
            <w:tcW w:w="1020" w:type="dxa"/>
            <w:vAlign w:val="bottom"/>
          </w:tcPr>
          <w:p>
            <w:pPr>
              <w:spacing w:after="0"/>
              <w:rPr>
                <w:sz w:val="17"/>
                <w:szCs w:val="17"/>
                <w:color w:val="auto"/>
              </w:rPr>
            </w:pPr>
          </w:p>
        </w:tc>
        <w:tc>
          <w:tcPr>
            <w:tcW w:w="6440" w:type="dxa"/>
            <w:vAlign w:val="bottom"/>
          </w:tcPr>
          <w:p>
            <w:pPr>
              <w:ind w:left="20"/>
              <w:spacing w:after="0"/>
              <w:rPr>
                <w:sz w:val="20"/>
                <w:szCs w:val="20"/>
                <w:color w:val="auto"/>
              </w:rPr>
            </w:pPr>
            <w:r>
              <w:rPr>
                <w:rFonts w:ascii="Arial" w:cs="Arial" w:eastAsia="Arial" w:hAnsi="Arial"/>
                <w:sz w:val="17"/>
                <w:szCs w:val="17"/>
                <w:color w:val="auto"/>
              </w:rPr>
              <w:t>Steven R. Downing, President and Chief Executive Officer</w:t>
            </w:r>
          </w:p>
        </w:tc>
      </w:tr>
      <w:tr>
        <w:trPr>
          <w:trHeight w:val="222"/>
        </w:trPr>
        <w:tc>
          <w:tcPr>
            <w:tcW w:w="1020" w:type="dxa"/>
            <w:vAlign w:val="bottom"/>
          </w:tcPr>
          <w:p>
            <w:pPr>
              <w:spacing w:after="0"/>
              <w:rPr>
                <w:sz w:val="20"/>
                <w:szCs w:val="20"/>
                <w:color w:val="auto"/>
              </w:rPr>
            </w:pPr>
            <w:r>
              <w:rPr>
                <w:rFonts w:ascii="Arial" w:cs="Arial" w:eastAsia="Arial" w:hAnsi="Arial"/>
                <w:sz w:val="17"/>
                <w:szCs w:val="17"/>
                <w:color w:val="auto"/>
              </w:rPr>
              <w:t>Date:</w:t>
            </w:r>
          </w:p>
        </w:tc>
        <w:tc>
          <w:tcPr>
            <w:tcW w:w="6440" w:type="dxa"/>
            <w:vAlign w:val="bottom"/>
          </w:tcPr>
          <w:p>
            <w:pPr>
              <w:ind w:left="20"/>
              <w:spacing w:after="0"/>
              <w:rPr>
                <w:sz w:val="20"/>
                <w:szCs w:val="20"/>
                <w:color w:val="auto"/>
              </w:rPr>
            </w:pPr>
            <w:r>
              <w:rPr>
                <w:rFonts w:ascii="Arial" w:cs="Arial" w:eastAsia="Arial" w:hAnsi="Arial"/>
                <w:sz w:val="17"/>
                <w:szCs w:val="17"/>
                <w:color w:val="auto"/>
              </w:rPr>
              <w:t>February 22, 2024</w:t>
            </w:r>
          </w:p>
        </w:tc>
      </w:tr>
    </w:tbl>
    <w:p>
      <w:pPr>
        <w:spacing w:after="0" w:line="177" w:lineRule="exact"/>
        <w:rPr>
          <w:sz w:val="20"/>
          <w:szCs w:val="20"/>
          <w:color w:val="auto"/>
        </w:rPr>
      </w:pPr>
    </w:p>
    <w:p>
      <w:pPr>
        <w:ind w:right="520"/>
        <w:spacing w:after="0" w:line="23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on this 22</w:t>
      </w:r>
      <w:r>
        <w:rPr>
          <w:rFonts w:ascii="Arial" w:cs="Arial" w:eastAsia="Arial" w:hAnsi="Arial"/>
          <w:sz w:val="21"/>
          <w:szCs w:val="21"/>
          <w:color w:val="auto"/>
          <w:vertAlign w:val="superscript"/>
        </w:rPr>
        <w:t>nd</w:t>
      </w:r>
      <w:r>
        <w:rPr>
          <w:rFonts w:ascii="Arial" w:cs="Arial" w:eastAsia="Arial" w:hAnsi="Arial"/>
          <w:sz w:val="17"/>
          <w:szCs w:val="17"/>
          <w:color w:val="auto"/>
        </w:rPr>
        <w:t xml:space="preserve"> day of February, 2023, by the following persons on behalf of the registrant and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00" w:type="dxa"/>
            <w:vAlign w:val="bottom"/>
          </w:tcPr>
          <w:p>
            <w:pPr>
              <w:ind w:left="2980"/>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18"/>
                <w:szCs w:val="18"/>
                <w:color w:val="auto"/>
              </w:rPr>
            </w:pPr>
          </w:p>
        </w:tc>
        <w:tc>
          <w:tcPr>
            <w:tcW w:w="7240" w:type="dxa"/>
            <w:vAlign w:val="bottom"/>
            <w:gridSpan w:val="3"/>
          </w:tcPr>
          <w:p>
            <w:pPr>
              <w:spacing w:after="0"/>
              <w:rPr>
                <w:sz w:val="20"/>
                <w:szCs w:val="20"/>
                <w:color w:val="auto"/>
              </w:rPr>
            </w:pPr>
            <w:r>
              <w:rPr>
                <w:rFonts w:ascii="Arial" w:cs="Arial" w:eastAsia="Arial" w:hAnsi="Arial"/>
                <w:sz w:val="17"/>
                <w:szCs w:val="17"/>
                <w:color w:val="auto"/>
              </w:rPr>
              <w:t>/s/ Steven R. Downing</w:t>
            </w:r>
          </w:p>
        </w:tc>
      </w:tr>
      <w:tr>
        <w:trPr>
          <w:trHeight w:val="202"/>
        </w:trPr>
        <w:tc>
          <w:tcPr>
            <w:tcW w:w="40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Steven R. Downing, President and Chief Executive Officer</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4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40" w:type="dxa"/>
            <w:vAlign w:val="bottom"/>
            <w:gridSpan w:val="3"/>
          </w:tcPr>
          <w:p>
            <w:pPr>
              <w:spacing w:after="0"/>
              <w:rPr>
                <w:sz w:val="20"/>
                <w:szCs w:val="20"/>
                <w:color w:val="auto"/>
              </w:rPr>
            </w:pPr>
            <w:r>
              <w:rPr>
                <w:rFonts w:ascii="Arial" w:cs="Arial" w:eastAsia="Arial" w:hAnsi="Arial"/>
                <w:sz w:val="17"/>
                <w:szCs w:val="17"/>
                <w:color w:val="auto"/>
              </w:rPr>
              <w:t>(Principal Executive Officer) on behalf of Gentex Corporation</w:t>
            </w:r>
          </w:p>
        </w:tc>
      </w:tr>
      <w:tr>
        <w:trPr>
          <w:trHeight w:val="437"/>
        </w:trPr>
        <w:tc>
          <w:tcPr>
            <w:tcW w:w="4000" w:type="dxa"/>
            <w:vAlign w:val="bottom"/>
          </w:tcPr>
          <w:p>
            <w:pPr>
              <w:ind w:left="2980"/>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24"/>
                <w:szCs w:val="24"/>
                <w:color w:val="auto"/>
              </w:rPr>
            </w:pPr>
          </w:p>
        </w:tc>
        <w:tc>
          <w:tcPr>
            <w:tcW w:w="7240" w:type="dxa"/>
            <w:vAlign w:val="bottom"/>
            <w:gridSpan w:val="3"/>
          </w:tcPr>
          <w:p>
            <w:pPr>
              <w:ind w:left="20"/>
              <w:spacing w:after="0"/>
              <w:rPr>
                <w:sz w:val="20"/>
                <w:szCs w:val="20"/>
                <w:color w:val="auto"/>
              </w:rPr>
            </w:pPr>
            <w:r>
              <w:rPr>
                <w:rFonts w:ascii="Arial" w:cs="Arial" w:eastAsia="Arial" w:hAnsi="Arial"/>
                <w:sz w:val="17"/>
                <w:szCs w:val="17"/>
                <w:color w:val="auto"/>
              </w:rPr>
              <w:t>/s/ Kevin C. Nash</w:t>
            </w:r>
          </w:p>
        </w:tc>
      </w:tr>
      <w:tr>
        <w:trPr>
          <w:trHeight w:val="202"/>
        </w:trPr>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color w:val="auto"/>
              </w:rPr>
              <w:t>Kevin C. Nash, Vice President, Finance, Chief Financial Officer and Treasurer</w:t>
            </w:r>
          </w:p>
        </w:tc>
        <w:tc>
          <w:tcPr>
            <w:tcW w:w="20" w:type="dxa"/>
            <w:vAlign w:val="bottom"/>
          </w:tcPr>
          <w:p>
            <w:pPr>
              <w:spacing w:after="0"/>
              <w:rPr>
                <w:sz w:val="17"/>
                <w:szCs w:val="17"/>
                <w:color w:val="auto"/>
              </w:rPr>
            </w:pPr>
          </w:p>
        </w:tc>
      </w:tr>
      <w:tr>
        <w:trPr>
          <w:trHeight w:val="222"/>
        </w:trPr>
        <w:tc>
          <w:tcPr>
            <w:tcW w:w="4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Arial" w:cs="Arial" w:eastAsia="Arial" w:hAnsi="Arial"/>
                <w:sz w:val="17"/>
                <w:szCs w:val="17"/>
                <w:color w:val="auto"/>
              </w:rPr>
              <w:t>(Principal Financial Officer and Principal Accounting Officer) on behalf of Gentex Corporation</w:t>
            </w:r>
          </w:p>
        </w:tc>
      </w:tr>
      <w:tr>
        <w:trPr>
          <w:trHeight w:val="818"/>
        </w:trPr>
        <w:tc>
          <w:tcPr>
            <w:tcW w:w="4000" w:type="dxa"/>
            <w:vAlign w:val="bottom"/>
          </w:tcPr>
          <w:p>
            <w:pPr>
              <w:spacing w:after="0"/>
              <w:rPr>
                <w:sz w:val="24"/>
                <w:szCs w:val="24"/>
                <w:color w:val="auto"/>
              </w:rPr>
            </w:pPr>
          </w:p>
        </w:tc>
        <w:tc>
          <w:tcPr>
            <w:tcW w:w="7220" w:type="dxa"/>
            <w:vAlign w:val="bottom"/>
            <w:gridSpan w:val="2"/>
          </w:tcPr>
          <w:p>
            <w:pPr>
              <w:jc w:val="right"/>
              <w:ind w:right="5416"/>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4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340"/>
          </w:cols>
          <w:pgMar w:left="320" w:top="840" w:right="239" w:bottom="1440" w:gutter="0" w:footer="0" w:header="0"/>
        </w:sectPr>
      </w:pPr>
    </w:p>
    <w:bookmarkStart w:id="41" w:name="page42"/>
    <w:bookmarkEnd w:id="41"/>
    <w:p>
      <w:pPr>
        <w:ind w:firstLine="906"/>
        <w:spacing w:after="0" w:line="263" w:lineRule="auto"/>
        <w:rPr>
          <w:sz w:val="20"/>
          <w:szCs w:val="20"/>
          <w:color w:val="auto"/>
        </w:rPr>
      </w:pPr>
      <w:r>
        <w:rPr>
          <w:rFonts w:ascii="Arial" w:cs="Arial" w:eastAsia="Arial" w:hAnsi="Arial"/>
          <w:sz w:val="17"/>
          <w:szCs w:val="17"/>
          <w:color w:val="auto"/>
        </w:rPr>
        <w:t>Each Director of the registrant whose signature appears below hereby appoints Steve Downing or Kevin Nash, as his or her attorney-in-fact to sign in his or her name and on his or her behalf, and to file with the Commission any and all amendments to this report on Form 10-K to the same extent and with the same effect as if done personally.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Anderson</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Joseph Anderson</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Leslie Brown</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Leslie Brown</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Garth Deur</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Garth Deur</w:t>
            </w:r>
          </w:p>
        </w:tc>
        <w:tc>
          <w:tcPr>
            <w:tcW w:w="720" w:type="dxa"/>
            <w:vAlign w:val="bottom"/>
          </w:tcPr>
          <w:p>
            <w:pPr>
              <w:spacing w:after="0"/>
              <w:rPr>
                <w:sz w:val="18"/>
                <w:szCs w:val="18"/>
                <w:color w:val="auto"/>
              </w:rPr>
            </w:pPr>
          </w:p>
        </w:tc>
      </w:tr>
      <w:tr>
        <w:trPr>
          <w:trHeight w:val="312"/>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Steven Downing</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Steven Downing</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Richard Schaum</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Richard Schaum</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Kathleen Starkoff</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Kathleen Starkoff</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Brian Walker</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Brian Walker</w:t>
            </w:r>
          </w:p>
        </w:tc>
        <w:tc>
          <w:tcPr>
            <w:tcW w:w="720" w:type="dxa"/>
            <w:vAlign w:val="bottom"/>
          </w:tcPr>
          <w:p>
            <w:pPr>
              <w:spacing w:after="0"/>
              <w:rPr>
                <w:sz w:val="18"/>
                <w:szCs w:val="18"/>
                <w:color w:val="auto"/>
              </w:rPr>
            </w:pPr>
          </w:p>
        </w:tc>
      </w:tr>
      <w:tr>
        <w:trPr>
          <w:trHeight w:val="35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Ling Zang</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209"/>
        </w:trPr>
        <w:tc>
          <w:tcPr>
            <w:tcW w:w="6220" w:type="dxa"/>
            <w:vAlign w:val="bottom"/>
          </w:tcPr>
          <w:p>
            <w:pPr>
              <w:ind w:left="20"/>
              <w:spacing w:after="0"/>
              <w:rPr>
                <w:sz w:val="20"/>
                <w:szCs w:val="20"/>
                <w:color w:val="auto"/>
              </w:rPr>
            </w:pPr>
            <w:r>
              <w:rPr>
                <w:rFonts w:ascii="Arial" w:cs="Arial" w:eastAsia="Arial" w:hAnsi="Arial"/>
                <w:sz w:val="16"/>
                <w:szCs w:val="16"/>
                <w:color w:val="auto"/>
              </w:rPr>
              <w:t>Ling Zang</w:t>
            </w:r>
          </w:p>
        </w:tc>
        <w:tc>
          <w:tcPr>
            <w:tcW w:w="7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2" w:name="page43"/>
    <w:bookmarkEnd w:id="42"/>
    <w:p>
      <w:pPr>
        <w:ind w:left="33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Gentex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07"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We have audited the accompanying consolidated balance sheets of Gentex Corporation and subsidiaries (the Company) as of December 31, 2023 and 2022, the related consolidated statements of income, comprehensive income, shareholders' investment and cash flows for each of the three years in the period ended December 31, 2023, and the related notes (collectively referred to as the “consolidated financial statements”). In our opinion, the</w:t>
      </w:r>
    </w:p>
    <w:p>
      <w:pPr>
        <w:ind w:right="20"/>
        <w:spacing w:after="0" w:line="228" w:lineRule="auto"/>
        <w:rPr>
          <w:sz w:val="20"/>
          <w:szCs w:val="20"/>
          <w:color w:val="auto"/>
        </w:rPr>
      </w:pPr>
      <w:r>
        <w:rPr>
          <w:rFonts w:ascii="Arial" w:cs="Arial" w:eastAsia="Arial" w:hAnsi="Arial"/>
          <w:sz w:val="17"/>
          <w:szCs w:val="17"/>
          <w:color w:val="auto"/>
        </w:rPr>
        <w:t>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w:t>
      </w:r>
    </w:p>
    <w:p>
      <w:pPr>
        <w:spacing w:after="0" w:line="21" w:lineRule="exact"/>
        <w:rPr>
          <w:sz w:val="20"/>
          <w:szCs w:val="20"/>
          <w:color w:val="auto"/>
        </w:rPr>
      </w:pPr>
    </w:p>
    <w:p>
      <w:pPr>
        <w:ind w:right="100"/>
        <w:spacing w:after="0" w:line="228" w:lineRule="auto"/>
        <w:rPr>
          <w:sz w:val="20"/>
          <w:szCs w:val="20"/>
          <w:color w:val="auto"/>
        </w:rPr>
      </w:pPr>
      <w:r>
        <w:rPr>
          <w:rFonts w:ascii="Arial" w:cs="Arial" w:eastAsia="Arial" w:hAnsi="Arial"/>
          <w:sz w:val="17"/>
          <w:szCs w:val="17"/>
          <w:color w:val="auto"/>
        </w:rPr>
        <w:t>internal control over financial reporting as of December 31, 2023, based on criteria established in Internal Control-Integrated Framework issued by the Committee of Sponsoring Organizations of the Treadway Commission (2013 framework), and our report dated February 22, 2024 expressed an unqualified opinion thereon.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20"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w:t>
      </w:r>
    </w:p>
    <w:p>
      <w:pPr>
        <w:spacing w:after="0"/>
        <w:rPr>
          <w:sz w:val="20"/>
          <w:szCs w:val="20"/>
          <w:color w:val="auto"/>
        </w:rPr>
      </w:pPr>
      <w:r>
        <w:rPr>
          <w:rFonts w:ascii="Arial" w:cs="Arial" w:eastAsia="Arial" w:hAnsi="Arial"/>
          <w:sz w:val="17"/>
          <w:szCs w:val="17"/>
          <w:color w:val="auto"/>
        </w:rPr>
        <w:t>the PCAOB.</w:t>
      </w:r>
    </w:p>
    <w:p>
      <w:pPr>
        <w:spacing w:after="0" w:line="191" w:lineRule="exact"/>
        <w:rPr>
          <w:sz w:val="20"/>
          <w:szCs w:val="20"/>
          <w:color w:val="auto"/>
        </w:rPr>
      </w:pPr>
    </w:p>
    <w:p>
      <w:pPr>
        <w:ind w:right="360"/>
        <w:spacing w:after="0" w:line="24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w:t>
      </w:r>
    </w:p>
    <w:p>
      <w:pPr>
        <w:ind w:right="180"/>
        <w:spacing w:after="0" w:line="228" w:lineRule="auto"/>
        <w:rPr>
          <w:sz w:val="20"/>
          <w:szCs w:val="20"/>
          <w:color w:val="auto"/>
        </w:rPr>
      </w:pPr>
      <w:r>
        <w:rPr>
          <w:rFonts w:ascii="Arial" w:cs="Arial" w:eastAsia="Arial" w:hAnsi="Arial"/>
          <w:sz w:val="17"/>
          <w:szCs w:val="17"/>
          <w:color w:val="auto"/>
        </w:rPr>
        <w:t>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20"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w:t>
      </w:r>
    </w:p>
    <w:p>
      <w:pPr>
        <w:spacing w:after="0"/>
        <w:rPr>
          <w:sz w:val="20"/>
          <w:szCs w:val="20"/>
          <w:color w:val="auto"/>
        </w:rPr>
      </w:pPr>
      <w:r>
        <w:rPr>
          <w:rFonts w:ascii="Arial" w:cs="Arial" w:eastAsia="Arial" w:hAnsi="Arial"/>
          <w:sz w:val="17"/>
          <w:szCs w:val="17"/>
          <w:color w:val="auto"/>
        </w:rPr>
        <w:t>separate opinion on the critical audit matter or on the accounts or disclosures to which it relates.</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054" w:right="379" w:bottom="1440" w:gutter="0" w:footer="0" w:header="0"/>
        </w:sectPr>
      </w:pPr>
    </w:p>
    <w:bookmarkStart w:id="43" w:name="page44"/>
    <w:bookmarkEnd w:id="43"/>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40" w:right="160"/>
        <w:spacing w:after="0" w:line="262" w:lineRule="auto"/>
        <w:rPr>
          <w:sz w:val="20"/>
          <w:szCs w:val="20"/>
          <w:color w:val="auto"/>
        </w:rPr>
      </w:pPr>
      <w:r>
        <w:rPr>
          <w:rFonts w:ascii="Times New Roman" w:cs="Times New Roman" w:eastAsia="Times New Roman" w:hAnsi="Times New Roman"/>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 Estimate of Variable Consideration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Notes 1 and 11 to the Company’s consolidated financial statements, the Company</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occasionally enters into sales contracts with its customers that provide for annual price reductions over the production life of a particular part. Prices may also be adjusted on an ongoing basis to reflect changes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product content, product cost and other commercial factors.</w:t>
      </w:r>
    </w:p>
    <w:p>
      <w:pPr>
        <w:spacing w:after="0" w:line="191" w:lineRule="exact"/>
        <w:rPr>
          <w:sz w:val="20"/>
          <w:szCs w:val="20"/>
          <w:color w:val="auto"/>
        </w:rPr>
      </w:pPr>
    </w:p>
    <w:p>
      <w:pPr>
        <w:ind w:right="60"/>
        <w:spacing w:after="0" w:line="218" w:lineRule="auto"/>
        <w:rPr>
          <w:sz w:val="20"/>
          <w:szCs w:val="20"/>
          <w:color w:val="auto"/>
        </w:rPr>
      </w:pPr>
      <w:r>
        <w:rPr>
          <w:rFonts w:ascii="Arial" w:cs="Arial" w:eastAsia="Arial" w:hAnsi="Arial"/>
          <w:sz w:val="17"/>
          <w:szCs w:val="17"/>
          <w:color w:val="auto"/>
        </w:rPr>
        <w:t>Auditing the accounting for and the completeness of the amount of revenue that the Company expects to be entitled to in exchange for its products (for arrangements containing annual price reductions) is</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7"/>
          <w:szCs w:val="17"/>
          <w:color w:val="auto"/>
        </w:rPr>
        <w:t>judgmental due to the unique facts and circumstances involved with each revenue arrangement, as well as on-going commercial negotiations with customers.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We obtained an understanding, evaluated the design and tested the operating effectiveness of controls</w:t>
      </w:r>
    </w:p>
    <w:p>
      <w:pPr>
        <w:spacing w:after="0" w:line="9" w:lineRule="exact"/>
        <w:rPr>
          <w:sz w:val="20"/>
          <w:szCs w:val="20"/>
          <w:color w:val="auto"/>
        </w:rPr>
      </w:pPr>
    </w:p>
    <w:p>
      <w:pPr>
        <w:ind w:right="220"/>
        <w:spacing w:after="0" w:line="237" w:lineRule="auto"/>
        <w:rPr>
          <w:sz w:val="20"/>
          <w:szCs w:val="20"/>
          <w:color w:val="auto"/>
        </w:rPr>
      </w:pPr>
      <w:r>
        <w:rPr>
          <w:rFonts w:ascii="Arial" w:cs="Arial" w:eastAsia="Arial" w:hAnsi="Arial"/>
          <w:sz w:val="16"/>
          <w:szCs w:val="16"/>
          <w:color w:val="auto"/>
        </w:rPr>
        <w:t>over annual price reductions. This included testing controls over the Company’s process to identify and evaluate customer contracts that contain matters that impact revenue recognition, as well as testing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controls relating to the completeness and measurement of revenue related to those sales contracts.</w:t>
      </w:r>
    </w:p>
    <w:p>
      <w:pPr>
        <w:spacing w:after="0" w:line="20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audit procedures included, among others, testing the completeness and valuation of the Company’s price reductions, including interviews of executive and commercial management personnel responsible for negotiations with customers, inspecting communications between the Company and its customers related to the price reductions, and testing manual price reduction entries recorded using lower materiality thresholds for our testing purposes.</w:t>
      </w:r>
    </w:p>
    <w:p>
      <w:pPr>
        <w:spacing w:after="0" w:line="1167" w:lineRule="exact"/>
        <w:rPr>
          <w:sz w:val="20"/>
          <w:szCs w:val="20"/>
          <w:color w:val="auto"/>
        </w:rPr>
      </w:pPr>
    </w:p>
    <w:p>
      <w:pPr>
        <w:sectPr>
          <w:pgSz w:w="11900" w:h="16838" w:orient="portrait"/>
          <w:cols w:equalWidth="0" w:num="2">
            <w:col w:w="2240" w:space="640"/>
            <w:col w:w="7840"/>
          </w:cols>
          <w:pgMar w:left="320" w:top="874" w:right="85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1999.</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Grand Rapids, Michigan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22, 2024</w:t>
      </w:r>
    </w:p>
    <w:p>
      <w:pPr>
        <w:spacing w:after="0" w:line="200" w:lineRule="exact"/>
        <w:rPr>
          <w:sz w:val="20"/>
          <w:szCs w:val="20"/>
          <w:color w:val="auto"/>
        </w:rPr>
      </w:pPr>
    </w:p>
    <w:p>
      <w:pPr>
        <w:spacing w:after="0" w:line="322"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73025</wp:posOffset>
            </wp:positionV>
            <wp:extent cx="716724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720"/>
          </w:cols>
          <w:pgMar w:left="320" w:top="874" w:right="859" w:bottom="1440" w:gutter="0" w:footer="0" w:header="0"/>
          <w:type w:val="continuous"/>
        </w:sectPr>
      </w:pPr>
    </w:p>
    <w:bookmarkStart w:id="44" w:name="page45"/>
    <w:bookmarkEnd w:id="44"/>
    <w:p>
      <w:pPr>
        <w:ind w:left="33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Gentex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07" w:lineRule="exact"/>
        <w:rPr>
          <w:sz w:val="20"/>
          <w:szCs w:val="20"/>
          <w:color w:val="auto"/>
        </w:rPr>
      </w:pPr>
    </w:p>
    <w:p>
      <w:pPr>
        <w:jc w:val="both"/>
        <w:ind w:right="140"/>
        <w:spacing w:after="0" w:line="242" w:lineRule="auto"/>
        <w:rPr>
          <w:sz w:val="20"/>
          <w:szCs w:val="20"/>
          <w:color w:val="auto"/>
        </w:rPr>
      </w:pPr>
      <w:r>
        <w:rPr>
          <w:rFonts w:ascii="Arial" w:cs="Arial" w:eastAsia="Arial" w:hAnsi="Arial"/>
          <w:sz w:val="16"/>
          <w:szCs w:val="16"/>
          <w:color w:val="auto"/>
        </w:rPr>
        <w:t>We have audited Gentex Corporation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Gentex Corporation and subsidiaries (the Company) maintained, in all material respects, effective internal control over</w:t>
      </w:r>
    </w:p>
    <w:p>
      <w:pPr>
        <w:spacing w:after="0"/>
        <w:rPr>
          <w:sz w:val="20"/>
          <w:szCs w:val="20"/>
          <w:color w:val="auto"/>
        </w:rPr>
      </w:pPr>
      <w:r>
        <w:rPr>
          <w:rFonts w:ascii="Arial" w:cs="Arial" w:eastAsia="Arial" w:hAnsi="Arial"/>
          <w:sz w:val="17"/>
          <w:szCs w:val="17"/>
          <w:color w:val="auto"/>
        </w:rPr>
        <w:t>financial reporting as of December 31, 2023, based on the COSO criteria.</w:t>
      </w:r>
    </w:p>
    <w:p>
      <w:pPr>
        <w:spacing w:after="0" w:line="191"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2023 and 2022, the related consolidated statements of income, comprehensive income, shareholders' investment and cash flows for each of the three years in the period ended December 31, 2023, and the related notes and our report</w:t>
      </w:r>
    </w:p>
    <w:p>
      <w:pPr>
        <w:spacing w:after="0"/>
        <w:rPr>
          <w:sz w:val="20"/>
          <w:szCs w:val="20"/>
          <w:color w:val="auto"/>
        </w:rPr>
      </w:pPr>
      <w:r>
        <w:rPr>
          <w:rFonts w:ascii="Arial" w:cs="Arial" w:eastAsia="Arial" w:hAnsi="Arial"/>
          <w:sz w:val="17"/>
          <w:szCs w:val="17"/>
          <w:color w:val="auto"/>
        </w:rPr>
        <w:t>dated February 22, 2024 expressed an unqualified opinion thereon.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0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ind w:right="680"/>
        <w:spacing w:after="0" w:line="24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5"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considered necessary in the circumstances. We believe that our audit provides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07"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w:t>
      </w:r>
    </w:p>
    <w:p>
      <w:pPr>
        <w:spacing w:after="0" w:line="1" w:lineRule="exact"/>
        <w:rPr>
          <w:sz w:val="20"/>
          <w:szCs w:val="20"/>
          <w:color w:val="auto"/>
        </w:rPr>
      </w:pPr>
    </w:p>
    <w:p>
      <w:pPr>
        <w:ind w:right="80"/>
        <w:spacing w:after="0" w:line="233" w:lineRule="auto"/>
        <w:rPr>
          <w:sz w:val="20"/>
          <w:szCs w:val="20"/>
          <w:color w:val="auto"/>
        </w:rPr>
      </w:pPr>
      <w:r>
        <w:rPr>
          <w:rFonts w:ascii="Arial" w:cs="Arial" w:eastAsia="Arial" w:hAnsi="Arial"/>
          <w:sz w:val="16"/>
          <w:szCs w:val="16"/>
          <w:color w:val="auto"/>
        </w:rPr>
        <w:t>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w:t>
      </w:r>
    </w:p>
    <w:p>
      <w:pPr>
        <w:spacing w:after="0" w:line="3"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w:t>
      </w:r>
    </w:p>
    <w:p>
      <w:pPr>
        <w:spacing w:after="0" w:line="21" w:lineRule="exact"/>
        <w:rPr>
          <w:sz w:val="20"/>
          <w:szCs w:val="20"/>
          <w:color w:val="auto"/>
        </w:rPr>
      </w:pPr>
    </w:p>
    <w:p>
      <w:pPr>
        <w:ind w:right="200"/>
        <w:spacing w:after="0" w:line="234" w:lineRule="auto"/>
        <w:rPr>
          <w:sz w:val="20"/>
          <w:szCs w:val="20"/>
          <w:color w:val="auto"/>
        </w:rPr>
      </w:pPr>
      <w:r>
        <w:rPr>
          <w:rFonts w:ascii="Arial" w:cs="Arial" w:eastAsia="Arial" w:hAnsi="Arial"/>
          <w:sz w:val="17"/>
          <w:szCs w:val="17"/>
          <w:color w:val="auto"/>
        </w:rPr>
        <w:t>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Grand Rapids, Michigan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22, 2024</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2"/>
          <w:szCs w:val="12"/>
          <w:color w:val="auto"/>
        </w:rPr>
        <w:t>GENTEX CORPORATION AND SUBSIDIARIES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BALANCE SHEETS</w:t>
      </w:r>
    </w:p>
    <w:p>
      <w:pPr>
        <w:jc w:val="center"/>
        <w:ind w:right="20"/>
        <w:spacing w:after="0"/>
        <w:rPr>
          <w:sz w:val="20"/>
          <w:szCs w:val="20"/>
          <w:color w:val="auto"/>
        </w:rPr>
      </w:pPr>
      <w:r>
        <w:rPr>
          <w:rFonts w:ascii="Arial" w:cs="Arial" w:eastAsia="Arial" w:hAnsi="Arial"/>
          <w:sz w:val="12"/>
          <w:szCs w:val="12"/>
          <w:color w:val="auto"/>
        </w:rPr>
        <w:t>AS OF DECEMBER 31, 2023 AND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Borders>
              <w:bottom w:val="single" w:sz="8" w:color="CCEEFF"/>
            </w:tcBorders>
          </w:tcPr>
          <w:p>
            <w:pPr>
              <w:spacing w:after="0"/>
              <w:rPr>
                <w:sz w:val="16"/>
                <w:szCs w:val="16"/>
                <w:color w:val="auto"/>
              </w:rPr>
            </w:pPr>
          </w:p>
        </w:tc>
        <w:tc>
          <w:tcPr>
            <w:tcW w:w="260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49"/>
        </w:trPr>
        <w:tc>
          <w:tcPr>
            <w:tcW w:w="540" w:type="dxa"/>
            <w:vAlign w:val="bottom"/>
            <w:tcBorders>
              <w:bottom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ASSETS</w:t>
            </w:r>
          </w:p>
        </w:tc>
        <w:tc>
          <w:tcPr>
            <w:tcW w:w="6880" w:type="dxa"/>
            <w:vAlign w:val="bottom"/>
            <w:tcBorders>
              <w:bottom w:val="single" w:sz="8" w:color="CCEEFF"/>
            </w:tcBorders>
            <w:gridSpan w:val="2"/>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420" w:type="dxa"/>
            <w:vAlign w:val="bottom"/>
            <w:gridSpan w:val="3"/>
          </w:tcPr>
          <w:p>
            <w:pPr>
              <w:spacing w:after="0"/>
              <w:rPr>
                <w:sz w:val="20"/>
                <w:szCs w:val="20"/>
                <w:color w:val="auto"/>
              </w:rPr>
            </w:pPr>
            <w:r>
              <w:rPr>
                <w:rFonts w:ascii="Arial" w:cs="Arial" w:eastAsia="Arial" w:hAnsi="Arial"/>
                <w:sz w:val="13"/>
                <w:szCs w:val="13"/>
                <w:color w:val="auto"/>
              </w:rPr>
              <w:t>CURRENT ASSETS: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Cash and cash equivalents</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226,435,019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214,754,638</w:t>
            </w: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Restricted cash</w:t>
            </w:r>
          </w:p>
        </w:tc>
        <w:tc>
          <w:tcPr>
            <w:tcW w:w="3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4,000,000</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Short-term investments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14,356,476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23,007,385</w:t>
            </w: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Accounts receivable, net</w:t>
            </w:r>
          </w:p>
        </w:tc>
        <w:tc>
          <w:tcPr>
            <w:tcW w:w="320" w:type="dxa"/>
            <w:vAlign w:val="bottom"/>
          </w:tcPr>
          <w:p>
            <w:pPr>
              <w:spacing w:after="0"/>
              <w:rPr>
                <w:sz w:val="16"/>
                <w:szCs w:val="16"/>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321,809,868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276,493,752</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Inventories, net</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402,473,028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404,360,270</w:t>
            </w:r>
          </w:p>
        </w:tc>
        <w:tc>
          <w:tcPr>
            <w:tcW w:w="0" w:type="dxa"/>
            <w:vAlign w:val="bottom"/>
          </w:tcPr>
          <w:p>
            <w:pPr>
              <w:spacing w:after="0"/>
              <w:rPr>
                <w:sz w:val="1"/>
                <w:szCs w:val="1"/>
                <w:color w:val="auto"/>
              </w:rPr>
            </w:pPr>
          </w:p>
        </w:tc>
      </w:tr>
      <w:tr>
        <w:trPr>
          <w:trHeight w:val="185"/>
        </w:trPr>
        <w:tc>
          <w:tcPr>
            <w:tcW w:w="7420" w:type="dxa"/>
            <w:vAlign w:val="bottom"/>
            <w:tcBorders>
              <w:bottom w:val="single" w:sz="8" w:color="CCEEFF"/>
            </w:tcBorders>
            <w:gridSpan w:val="3"/>
          </w:tcPr>
          <w:p>
            <w:pPr>
              <w:ind w:left="300"/>
              <w:spacing w:after="0"/>
              <w:rPr>
                <w:sz w:val="20"/>
                <w:szCs w:val="20"/>
                <w:color w:val="auto"/>
              </w:rPr>
            </w:pPr>
            <w:r>
              <w:rPr>
                <w:rFonts w:ascii="Arial" w:cs="Arial" w:eastAsia="Arial" w:hAnsi="Arial"/>
                <w:sz w:val="13"/>
                <w:szCs w:val="13"/>
                <w:color w:val="auto"/>
              </w:rPr>
              <w:t>Prepaid expenses and other</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32,663,762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26,036,331</w:t>
            </w:r>
          </w:p>
        </w:tc>
        <w:tc>
          <w:tcPr>
            <w:tcW w:w="0" w:type="dxa"/>
            <w:vAlign w:val="bottom"/>
          </w:tcPr>
          <w:p>
            <w:pPr>
              <w:spacing w:after="0"/>
              <w:rPr>
                <w:sz w:val="1"/>
                <w:szCs w:val="1"/>
                <w:color w:val="auto"/>
              </w:rPr>
            </w:pPr>
          </w:p>
        </w:tc>
      </w:tr>
      <w:tr>
        <w:trPr>
          <w:trHeight w:val="185"/>
        </w:trPr>
        <w:tc>
          <w:tcPr>
            <w:tcW w:w="540" w:type="dxa"/>
            <w:vAlign w:val="bottom"/>
            <w:shd w:val="clear" w:color="auto" w:fill="CCEEFF"/>
          </w:tcPr>
          <w:p>
            <w:pPr>
              <w:spacing w:after="0"/>
              <w:rPr>
                <w:sz w:val="16"/>
                <w:szCs w:val="16"/>
                <w:color w:val="auto"/>
              </w:rPr>
            </w:pPr>
          </w:p>
        </w:tc>
        <w:tc>
          <w:tcPr>
            <w:tcW w:w="68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Total current assets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997,738,153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948,652,376</w:t>
            </w:r>
          </w:p>
        </w:tc>
        <w:tc>
          <w:tcPr>
            <w:tcW w:w="0" w:type="dxa"/>
            <w:vAlign w:val="bottom"/>
          </w:tcPr>
          <w:p>
            <w:pPr>
              <w:spacing w:after="0"/>
              <w:rPr>
                <w:sz w:val="1"/>
                <w:szCs w:val="1"/>
                <w:color w:val="auto"/>
              </w:rPr>
            </w:pPr>
          </w:p>
        </w:tc>
      </w:tr>
      <w:tr>
        <w:trPr>
          <w:trHeight w:val="185"/>
        </w:trPr>
        <w:tc>
          <w:tcPr>
            <w:tcW w:w="7420" w:type="dxa"/>
            <w:vAlign w:val="bottom"/>
            <w:gridSpan w:val="3"/>
          </w:tcPr>
          <w:p>
            <w:pPr>
              <w:spacing w:after="0"/>
              <w:rPr>
                <w:sz w:val="20"/>
                <w:szCs w:val="20"/>
                <w:color w:val="auto"/>
              </w:rPr>
            </w:pPr>
            <w:r>
              <w:rPr>
                <w:rFonts w:ascii="Arial" w:cs="Arial" w:eastAsia="Arial" w:hAnsi="Arial"/>
                <w:sz w:val="13"/>
                <w:szCs w:val="13"/>
                <w:color w:val="auto"/>
              </w:rPr>
              <w:t>PLANT AND EQUIPMENT:</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Land, buildings and improvements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472,112,320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376,934,354</w:t>
            </w: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Machinery and equipment</w:t>
            </w:r>
          </w:p>
        </w:tc>
        <w:tc>
          <w:tcPr>
            <w:tcW w:w="320" w:type="dxa"/>
            <w:vAlign w:val="bottom"/>
          </w:tcPr>
          <w:p>
            <w:pPr>
              <w:spacing w:after="0"/>
              <w:rPr>
                <w:sz w:val="16"/>
                <w:szCs w:val="16"/>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1,011,930,699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935,848,288</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Construction-in-process</w:t>
            </w: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158,327,247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165,574,867</w:t>
            </w:r>
          </w:p>
        </w:tc>
        <w:tc>
          <w:tcPr>
            <w:tcW w:w="0" w:type="dxa"/>
            <w:vAlign w:val="bottom"/>
          </w:tcPr>
          <w:p>
            <w:pPr>
              <w:spacing w:after="0"/>
              <w:rPr>
                <w:sz w:val="1"/>
                <w:szCs w:val="1"/>
                <w:color w:val="auto"/>
              </w:rPr>
            </w:pPr>
          </w:p>
        </w:tc>
      </w:tr>
      <w:tr>
        <w:trPr>
          <w:trHeight w:val="177"/>
        </w:trPr>
        <w:tc>
          <w:tcPr>
            <w:tcW w:w="540" w:type="dxa"/>
            <w:vAlign w:val="bottom"/>
          </w:tcPr>
          <w:p>
            <w:pPr>
              <w:spacing w:after="0"/>
              <w:rPr>
                <w:sz w:val="15"/>
                <w:szCs w:val="15"/>
                <w:color w:val="auto"/>
              </w:rPr>
            </w:pPr>
          </w:p>
        </w:tc>
        <w:tc>
          <w:tcPr>
            <w:tcW w:w="6880" w:type="dxa"/>
            <w:vAlign w:val="bottom"/>
            <w:gridSpan w:val="2"/>
          </w:tcPr>
          <w:p>
            <w:pPr>
              <w:ind w:left="60"/>
              <w:spacing w:after="0"/>
              <w:rPr>
                <w:sz w:val="20"/>
                <w:szCs w:val="20"/>
                <w:color w:val="auto"/>
              </w:rPr>
            </w:pPr>
            <w:r>
              <w:rPr>
                <w:rFonts w:ascii="Arial" w:cs="Arial" w:eastAsia="Arial" w:hAnsi="Arial"/>
                <w:sz w:val="13"/>
                <w:szCs w:val="13"/>
                <w:color w:val="auto"/>
              </w:rPr>
              <w:t>Total Plant and Equipment</w:t>
            </w:r>
          </w:p>
        </w:tc>
        <w:tc>
          <w:tcPr>
            <w:tcW w:w="32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1,642,370,266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1,478,357,509</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Less- Accumulated depreciation</w:t>
            </w: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(989,492,594)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(928,324,473)</w:t>
            </w:r>
          </w:p>
        </w:tc>
        <w:tc>
          <w:tcPr>
            <w:tcW w:w="0" w:type="dxa"/>
            <w:vAlign w:val="bottom"/>
          </w:tcPr>
          <w:p>
            <w:pPr>
              <w:spacing w:after="0"/>
              <w:rPr>
                <w:sz w:val="1"/>
                <w:szCs w:val="1"/>
                <w:color w:val="auto"/>
              </w:rPr>
            </w:pPr>
          </w:p>
        </w:tc>
      </w:tr>
      <w:tr>
        <w:trPr>
          <w:trHeight w:val="177"/>
        </w:trPr>
        <w:tc>
          <w:tcPr>
            <w:tcW w:w="540" w:type="dxa"/>
            <w:vAlign w:val="bottom"/>
          </w:tcPr>
          <w:p>
            <w:pPr>
              <w:spacing w:after="0"/>
              <w:rPr>
                <w:sz w:val="15"/>
                <w:szCs w:val="15"/>
                <w:color w:val="auto"/>
              </w:rPr>
            </w:pPr>
          </w:p>
        </w:tc>
        <w:tc>
          <w:tcPr>
            <w:tcW w:w="6880" w:type="dxa"/>
            <w:vAlign w:val="bottom"/>
            <w:gridSpan w:val="2"/>
          </w:tcPr>
          <w:p>
            <w:pPr>
              <w:ind w:left="60"/>
              <w:spacing w:after="0"/>
              <w:rPr>
                <w:sz w:val="20"/>
                <w:szCs w:val="20"/>
                <w:color w:val="auto"/>
              </w:rPr>
            </w:pPr>
            <w:r>
              <w:rPr>
                <w:rFonts w:ascii="Arial" w:cs="Arial" w:eastAsia="Arial" w:hAnsi="Arial"/>
                <w:sz w:val="13"/>
                <w:szCs w:val="13"/>
                <w:color w:val="auto"/>
              </w:rPr>
              <w:t>Net Plant and Equipment</w:t>
            </w:r>
          </w:p>
        </w:tc>
        <w:tc>
          <w:tcPr>
            <w:tcW w:w="32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652,877,672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550,033,036</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ASSETS: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Goodwill</w:t>
            </w:r>
          </w:p>
        </w:tc>
        <w:tc>
          <w:tcPr>
            <w:tcW w:w="320" w:type="dxa"/>
            <w:vAlign w:val="bottom"/>
          </w:tcPr>
          <w:p>
            <w:pPr>
              <w:spacing w:after="0"/>
              <w:rPr>
                <w:sz w:val="16"/>
                <w:szCs w:val="16"/>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340,105,631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313,807,494</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Long-term investments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299,080,876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202,331,983</w:t>
            </w: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Intangible assets, net</w:t>
            </w:r>
          </w:p>
        </w:tc>
        <w:tc>
          <w:tcPr>
            <w:tcW w:w="320" w:type="dxa"/>
            <w:vAlign w:val="bottom"/>
          </w:tcPr>
          <w:p>
            <w:pPr>
              <w:spacing w:after="0"/>
              <w:rPr>
                <w:sz w:val="16"/>
                <w:szCs w:val="16"/>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214,005,910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219,360,910</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Deferred tax asset</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41,113,759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25,528,700</w:t>
            </w:r>
          </w:p>
        </w:tc>
        <w:tc>
          <w:tcPr>
            <w:tcW w:w="0" w:type="dxa"/>
            <w:vAlign w:val="bottom"/>
          </w:tcPr>
          <w:p>
            <w:pPr>
              <w:spacing w:after="0"/>
              <w:rPr>
                <w:sz w:val="1"/>
                <w:szCs w:val="1"/>
                <w:color w:val="auto"/>
              </w:rPr>
            </w:pPr>
          </w:p>
        </w:tc>
      </w:tr>
      <w:tr>
        <w:trPr>
          <w:trHeight w:val="185"/>
        </w:trPr>
        <w:tc>
          <w:tcPr>
            <w:tcW w:w="7420" w:type="dxa"/>
            <w:vAlign w:val="bottom"/>
            <w:tcBorders>
              <w:bottom w:val="single" w:sz="8" w:color="CCEEFF"/>
            </w:tcBorders>
            <w:gridSpan w:val="3"/>
          </w:tcPr>
          <w:p>
            <w:pPr>
              <w:ind w:left="300"/>
              <w:spacing w:after="0"/>
              <w:rPr>
                <w:sz w:val="20"/>
                <w:szCs w:val="20"/>
                <w:color w:val="auto"/>
              </w:rPr>
            </w:pPr>
            <w:r>
              <w:rPr>
                <w:rFonts w:ascii="Arial" w:cs="Arial" w:eastAsia="Arial" w:hAnsi="Arial"/>
                <w:sz w:val="13"/>
                <w:szCs w:val="13"/>
                <w:color w:val="auto"/>
              </w:rPr>
              <w:t>Patents and other assets, net</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66,515,551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67,515,425</w:t>
            </w:r>
          </w:p>
        </w:tc>
        <w:tc>
          <w:tcPr>
            <w:tcW w:w="0" w:type="dxa"/>
            <w:vAlign w:val="bottom"/>
          </w:tcPr>
          <w:p>
            <w:pPr>
              <w:spacing w:after="0"/>
              <w:rPr>
                <w:sz w:val="1"/>
                <w:szCs w:val="1"/>
                <w:color w:val="auto"/>
              </w:rPr>
            </w:pPr>
          </w:p>
        </w:tc>
      </w:tr>
      <w:tr>
        <w:trPr>
          <w:trHeight w:val="185"/>
        </w:trPr>
        <w:tc>
          <w:tcPr>
            <w:tcW w:w="540" w:type="dxa"/>
            <w:vAlign w:val="bottom"/>
            <w:shd w:val="clear" w:color="auto" w:fill="CCEEFF"/>
          </w:tcPr>
          <w:p>
            <w:pPr>
              <w:spacing w:after="0"/>
              <w:rPr>
                <w:sz w:val="16"/>
                <w:szCs w:val="16"/>
                <w:color w:val="auto"/>
              </w:rPr>
            </w:pPr>
          </w:p>
        </w:tc>
        <w:tc>
          <w:tcPr>
            <w:tcW w:w="68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Total Other Assets</w:t>
            </w: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960,821,727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828,544,512</w:t>
            </w:r>
          </w:p>
        </w:tc>
        <w:tc>
          <w:tcPr>
            <w:tcW w:w="0" w:type="dxa"/>
            <w:vAlign w:val="bottom"/>
          </w:tcPr>
          <w:p>
            <w:pPr>
              <w:spacing w:after="0"/>
              <w:rPr>
                <w:sz w:val="1"/>
                <w:szCs w:val="1"/>
                <w:color w:val="auto"/>
              </w:rPr>
            </w:pPr>
          </w:p>
        </w:tc>
      </w:tr>
      <w:tr>
        <w:trPr>
          <w:trHeight w:val="177"/>
        </w:trPr>
        <w:tc>
          <w:tcPr>
            <w:tcW w:w="7420" w:type="dxa"/>
            <w:vAlign w:val="bottom"/>
            <w:gridSpan w:val="3"/>
          </w:tcPr>
          <w:p>
            <w:pPr>
              <w:spacing w:after="0"/>
              <w:rPr>
                <w:sz w:val="20"/>
                <w:szCs w:val="20"/>
                <w:color w:val="auto"/>
              </w:rPr>
            </w:pPr>
            <w:r>
              <w:rPr>
                <w:rFonts w:ascii="Arial" w:cs="Arial" w:eastAsia="Arial" w:hAnsi="Arial"/>
                <w:sz w:val="13"/>
                <w:szCs w:val="13"/>
                <w:color w:val="auto"/>
              </w:rPr>
              <w:t>TOTAL ASSETS</w:t>
            </w:r>
          </w:p>
        </w:tc>
        <w:tc>
          <w:tcPr>
            <w:tcW w:w="3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2,611,437,552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2,327,229,924</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140" w:type="dxa"/>
            <w:vAlign w:val="bottom"/>
            <w:tcBorders>
              <w:bottom w:val="single" w:sz="8" w:color="auto"/>
            </w:tcBorders>
            <w:gridSpan w:val="2"/>
            <w:shd w:val="clear" w:color="auto" w:fill="CCEEFF"/>
          </w:tcPr>
          <w:p>
            <w:pPr>
              <w:spacing w:after="0" w:line="121" w:lineRule="exact"/>
              <w:rPr>
                <w:sz w:val="20"/>
                <w:szCs w:val="20"/>
                <w:color w:val="auto"/>
              </w:rPr>
            </w:pPr>
            <w:r>
              <w:rPr>
                <w:rFonts w:ascii="Arial" w:cs="Arial" w:eastAsia="Arial" w:hAnsi="Arial"/>
                <w:sz w:val="13"/>
                <w:szCs w:val="13"/>
                <w:color w:val="auto"/>
              </w:rPr>
              <w:t>LIABILITIES AND SHAREHOLDERS’ INVESTMENT</w:t>
            </w:r>
          </w:p>
        </w:tc>
        <w:tc>
          <w:tcPr>
            <w:tcW w:w="42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420" w:type="dxa"/>
            <w:vAlign w:val="bottom"/>
            <w:gridSpan w:val="3"/>
          </w:tcPr>
          <w:p>
            <w:pPr>
              <w:spacing w:after="0"/>
              <w:rPr>
                <w:sz w:val="20"/>
                <w:szCs w:val="20"/>
                <w:color w:val="auto"/>
              </w:rPr>
            </w:pPr>
            <w:r>
              <w:rPr>
                <w:rFonts w:ascii="Arial" w:cs="Arial" w:eastAsia="Arial" w:hAnsi="Arial"/>
                <w:sz w:val="13"/>
                <w:szCs w:val="13"/>
                <w:color w:val="auto"/>
              </w:rPr>
              <w:t>CURRENT LIABILITIES: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Accounts payable</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184,398,820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151,740,046</w:t>
            </w: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Accrued liabilities: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Salaries, wages and vacation</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22,725,631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17,517,580</w:t>
            </w:r>
          </w:p>
        </w:tc>
        <w:tc>
          <w:tcPr>
            <w:tcW w:w="0" w:type="dxa"/>
            <w:vAlign w:val="bottom"/>
          </w:tcPr>
          <w:p>
            <w:pPr>
              <w:spacing w:after="0"/>
              <w:rPr>
                <w:sz w:val="1"/>
                <w:szCs w:val="1"/>
                <w:color w:val="auto"/>
              </w:rPr>
            </w:pPr>
          </w:p>
        </w:tc>
      </w:tr>
      <w:tr>
        <w:trPr>
          <w:trHeight w:val="185"/>
        </w:trPr>
        <w:tc>
          <w:tcPr>
            <w:tcW w:w="7420" w:type="dxa"/>
            <w:vAlign w:val="bottom"/>
            <w:gridSpan w:val="3"/>
          </w:tcPr>
          <w:p>
            <w:pPr>
              <w:ind w:left="500"/>
              <w:spacing w:after="0"/>
              <w:rPr>
                <w:sz w:val="20"/>
                <w:szCs w:val="20"/>
                <w:color w:val="auto"/>
              </w:rPr>
            </w:pPr>
            <w:r>
              <w:rPr>
                <w:rFonts w:ascii="Arial" w:cs="Arial" w:eastAsia="Arial" w:hAnsi="Arial"/>
                <w:sz w:val="13"/>
                <w:szCs w:val="13"/>
                <w:color w:val="auto"/>
              </w:rPr>
              <w:t>Income taxes</w:t>
            </w:r>
          </w:p>
        </w:tc>
        <w:tc>
          <w:tcPr>
            <w:tcW w:w="320" w:type="dxa"/>
            <w:vAlign w:val="bottom"/>
          </w:tcPr>
          <w:p>
            <w:pPr>
              <w:spacing w:after="0"/>
              <w:rPr>
                <w:sz w:val="16"/>
                <w:szCs w:val="16"/>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693,391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18,726,857</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Royalties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20,898,949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19,208,411</w:t>
            </w:r>
          </w:p>
        </w:tc>
        <w:tc>
          <w:tcPr>
            <w:tcW w:w="0" w:type="dxa"/>
            <w:vAlign w:val="bottom"/>
          </w:tcPr>
          <w:p>
            <w:pPr>
              <w:spacing w:after="0"/>
              <w:rPr>
                <w:sz w:val="1"/>
                <w:szCs w:val="1"/>
                <w:color w:val="auto"/>
              </w:rPr>
            </w:pPr>
          </w:p>
        </w:tc>
      </w:tr>
      <w:tr>
        <w:trPr>
          <w:trHeight w:val="185"/>
        </w:trPr>
        <w:tc>
          <w:tcPr>
            <w:tcW w:w="7420" w:type="dxa"/>
            <w:vAlign w:val="bottom"/>
            <w:gridSpan w:val="3"/>
          </w:tcPr>
          <w:p>
            <w:pPr>
              <w:ind w:left="500"/>
              <w:spacing w:after="0"/>
              <w:rPr>
                <w:sz w:val="20"/>
                <w:szCs w:val="20"/>
                <w:color w:val="auto"/>
              </w:rPr>
            </w:pPr>
            <w:r>
              <w:rPr>
                <w:rFonts w:ascii="Arial" w:cs="Arial" w:eastAsia="Arial" w:hAnsi="Arial"/>
                <w:sz w:val="13"/>
                <w:szCs w:val="13"/>
                <w:color w:val="auto"/>
              </w:rPr>
              <w:t>Dividends payable</w:t>
            </w:r>
          </w:p>
        </w:tc>
        <w:tc>
          <w:tcPr>
            <w:tcW w:w="320" w:type="dxa"/>
            <w:vAlign w:val="bottom"/>
          </w:tcPr>
          <w:p>
            <w:pPr>
              <w:spacing w:after="0"/>
              <w:rPr>
                <w:sz w:val="16"/>
                <w:szCs w:val="16"/>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27,774,653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28,100,320</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Other</w:t>
            </w: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15,117,532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15,259,538</w:t>
            </w:r>
          </w:p>
        </w:tc>
        <w:tc>
          <w:tcPr>
            <w:tcW w:w="0" w:type="dxa"/>
            <w:vAlign w:val="bottom"/>
          </w:tcPr>
          <w:p>
            <w:pPr>
              <w:spacing w:after="0"/>
              <w:rPr>
                <w:sz w:val="1"/>
                <w:szCs w:val="1"/>
                <w:color w:val="auto"/>
              </w:rPr>
            </w:pPr>
          </w:p>
        </w:tc>
      </w:tr>
      <w:tr>
        <w:trPr>
          <w:trHeight w:val="177"/>
        </w:trPr>
        <w:tc>
          <w:tcPr>
            <w:tcW w:w="540" w:type="dxa"/>
            <w:vAlign w:val="bottom"/>
          </w:tcPr>
          <w:p>
            <w:pPr>
              <w:spacing w:after="0"/>
              <w:rPr>
                <w:sz w:val="15"/>
                <w:szCs w:val="15"/>
                <w:color w:val="auto"/>
              </w:rPr>
            </w:pPr>
          </w:p>
        </w:tc>
        <w:tc>
          <w:tcPr>
            <w:tcW w:w="6880" w:type="dxa"/>
            <w:vAlign w:val="bottom"/>
            <w:gridSpan w:val="2"/>
          </w:tcPr>
          <w:p>
            <w:pPr>
              <w:ind w:left="60"/>
              <w:spacing w:after="0"/>
              <w:rPr>
                <w:sz w:val="20"/>
                <w:szCs w:val="20"/>
                <w:color w:val="auto"/>
              </w:rPr>
            </w:pPr>
            <w:r>
              <w:rPr>
                <w:rFonts w:ascii="Arial" w:cs="Arial" w:eastAsia="Arial" w:hAnsi="Arial"/>
                <w:sz w:val="13"/>
                <w:szCs w:val="13"/>
                <w:color w:val="auto"/>
              </w:rPr>
              <w:t>Total current liabilities</w:t>
            </w:r>
          </w:p>
        </w:tc>
        <w:tc>
          <w:tcPr>
            <w:tcW w:w="32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271,608,976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250,552,752</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NON-CURRENT LIABILITIES</w:t>
            </w: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27,311,507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10,884,351</w:t>
            </w:r>
          </w:p>
        </w:tc>
        <w:tc>
          <w:tcPr>
            <w:tcW w:w="0" w:type="dxa"/>
            <w:vAlign w:val="bottom"/>
          </w:tcPr>
          <w:p>
            <w:pPr>
              <w:spacing w:after="0"/>
              <w:rPr>
                <w:sz w:val="1"/>
                <w:szCs w:val="1"/>
                <w:color w:val="auto"/>
              </w:rPr>
            </w:pPr>
          </w:p>
        </w:tc>
      </w:tr>
      <w:tr>
        <w:trPr>
          <w:trHeight w:val="177"/>
        </w:trPr>
        <w:tc>
          <w:tcPr>
            <w:tcW w:w="7420" w:type="dxa"/>
            <w:vAlign w:val="bottom"/>
            <w:gridSpan w:val="3"/>
          </w:tcPr>
          <w:p>
            <w:pPr>
              <w:spacing w:after="0"/>
              <w:rPr>
                <w:sz w:val="20"/>
                <w:szCs w:val="20"/>
                <w:color w:val="auto"/>
              </w:rPr>
            </w:pPr>
            <w:r>
              <w:rPr>
                <w:rFonts w:ascii="Arial" w:cs="Arial" w:eastAsia="Arial" w:hAnsi="Arial"/>
                <w:sz w:val="13"/>
                <w:szCs w:val="13"/>
                <w:color w:val="auto"/>
              </w:rPr>
              <w:t>TOTAL LIABILITIES</w:t>
            </w:r>
          </w:p>
        </w:tc>
        <w:tc>
          <w:tcPr>
            <w:tcW w:w="32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298,920,483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261,437,103</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SHAREHOLDERS’ INVESTMENT:</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7420" w:type="dxa"/>
            <w:vAlign w:val="bottom"/>
            <w:gridSpan w:val="3"/>
          </w:tcPr>
          <w:p>
            <w:pPr>
              <w:ind w:left="300"/>
              <w:spacing w:after="0" w:line="139" w:lineRule="exact"/>
              <w:rPr>
                <w:sz w:val="20"/>
                <w:szCs w:val="20"/>
                <w:color w:val="auto"/>
              </w:rPr>
            </w:pPr>
            <w:r>
              <w:rPr>
                <w:rFonts w:ascii="Arial" w:cs="Arial" w:eastAsia="Arial" w:hAnsi="Arial"/>
                <w:sz w:val="13"/>
                <w:szCs w:val="13"/>
                <w:color w:val="auto"/>
              </w:rPr>
              <w:t>Common stock, par value 0.06 per share; 400,000,000 shares authorized; 231,455,443 and 234,169,335 shares issued</w:t>
            </w:r>
          </w:p>
        </w:tc>
        <w:tc>
          <w:tcPr>
            <w:tcW w:w="320" w:type="dxa"/>
            <w:vAlign w:val="bottom"/>
          </w:tcPr>
          <w:p>
            <w:pPr>
              <w:spacing w:after="0"/>
              <w:rPr>
                <w:sz w:val="12"/>
                <w:szCs w:val="12"/>
                <w:color w:val="auto"/>
              </w:rPr>
            </w:pPr>
          </w:p>
        </w:tc>
        <w:tc>
          <w:tcPr>
            <w:tcW w:w="1160" w:type="dxa"/>
            <w:vAlign w:val="bottom"/>
            <w:vMerge w:val="restart"/>
          </w:tcPr>
          <w:p>
            <w:pPr>
              <w:jc w:val="right"/>
              <w:ind w:right="13"/>
              <w:spacing w:after="0"/>
              <w:rPr>
                <w:sz w:val="20"/>
                <w:szCs w:val="20"/>
                <w:color w:val="auto"/>
              </w:rPr>
            </w:pPr>
            <w:r>
              <w:rPr>
                <w:rFonts w:ascii="Arial" w:cs="Arial" w:eastAsia="Arial" w:hAnsi="Arial"/>
                <w:sz w:val="13"/>
                <w:szCs w:val="13"/>
                <w:color w:val="auto"/>
              </w:rPr>
              <w:t>13,887,326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14,050,160</w:t>
            </w:r>
          </w:p>
        </w:tc>
        <w:tc>
          <w:tcPr>
            <w:tcW w:w="0" w:type="dxa"/>
            <w:vAlign w:val="bottom"/>
          </w:tcPr>
          <w:p>
            <w:pPr>
              <w:spacing w:after="0"/>
              <w:rPr>
                <w:sz w:val="1"/>
                <w:szCs w:val="1"/>
                <w:color w:val="auto"/>
              </w:rPr>
            </w:pPr>
          </w:p>
        </w:tc>
      </w:tr>
      <w:tr>
        <w:trPr>
          <w:trHeight w:val="105"/>
        </w:trPr>
        <w:tc>
          <w:tcPr>
            <w:tcW w:w="7420" w:type="dxa"/>
            <w:vAlign w:val="bottom"/>
            <w:gridSpan w:val="3"/>
            <w:vMerge w:val="restart"/>
          </w:tcPr>
          <w:p>
            <w:pPr>
              <w:ind w:left="300"/>
              <w:spacing w:after="0"/>
              <w:rPr>
                <w:sz w:val="20"/>
                <w:szCs w:val="20"/>
                <w:color w:val="auto"/>
              </w:rPr>
            </w:pPr>
            <w:r>
              <w:rPr>
                <w:rFonts w:ascii="Arial" w:cs="Arial" w:eastAsia="Arial" w:hAnsi="Arial"/>
                <w:sz w:val="13"/>
                <w:szCs w:val="13"/>
                <w:color w:val="auto"/>
              </w:rPr>
              <w:t>and outstanding in 2023 and 2022 respectively.</w:t>
            </w:r>
          </w:p>
        </w:tc>
        <w:tc>
          <w:tcPr>
            <w:tcW w:w="3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742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Additional paid-in capital</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968,245,875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917,499,323</w:t>
            </w:r>
          </w:p>
        </w:tc>
        <w:tc>
          <w:tcPr>
            <w:tcW w:w="0" w:type="dxa"/>
            <w:vAlign w:val="bottom"/>
          </w:tcPr>
          <w:p>
            <w:pPr>
              <w:spacing w:after="0"/>
              <w:rPr>
                <w:sz w:val="1"/>
                <w:szCs w:val="1"/>
                <w:color w:val="auto"/>
              </w:rPr>
            </w:pPr>
          </w:p>
        </w:tc>
      </w:tr>
      <w:tr>
        <w:trPr>
          <w:trHeight w:val="185"/>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Retained earnings</w:t>
            </w:r>
          </w:p>
        </w:tc>
        <w:tc>
          <w:tcPr>
            <w:tcW w:w="320" w:type="dxa"/>
            <w:vAlign w:val="bottom"/>
          </w:tcPr>
          <w:p>
            <w:pPr>
              <w:spacing w:after="0"/>
              <w:rPr>
                <w:sz w:val="16"/>
                <w:szCs w:val="16"/>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1,336,940,990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1,148,386,272</w:t>
            </w:r>
          </w:p>
        </w:tc>
        <w:tc>
          <w:tcPr>
            <w:tcW w:w="0" w:type="dxa"/>
            <w:vAlign w:val="bottom"/>
          </w:tcPr>
          <w:p>
            <w:pPr>
              <w:spacing w:after="0"/>
              <w:rPr>
                <w:sz w:val="1"/>
                <w:szCs w:val="1"/>
                <w:color w:val="auto"/>
              </w:rPr>
            </w:pPr>
          </w:p>
        </w:tc>
      </w:tr>
      <w:tr>
        <w:trPr>
          <w:trHeight w:val="193"/>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Accumulated other comprehensive (loss) income:</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40" w:type="dxa"/>
            <w:vAlign w:val="bottom"/>
          </w:tcPr>
          <w:p>
            <w:pPr>
              <w:spacing w:after="0"/>
              <w:rPr>
                <w:sz w:val="16"/>
                <w:szCs w:val="16"/>
                <w:color w:val="auto"/>
              </w:rPr>
            </w:pPr>
          </w:p>
        </w:tc>
        <w:tc>
          <w:tcPr>
            <w:tcW w:w="6880" w:type="dxa"/>
            <w:vAlign w:val="bottom"/>
            <w:gridSpan w:val="2"/>
          </w:tcPr>
          <w:p>
            <w:pPr>
              <w:ind w:left="60"/>
              <w:spacing w:after="0"/>
              <w:rPr>
                <w:sz w:val="20"/>
                <w:szCs w:val="20"/>
                <w:color w:val="auto"/>
              </w:rPr>
            </w:pPr>
            <w:r>
              <w:rPr>
                <w:rFonts w:ascii="Arial" w:cs="Arial" w:eastAsia="Arial" w:hAnsi="Arial"/>
                <w:sz w:val="13"/>
                <w:szCs w:val="13"/>
                <w:color w:val="auto"/>
              </w:rPr>
              <w:t>Unrealized loss on investments, net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(2,022,403)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(10,110,695)</w:t>
            </w:r>
          </w:p>
        </w:tc>
        <w:tc>
          <w:tcPr>
            <w:tcW w:w="0" w:type="dxa"/>
            <w:vAlign w:val="bottom"/>
          </w:tcPr>
          <w:p>
            <w:pPr>
              <w:spacing w:after="0"/>
              <w:rPr>
                <w:sz w:val="1"/>
                <w:szCs w:val="1"/>
                <w:color w:val="auto"/>
              </w:rPr>
            </w:pPr>
          </w:p>
        </w:tc>
      </w:tr>
      <w:tr>
        <w:trPr>
          <w:trHeight w:val="193"/>
        </w:trPr>
        <w:tc>
          <w:tcPr>
            <w:tcW w:w="540" w:type="dxa"/>
            <w:vAlign w:val="bottom"/>
            <w:shd w:val="clear" w:color="auto" w:fill="CCEEFF"/>
          </w:tcPr>
          <w:p>
            <w:pPr>
              <w:spacing w:after="0"/>
              <w:rPr>
                <w:sz w:val="16"/>
                <w:szCs w:val="16"/>
                <w:color w:val="auto"/>
              </w:rPr>
            </w:pPr>
          </w:p>
        </w:tc>
        <w:tc>
          <w:tcPr>
            <w:tcW w:w="68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Cumulative translation adjustment</w:t>
            </w: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(4,534,719)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(4,032,239)</w:t>
            </w:r>
          </w:p>
        </w:tc>
        <w:tc>
          <w:tcPr>
            <w:tcW w:w="0" w:type="dxa"/>
            <w:vAlign w:val="bottom"/>
          </w:tcPr>
          <w:p>
            <w:pPr>
              <w:spacing w:after="0"/>
              <w:rPr>
                <w:sz w:val="1"/>
                <w:szCs w:val="1"/>
                <w:color w:val="auto"/>
              </w:rPr>
            </w:pPr>
          </w:p>
        </w:tc>
      </w:tr>
      <w:tr>
        <w:trPr>
          <w:trHeight w:val="177"/>
        </w:trPr>
        <w:tc>
          <w:tcPr>
            <w:tcW w:w="540" w:type="dxa"/>
            <w:vAlign w:val="bottom"/>
            <w:tcBorders>
              <w:bottom w:val="single" w:sz="8" w:color="CCEEFF"/>
            </w:tcBorders>
          </w:tcPr>
          <w:p>
            <w:pPr>
              <w:spacing w:after="0"/>
              <w:rPr>
                <w:sz w:val="15"/>
                <w:szCs w:val="15"/>
                <w:color w:val="auto"/>
              </w:rPr>
            </w:pPr>
          </w:p>
        </w:tc>
        <w:tc>
          <w:tcPr>
            <w:tcW w:w="6880" w:type="dxa"/>
            <w:vAlign w:val="bottom"/>
            <w:tcBorders>
              <w:bottom w:val="single" w:sz="8" w:color="CCEEFF"/>
            </w:tcBorders>
            <w:gridSpan w:val="2"/>
          </w:tcPr>
          <w:p>
            <w:pPr>
              <w:ind w:left="480"/>
              <w:spacing w:after="0"/>
              <w:rPr>
                <w:sz w:val="20"/>
                <w:szCs w:val="20"/>
                <w:color w:val="auto"/>
              </w:rPr>
            </w:pPr>
            <w:r>
              <w:rPr>
                <w:rFonts w:ascii="Arial" w:cs="Arial" w:eastAsia="Arial" w:hAnsi="Arial"/>
                <w:sz w:val="13"/>
                <w:szCs w:val="13"/>
                <w:color w:val="auto"/>
              </w:rPr>
              <w:t>Total shareholders’ investment</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2,312,517,069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2,065,792,821</w:t>
            </w:r>
          </w:p>
        </w:tc>
        <w:tc>
          <w:tcPr>
            <w:tcW w:w="0" w:type="dxa"/>
            <w:vAlign w:val="bottom"/>
          </w:tcPr>
          <w:p>
            <w:pPr>
              <w:spacing w:after="0"/>
              <w:rPr>
                <w:sz w:val="1"/>
                <w:szCs w:val="1"/>
                <w:color w:val="auto"/>
              </w:rPr>
            </w:pPr>
          </w:p>
        </w:tc>
      </w:tr>
      <w:tr>
        <w:trPr>
          <w:trHeight w:val="206"/>
        </w:trPr>
        <w:tc>
          <w:tcPr>
            <w:tcW w:w="7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TOTAL LIABILITIES AND SHAREHOLDERS' INVESTMENT</w:t>
            </w: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2,611,437,552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2,327,229,924</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65405</wp:posOffset>
            </wp:positionV>
            <wp:extent cx="716724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460"/>
          </w:cols>
          <w:pgMar w:left="720" w:top="652" w:right="71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7"/>
          <w:szCs w:val="17"/>
          <w:u w:val="single" w:color="auto"/>
          <w:color w:val="auto"/>
        </w:rPr>
        <w:t>GENTEX CORPORATION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CONSOLIDATED STATEMENTS OF INCOME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FOR THE YEARS ENDED DECEMBER 31, 2023, 2022 AND 2021</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2021</w:t>
            </w:r>
          </w:p>
        </w:tc>
      </w:tr>
      <w:tr>
        <w:trPr>
          <w:trHeight w:val="207"/>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2,299,215,044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1,918,958,043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1,731,169,929</w:t>
            </w:r>
          </w:p>
        </w:tc>
      </w:tr>
      <w:tr>
        <w:trPr>
          <w:trHeight w:val="239"/>
        </w:trPr>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GOODS SOLD</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1,536,585,036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1,309,143,858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1,111,462,082</w:t>
            </w:r>
          </w:p>
        </w:tc>
      </w:tr>
      <w:tr>
        <w:trPr>
          <w:trHeight w:val="219"/>
        </w:trPr>
        <w:tc>
          <w:tcPr>
            <w:tcW w:w="5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4"/>
        </w:trPr>
        <w:tc>
          <w:tcPr>
            <w:tcW w:w="5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Gross profit</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762,630,008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609,814,185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619,707,847</w:t>
            </w:r>
          </w:p>
        </w:tc>
      </w:tr>
      <w:tr>
        <w:trPr>
          <w:trHeight w:val="239"/>
        </w:trPr>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4"/>
        </w:trPr>
        <w:tc>
          <w:tcPr>
            <w:tcW w:w="5740" w:type="dxa"/>
            <w:vAlign w:val="bottom"/>
          </w:tcPr>
          <w:p>
            <w:pPr>
              <w:ind w:left="320"/>
              <w:spacing w:after="0"/>
              <w:rPr>
                <w:sz w:val="20"/>
                <w:szCs w:val="20"/>
                <w:color w:val="auto"/>
              </w:rPr>
            </w:pPr>
            <w:r>
              <w:rPr>
                <w:rFonts w:ascii="Arial" w:cs="Arial" w:eastAsia="Arial" w:hAnsi="Arial"/>
                <w:sz w:val="17"/>
                <w:szCs w:val="17"/>
                <w:color w:val="auto"/>
              </w:rPr>
              <w:t>Engineering, research and development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154,359,700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133,308,804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117,763,676</w:t>
            </w:r>
          </w:p>
        </w:tc>
      </w:tr>
      <w:tr>
        <w:trPr>
          <w:trHeight w:val="214"/>
        </w:trPr>
        <w:tc>
          <w:tcPr>
            <w:tcW w:w="5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general and administrative</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112,539,255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106,499,255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92,162,193</w:t>
            </w:r>
          </w:p>
        </w:tc>
      </w:tr>
      <w:tr>
        <w:trPr>
          <w:trHeight w:val="206"/>
        </w:trPr>
        <w:tc>
          <w:tcPr>
            <w:tcW w:w="5740" w:type="dxa"/>
            <w:vAlign w:val="bottom"/>
            <w:tcBorders>
              <w:bottom w:val="single" w:sz="8" w:color="CCEEFF"/>
            </w:tcBorders>
          </w:tcPr>
          <w:p>
            <w:pPr>
              <w:ind w:left="62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266,898,955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239,808,059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209,925,869</w:t>
            </w:r>
          </w:p>
        </w:tc>
      </w:tr>
      <w:tr>
        <w:trPr>
          <w:trHeight w:val="219"/>
        </w:trPr>
        <w:tc>
          <w:tcPr>
            <w:tcW w:w="5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4"/>
        </w:trPr>
        <w:tc>
          <w:tcPr>
            <w:tcW w:w="5740" w:type="dxa"/>
            <w:vAlign w:val="bottom"/>
          </w:tcPr>
          <w:p>
            <w:pPr>
              <w:ind w:left="320"/>
              <w:spacing w:after="0"/>
              <w:rPr>
                <w:sz w:val="20"/>
                <w:szCs w:val="20"/>
                <w:color w:val="auto"/>
              </w:rPr>
            </w:pPr>
            <w:r>
              <w:rPr>
                <w:rFonts w:ascii="Arial" w:cs="Arial" w:eastAsia="Arial" w:hAnsi="Arial"/>
                <w:sz w:val="17"/>
                <w:szCs w:val="17"/>
                <w:color w:val="auto"/>
              </w:rPr>
              <w:t>Income from operations</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495,731,053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370,006,126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409,781,978</w:t>
            </w:r>
          </w:p>
        </w:tc>
      </w:tr>
      <w:tr>
        <w:trPr>
          <w:trHeight w:val="239"/>
        </w:trPr>
        <w:tc>
          <w:tcPr>
            <w:tcW w:w="5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4"/>
        </w:trPr>
        <w:tc>
          <w:tcPr>
            <w:tcW w:w="5740" w:type="dxa"/>
            <w:vAlign w:val="bottom"/>
          </w:tcPr>
          <w:p>
            <w:pPr>
              <w:ind w:left="20"/>
              <w:spacing w:after="0"/>
              <w:rPr>
                <w:sz w:val="20"/>
                <w:szCs w:val="20"/>
                <w:color w:val="auto"/>
              </w:rPr>
            </w:pPr>
            <w:r>
              <w:rPr>
                <w:rFonts w:ascii="Arial" w:cs="Arial" w:eastAsia="Arial" w:hAnsi="Arial"/>
                <w:sz w:val="17"/>
                <w:szCs w:val="17"/>
                <w:color w:val="auto"/>
              </w:rPr>
              <w:t>OTHER INCOME:</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5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Investment income, net</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13,498,351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4,795,823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3,589,798</w:t>
            </w:r>
          </w:p>
        </w:tc>
      </w:tr>
      <w:tr>
        <w:trPr>
          <w:trHeight w:val="214"/>
        </w:trPr>
        <w:tc>
          <w:tcPr>
            <w:tcW w:w="57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(loss) income, net</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(4,248,230)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(5,078,873)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2,979,960</w:t>
            </w:r>
          </w:p>
        </w:tc>
      </w:tr>
      <w:tr>
        <w:trPr>
          <w:trHeight w:val="206"/>
        </w:trPr>
        <w:tc>
          <w:tcPr>
            <w:tcW w:w="57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Total other (loss) income</w:t>
            </w: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9,250,121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(283,050)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6,569,758</w:t>
            </w:r>
          </w:p>
        </w:tc>
      </w:tr>
      <w:tr>
        <w:trPr>
          <w:trHeight w:val="219"/>
        </w:trPr>
        <w:tc>
          <w:tcPr>
            <w:tcW w:w="5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4"/>
        </w:trPr>
        <w:tc>
          <w:tcPr>
            <w:tcW w:w="5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Income before provision for income taxes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504,981,174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369,723,076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416,351,736</w:t>
            </w:r>
          </w:p>
        </w:tc>
      </w:tr>
      <w:tr>
        <w:trPr>
          <w:trHeight w:val="239"/>
        </w:trPr>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76,577,902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50,965,724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55,554,504</w:t>
            </w:r>
          </w:p>
        </w:tc>
      </w:tr>
      <w:tr>
        <w:trPr>
          <w:trHeight w:val="219"/>
        </w:trPr>
        <w:tc>
          <w:tcPr>
            <w:tcW w:w="5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9"/>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428,403,272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318,757,352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360,797,232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5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4"/>
        </w:trPr>
        <w:tc>
          <w:tcPr>
            <w:tcW w:w="5740" w:type="dxa"/>
            <w:vAlign w:val="bottom"/>
            <w:shd w:val="clear" w:color="auto" w:fill="CCEEFF"/>
          </w:tcPr>
          <w:p>
            <w:pPr>
              <w:ind w:left="20"/>
              <w:spacing w:after="0" w:line="214" w:lineRule="exact"/>
              <w:rPr>
                <w:sz w:val="20"/>
                <w:szCs w:val="20"/>
                <w:color w:val="auto"/>
              </w:rPr>
            </w:pPr>
            <w:r>
              <w:rPr>
                <w:rFonts w:ascii="Arial" w:cs="Arial" w:eastAsia="Arial" w:hAnsi="Arial"/>
                <w:sz w:val="17"/>
                <w:szCs w:val="17"/>
                <w:color w:val="auto"/>
              </w:rPr>
              <w:t>EARNINGS PER SHARE</w:t>
            </w:r>
            <w:r>
              <w:rPr>
                <w:rFonts w:ascii="Arial" w:cs="Arial" w:eastAsia="Arial" w:hAnsi="Arial"/>
                <w:sz w:val="21"/>
                <w:szCs w:val="21"/>
                <w:color w:val="auto"/>
                <w:vertAlign w:val="superscript"/>
              </w:rPr>
              <w:t>(1)</w:t>
            </w: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4"/>
        </w:trPr>
        <w:tc>
          <w:tcPr>
            <w:tcW w:w="5740" w:type="dxa"/>
            <w:vAlign w:val="bottom"/>
          </w:tcPr>
          <w:p>
            <w:pPr>
              <w:ind w:left="320"/>
              <w:spacing w:after="0"/>
              <w:rPr>
                <w:sz w:val="20"/>
                <w:szCs w:val="20"/>
                <w:color w:val="auto"/>
              </w:rPr>
            </w:pPr>
            <w:r>
              <w:rPr>
                <w:rFonts w:ascii="Arial" w:cs="Arial" w:eastAsia="Arial" w:hAnsi="Arial"/>
                <w:sz w:val="17"/>
                <w:szCs w:val="17"/>
                <w:color w:val="auto"/>
              </w:rPr>
              <w:t>Basic</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9"/>
        </w:trPr>
        <w:tc>
          <w:tcPr>
            <w:tcW w:w="5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5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Dividends Declared per Share</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151765</wp:posOffset>
            </wp:positionV>
            <wp:extent cx="7125970"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5970" cy="120015"/>
                    </a:xfrm>
                    <a:prstGeom prst="rect">
                      <a:avLst/>
                    </a:prstGeom>
                    <a:noFill/>
                  </pic:spPr>
                </pic:pic>
              </a:graphicData>
            </a:graphic>
          </wp:anchor>
        </w:drawing>
      </w:r>
    </w:p>
    <w:p>
      <w:pPr>
        <w:spacing w:after="0" w:line="204" w:lineRule="exact"/>
        <w:rPr>
          <w:sz w:val="20"/>
          <w:szCs w:val="20"/>
          <w:color w:val="auto"/>
        </w:rPr>
      </w:pPr>
    </w:p>
    <w:p>
      <w:pPr>
        <w:ind w:left="160" w:hanging="143"/>
        <w:spacing w:after="0"/>
        <w:tabs>
          <w:tab w:leader="none" w:pos="16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Earnings Per Share has been adjusted to exclude the portion of net income allocated to participating securities as a result of share-based payment awards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840" w:right="35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7"/>
          <w:szCs w:val="17"/>
          <w:u w:val="single" w:color="auto"/>
          <w:color w:val="auto"/>
        </w:rPr>
        <w:t>GENTEX CORPORATION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CONSOLIDATED STATEMENTS OF COMPREHENSIVE INCOME</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 THE YEARS ENDED DECEMBER 31, 2023,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2023</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2022</w:t>
            </w: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6"/>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428,403,272</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318,757,352</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360,797,232</w:t>
            </w:r>
          </w:p>
        </w:tc>
        <w:tc>
          <w:tcPr>
            <w:tcW w:w="0" w:type="dxa"/>
            <w:vAlign w:val="bottom"/>
          </w:tcPr>
          <w:p>
            <w:pPr>
              <w:spacing w:after="0"/>
              <w:rPr>
                <w:sz w:val="1"/>
                <w:szCs w:val="1"/>
                <w:color w:val="auto"/>
              </w:rPr>
            </w:pPr>
          </w:p>
        </w:tc>
      </w:tr>
      <w:tr>
        <w:trPr>
          <w:trHeight w:val="252"/>
        </w:trPr>
        <w:tc>
          <w:tcPr>
            <w:tcW w:w="5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 income before tax:</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tcPr>
          <w:p>
            <w:pPr>
              <w:ind w:left="120"/>
              <w:spacing w:after="0"/>
              <w:rPr>
                <w:sz w:val="20"/>
                <w:szCs w:val="20"/>
                <w:color w:val="auto"/>
              </w:rPr>
            </w:pPr>
            <w:r>
              <w:rPr>
                <w:rFonts w:ascii="Arial" w:cs="Arial" w:eastAsia="Arial" w:hAnsi="Arial"/>
                <w:sz w:val="17"/>
                <w:szCs w:val="17"/>
                <w:color w:val="auto"/>
              </w:rPr>
              <w:t>Foreign currency translation adjustments</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(502,480)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(4,952,828)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151,544</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Unrealized gains (losses) on available-for-sale securities, net</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10,238,344</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(14,072,595)</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(6,424,496)</w:t>
            </w:r>
          </w:p>
        </w:tc>
        <w:tc>
          <w:tcPr>
            <w:tcW w:w="0" w:type="dxa"/>
            <w:vAlign w:val="bottom"/>
          </w:tcPr>
          <w:p>
            <w:pPr>
              <w:spacing w:after="0"/>
              <w:rPr>
                <w:sz w:val="1"/>
                <w:szCs w:val="1"/>
                <w:color w:val="auto"/>
              </w:rPr>
            </w:pPr>
          </w:p>
        </w:tc>
      </w:tr>
      <w:tr>
        <w:trPr>
          <w:trHeight w:val="232"/>
        </w:trPr>
        <w:tc>
          <w:tcPr>
            <w:tcW w:w="5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before tax</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9,735,864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(19,025,423)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(6,272,952)</w:t>
            </w:r>
          </w:p>
        </w:tc>
        <w:tc>
          <w:tcPr>
            <w:tcW w:w="0" w:type="dxa"/>
            <w:vAlign w:val="bottom"/>
          </w:tcPr>
          <w:p>
            <w:pPr>
              <w:spacing w:after="0"/>
              <w:rPr>
                <w:sz w:val="1"/>
                <w:szCs w:val="1"/>
                <w:color w:val="auto"/>
              </w:rPr>
            </w:pPr>
          </w:p>
        </w:tc>
      </w:tr>
      <w:tr>
        <w:trPr>
          <w:trHeight w:val="252"/>
        </w:trPr>
        <w:tc>
          <w:tcPr>
            <w:tcW w:w="5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580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rPr>
              <w:t>(Benefit) expense for income taxes related to components of other</w:t>
            </w:r>
          </w:p>
        </w:tc>
        <w:tc>
          <w:tcPr>
            <w:tcW w:w="3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2,150,052</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(2,955,245)</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(1,349,144)</w:t>
            </w:r>
          </w:p>
        </w:tc>
        <w:tc>
          <w:tcPr>
            <w:tcW w:w="0" w:type="dxa"/>
            <w:vAlign w:val="bottom"/>
          </w:tcPr>
          <w:p>
            <w:pPr>
              <w:spacing w:after="0"/>
              <w:rPr>
                <w:sz w:val="1"/>
                <w:szCs w:val="1"/>
                <w:color w:val="auto"/>
              </w:rPr>
            </w:pPr>
          </w:p>
        </w:tc>
      </w:tr>
      <w:tr>
        <w:trPr>
          <w:trHeight w:val="226"/>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(loss) income</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7,585,812</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(16,070,178)</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(4,923,808)</w:t>
            </w:r>
          </w:p>
        </w:tc>
        <w:tc>
          <w:tcPr>
            <w:tcW w:w="0" w:type="dxa"/>
            <w:vAlign w:val="bottom"/>
          </w:tcPr>
          <w:p>
            <w:pPr>
              <w:spacing w:after="0"/>
              <w:rPr>
                <w:sz w:val="1"/>
                <w:szCs w:val="1"/>
                <w:color w:val="auto"/>
              </w:rPr>
            </w:pPr>
          </w:p>
        </w:tc>
      </w:tr>
      <w:tr>
        <w:trPr>
          <w:trHeight w:val="232"/>
        </w:trPr>
        <w:tc>
          <w:tcPr>
            <w:tcW w:w="5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435,989,084</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302,687,174</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355,873,424</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65405</wp:posOffset>
            </wp:positionV>
            <wp:extent cx="716724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40" w:top="840"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7"/>
          <w:szCs w:val="17"/>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CONSOLIDATED STATEMENTS OF SHAREHOLDERS’ INVESTMENT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 THE YEARS ENDED DECEMBER 31, 2023, 2022 and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3"/>
                <w:szCs w:val="13"/>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Common</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Additional</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1000" w:type="dxa"/>
            <w:vAlign w:val="bottom"/>
            <w:vMerge w:val="restart"/>
          </w:tcPr>
          <w:p>
            <w:pPr>
              <w:jc w:val="center"/>
              <w:ind w:right="7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Retained</w:t>
            </w:r>
          </w:p>
        </w:tc>
        <w:tc>
          <w:tcPr>
            <w:tcW w:w="180" w:type="dxa"/>
            <w:vAlign w:val="bottom"/>
          </w:tcPr>
          <w:p>
            <w:pPr>
              <w:spacing w:after="0"/>
              <w:rPr>
                <w:sz w:val="11"/>
                <w:szCs w:val="11"/>
                <w:color w:val="auto"/>
              </w:rPr>
            </w:pPr>
          </w:p>
        </w:tc>
        <w:tc>
          <w:tcPr>
            <w:tcW w:w="960" w:type="dxa"/>
            <w:vAlign w:val="bottom"/>
            <w:gridSpan w:val="2"/>
          </w:tcPr>
          <w:p>
            <w:pPr>
              <w:jc w:val="center"/>
              <w:ind w:right="280"/>
              <w:spacing w:after="0" w:line="136"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580" w:type="dxa"/>
            <w:vAlign w:val="bottom"/>
          </w:tcPr>
          <w:p>
            <w:pPr>
              <w:spacing w:after="0"/>
              <w:rPr>
                <w:sz w:val="12"/>
                <w:szCs w:val="12"/>
                <w:color w:val="auto"/>
              </w:rPr>
            </w:pPr>
          </w:p>
        </w:tc>
        <w:tc>
          <w:tcPr>
            <w:tcW w:w="1040" w:type="dxa"/>
            <w:vAlign w:val="bottom"/>
            <w:gridSpan w:val="2"/>
          </w:tcPr>
          <w:p>
            <w:pPr>
              <w:ind w:left="300"/>
              <w:spacing w:after="0" w:line="139" w:lineRule="exact"/>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2"/>
                <w:szCs w:val="12"/>
                <w:color w:val="auto"/>
              </w:rPr>
            </w:pPr>
          </w:p>
        </w:tc>
        <w:tc>
          <w:tcPr>
            <w:tcW w:w="90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rPr>
              <w:t>Stock</w:t>
            </w:r>
          </w:p>
        </w:tc>
        <w:tc>
          <w:tcPr>
            <w:tcW w:w="1040" w:type="dxa"/>
            <w:vAlign w:val="bottom"/>
            <w:gridSpan w:val="2"/>
          </w:tcPr>
          <w:p>
            <w:pPr>
              <w:jc w:val="center"/>
              <w:ind w:right="60"/>
              <w:spacing w:after="0" w:line="139" w:lineRule="exact"/>
              <w:rPr>
                <w:sz w:val="20"/>
                <w:szCs w:val="20"/>
                <w:color w:val="auto"/>
              </w:rPr>
            </w:pPr>
            <w:r>
              <w:rPr>
                <w:rFonts w:ascii="Arial" w:cs="Arial" w:eastAsia="Arial" w:hAnsi="Arial"/>
                <w:sz w:val="13"/>
                <w:szCs w:val="13"/>
                <w:b w:val="1"/>
                <w:bCs w:val="1"/>
                <w:color w:val="auto"/>
              </w:rPr>
              <w:t>Paid-In</w:t>
            </w:r>
          </w:p>
        </w:tc>
        <w:tc>
          <w:tcPr>
            <w:tcW w:w="1140" w:type="dxa"/>
            <w:vAlign w:val="bottom"/>
            <w:gridSpan w:val="2"/>
            <w:vMerge w:val="continue"/>
          </w:tcPr>
          <w:p>
            <w:pPr>
              <w:spacing w:after="0"/>
              <w:rPr>
                <w:sz w:val="12"/>
                <w:szCs w:val="12"/>
                <w:color w:val="auto"/>
              </w:rPr>
            </w:pPr>
          </w:p>
        </w:tc>
        <w:tc>
          <w:tcPr>
            <w:tcW w:w="114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2"/>
                <w:szCs w:val="12"/>
                <w:color w:val="auto"/>
              </w:rPr>
            </w:pPr>
          </w:p>
        </w:tc>
        <w:tc>
          <w:tcPr>
            <w:tcW w:w="1000" w:type="dxa"/>
            <w:vAlign w:val="bottom"/>
          </w:tcPr>
          <w:p>
            <w:pPr>
              <w:jc w:val="center"/>
              <w:ind w:right="33"/>
              <w:spacing w:after="0" w:line="139" w:lineRule="exact"/>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04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Capital</w:t>
            </w:r>
          </w:p>
        </w:tc>
        <w:tc>
          <w:tcPr>
            <w:tcW w:w="1140" w:type="dxa"/>
            <w:vAlign w:val="bottom"/>
            <w:gridSpan w:val="2"/>
          </w:tcPr>
          <w:p>
            <w:pPr>
              <w:ind w:left="240"/>
              <w:spacing w:after="0"/>
              <w:rPr>
                <w:sz w:val="20"/>
                <w:szCs w:val="20"/>
                <w:color w:val="auto"/>
              </w:rPr>
            </w:pPr>
            <w:r>
              <w:rPr>
                <w:rFonts w:ascii="Arial" w:cs="Arial" w:eastAsia="Arial" w:hAnsi="Arial"/>
                <w:sz w:val="13"/>
                <w:szCs w:val="13"/>
                <w:b w:val="1"/>
                <w:bCs w:val="1"/>
                <w:color w:val="auto"/>
              </w:rPr>
              <w:t>Earnings</w:t>
            </w:r>
          </w:p>
        </w:tc>
        <w:tc>
          <w:tcPr>
            <w:tcW w:w="11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Pr>
          <w:p>
            <w:pPr>
              <w:spacing w:after="0"/>
              <w:rPr>
                <w:sz w:val="15"/>
                <w:szCs w:val="15"/>
                <w:color w:val="auto"/>
              </w:rPr>
            </w:pPr>
          </w:p>
        </w:tc>
        <w:tc>
          <w:tcPr>
            <w:tcW w:w="1000" w:type="dxa"/>
            <w:vAlign w:val="bottom"/>
          </w:tcPr>
          <w:p>
            <w:pPr>
              <w:jc w:val="center"/>
              <w:ind w:right="33"/>
              <w:spacing w:after="0"/>
              <w:rPr>
                <w:sz w:val="20"/>
                <w:szCs w:val="20"/>
                <w:color w:val="auto"/>
              </w:rPr>
            </w:pPr>
            <w:r>
              <w:rPr>
                <w:rFonts w:ascii="Arial" w:cs="Arial" w:eastAsia="Arial" w:hAnsi="Arial"/>
                <w:sz w:val="13"/>
                <w:szCs w:val="13"/>
                <w:b w:val="1"/>
                <w:bCs w:val="1"/>
                <w:color w:val="auto"/>
              </w:rPr>
              <w:t>Investment</w:t>
            </w:r>
          </w:p>
        </w:tc>
        <w:tc>
          <w:tcPr>
            <w:tcW w:w="0" w:type="dxa"/>
            <w:vAlign w:val="bottom"/>
          </w:tcPr>
          <w:p>
            <w:pPr>
              <w:spacing w:after="0"/>
              <w:rPr>
                <w:sz w:val="1"/>
                <w:szCs w:val="1"/>
                <w:color w:val="auto"/>
              </w:rPr>
            </w:pPr>
          </w:p>
        </w:tc>
      </w:tr>
      <w:tr>
        <w:trPr>
          <w:trHeight w:val="181"/>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JANUARY 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243,692,869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14,621,572</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$ 852,771,508</w:t>
            </w:r>
          </w:p>
        </w:tc>
        <w:tc>
          <w:tcPr>
            <w:tcW w:w="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$ 1,089,698,996</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6,851,052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1,963,943,128</w:t>
            </w:r>
          </w:p>
        </w:tc>
        <w:tc>
          <w:tcPr>
            <w:tcW w:w="0" w:type="dxa"/>
            <w:vAlign w:val="bottom"/>
          </w:tcPr>
          <w:p>
            <w:pPr>
              <w:spacing w:after="0"/>
              <w:rPr>
                <w:sz w:val="1"/>
                <w:szCs w:val="1"/>
                <w:color w:val="auto"/>
              </w:rPr>
            </w:pPr>
          </w:p>
        </w:tc>
      </w:tr>
      <w:tr>
        <w:trPr>
          <w:trHeight w:val="185"/>
        </w:trPr>
        <w:tc>
          <w:tcPr>
            <w:tcW w:w="4580" w:type="dxa"/>
            <w:vAlign w:val="bottom"/>
          </w:tcPr>
          <w:p>
            <w:pPr>
              <w:ind w:left="140"/>
              <w:spacing w:after="0"/>
              <w:rPr>
                <w:sz w:val="20"/>
                <w:szCs w:val="20"/>
                <w:color w:val="auto"/>
              </w:rPr>
            </w:pPr>
            <w:r>
              <w:rPr>
                <w:rFonts w:ascii="Arial" w:cs="Arial" w:eastAsia="Arial" w:hAnsi="Arial"/>
                <w:sz w:val="13"/>
                <w:szCs w:val="13"/>
                <w:color w:val="auto"/>
              </w:rPr>
              <w:t>Issuance of common stock from stock plan transactions</w:t>
            </w:r>
          </w:p>
        </w:tc>
        <w:tc>
          <w:tcPr>
            <w:tcW w:w="960" w:type="dxa"/>
            <w:vAlign w:val="bottom"/>
          </w:tcPr>
          <w:p>
            <w:pPr>
              <w:jc w:val="right"/>
              <w:spacing w:after="0"/>
              <w:rPr>
                <w:sz w:val="20"/>
                <w:szCs w:val="20"/>
                <w:color w:val="auto"/>
              </w:rPr>
            </w:pPr>
            <w:r>
              <w:rPr>
                <w:rFonts w:ascii="Arial" w:cs="Arial" w:eastAsia="Arial" w:hAnsi="Arial"/>
                <w:sz w:val="13"/>
                <w:szCs w:val="13"/>
                <w:color w:val="auto"/>
              </w:rPr>
              <w:t>2,343,169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140,590</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29,668,197</w:t>
            </w:r>
          </w:p>
        </w:tc>
        <w:tc>
          <w:tcPr>
            <w:tcW w:w="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29,808,787</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Repurchases of common stock</w:t>
            </w:r>
          </w:p>
        </w:tc>
        <w:tc>
          <w:tcPr>
            <w:tcW w:w="9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(9,595,198)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(575,712)</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(30,447,965)</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(293,619,458)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(324,643,135)</w:t>
            </w:r>
          </w:p>
        </w:tc>
        <w:tc>
          <w:tcPr>
            <w:tcW w:w="0" w:type="dxa"/>
            <w:vAlign w:val="bottom"/>
          </w:tcPr>
          <w:p>
            <w:pPr>
              <w:spacing w:after="0"/>
              <w:rPr>
                <w:sz w:val="1"/>
                <w:szCs w:val="1"/>
                <w:color w:val="auto"/>
              </w:rPr>
            </w:pPr>
          </w:p>
        </w:tc>
      </w:tr>
      <w:tr>
        <w:trPr>
          <w:trHeight w:val="143"/>
        </w:trPr>
        <w:tc>
          <w:tcPr>
            <w:tcW w:w="4580" w:type="dxa"/>
            <w:vAlign w:val="bottom"/>
          </w:tcPr>
          <w:p>
            <w:pPr>
              <w:ind w:left="120"/>
              <w:spacing w:after="0" w:line="144" w:lineRule="exact"/>
              <w:rPr>
                <w:sz w:val="20"/>
                <w:szCs w:val="20"/>
                <w:color w:val="auto"/>
              </w:rPr>
            </w:pPr>
            <w:r>
              <w:rPr>
                <w:rFonts w:ascii="Arial" w:cs="Arial" w:eastAsia="Arial" w:hAnsi="Arial"/>
                <w:sz w:val="13"/>
                <w:szCs w:val="13"/>
                <w:color w:val="auto"/>
              </w:rPr>
              <w:t>Stock-based compensation expense related to stock options, employee</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27,421,645</w:t>
            </w:r>
          </w:p>
        </w:tc>
        <w:tc>
          <w:tcPr>
            <w:tcW w:w="6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27,421,645</w:t>
            </w:r>
          </w:p>
        </w:tc>
        <w:tc>
          <w:tcPr>
            <w:tcW w:w="0" w:type="dxa"/>
            <w:vAlign w:val="bottom"/>
          </w:tcPr>
          <w:p>
            <w:pPr>
              <w:spacing w:after="0"/>
              <w:rPr>
                <w:sz w:val="1"/>
                <w:szCs w:val="1"/>
                <w:color w:val="auto"/>
              </w:rPr>
            </w:pPr>
          </w:p>
        </w:tc>
      </w:tr>
      <w:tr>
        <w:trPr>
          <w:trHeight w:val="171"/>
        </w:trPr>
        <w:tc>
          <w:tcPr>
            <w:tcW w:w="4580" w:type="dxa"/>
            <w:vAlign w:val="bottom"/>
          </w:tcPr>
          <w:p>
            <w:pPr>
              <w:ind w:left="120"/>
              <w:spacing w:after="0"/>
              <w:rPr>
                <w:sz w:val="20"/>
                <w:szCs w:val="20"/>
                <w:color w:val="auto"/>
              </w:rPr>
            </w:pPr>
            <w:r>
              <w:rPr>
                <w:rFonts w:ascii="Arial" w:cs="Arial" w:eastAsia="Arial" w:hAnsi="Arial"/>
                <w:sz w:val="13"/>
                <w:szCs w:val="13"/>
                <w:color w:val="auto"/>
              </w:rPr>
              <w:t>stock purchases, restricted stock, and performance share awards</w:t>
            </w: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declared ($0.48 per share)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(114,415,382)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(114,415,382)</w:t>
            </w:r>
          </w:p>
        </w:tc>
        <w:tc>
          <w:tcPr>
            <w:tcW w:w="0" w:type="dxa"/>
            <w:vAlign w:val="bottom"/>
          </w:tcPr>
          <w:p>
            <w:pPr>
              <w:spacing w:after="0"/>
              <w:rPr>
                <w:sz w:val="1"/>
                <w:szCs w:val="1"/>
                <w:color w:val="auto"/>
              </w:rPr>
            </w:pPr>
          </w:p>
        </w:tc>
      </w:tr>
      <w:tr>
        <w:trPr>
          <w:trHeight w:val="185"/>
        </w:trPr>
        <w:tc>
          <w:tcPr>
            <w:tcW w:w="45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360,797,232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360,797,232</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(4,923,808)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(4,923,808)</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3"/>
                <w:szCs w:val="13"/>
                <w:color w:val="auto"/>
              </w:rPr>
              <w:t>BALANCE AS OF DECEMBER 31, 2021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236,440,840</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14,186,450</w:t>
            </w:r>
          </w:p>
        </w:tc>
        <w:tc>
          <w:tcPr>
            <w:tcW w:w="8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$ 879,413,385</w:t>
            </w:r>
          </w:p>
        </w:tc>
        <w:tc>
          <w:tcPr>
            <w:tcW w:w="60" w:type="dxa"/>
            <w:vAlign w:val="bottom"/>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$ 1,042,461,388</w:t>
            </w:r>
          </w:p>
        </w:tc>
        <w:tc>
          <w:tcPr>
            <w:tcW w:w="8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1,927,244</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1,937,988,467</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common stock from stock plan transactions</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1,606,965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96,418</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16,505,856</w:t>
            </w:r>
          </w:p>
        </w:tc>
        <w:tc>
          <w:tcPr>
            <w:tcW w:w="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16,602,274</w:t>
            </w:r>
          </w:p>
        </w:tc>
        <w:tc>
          <w:tcPr>
            <w:tcW w:w="0" w:type="dxa"/>
            <w:vAlign w:val="bottom"/>
          </w:tcPr>
          <w:p>
            <w:pPr>
              <w:spacing w:after="0"/>
              <w:rPr>
                <w:sz w:val="1"/>
                <w:szCs w:val="1"/>
                <w:color w:val="auto"/>
              </w:rPr>
            </w:pPr>
          </w:p>
        </w:tc>
      </w:tr>
      <w:tr>
        <w:trPr>
          <w:trHeight w:val="185"/>
        </w:trPr>
        <w:tc>
          <w:tcPr>
            <w:tcW w:w="4580" w:type="dxa"/>
            <w:vAlign w:val="bottom"/>
          </w:tcPr>
          <w:p>
            <w:pPr>
              <w:ind w:left="120"/>
              <w:spacing w:after="0"/>
              <w:rPr>
                <w:sz w:val="20"/>
                <w:szCs w:val="20"/>
                <w:color w:val="auto"/>
              </w:rPr>
            </w:pPr>
            <w:r>
              <w:rPr>
                <w:rFonts w:ascii="Arial" w:cs="Arial" w:eastAsia="Arial" w:hAnsi="Arial"/>
                <w:sz w:val="13"/>
                <w:szCs w:val="13"/>
                <w:color w:val="auto"/>
              </w:rPr>
              <w:t>Issuance of common stock related to acquisitions</w:t>
            </w:r>
          </w:p>
        </w:tc>
        <w:tc>
          <w:tcPr>
            <w:tcW w:w="960" w:type="dxa"/>
            <w:vAlign w:val="bottom"/>
          </w:tcPr>
          <w:p>
            <w:pPr>
              <w:jc w:val="right"/>
              <w:spacing w:after="0"/>
              <w:rPr>
                <w:sz w:val="20"/>
                <w:szCs w:val="20"/>
                <w:color w:val="auto"/>
              </w:rPr>
            </w:pPr>
            <w:r>
              <w:rPr>
                <w:rFonts w:ascii="Arial" w:cs="Arial" w:eastAsia="Arial" w:hAnsi="Arial"/>
                <w:sz w:val="13"/>
                <w:szCs w:val="13"/>
                <w:color w:val="auto"/>
              </w:rPr>
              <w:t>162,433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9,746</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4,990,266</w:t>
            </w: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5,000,012</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Repurchases of common stock</w:t>
            </w:r>
          </w:p>
        </w:tc>
        <w:tc>
          <w:tcPr>
            <w:tcW w:w="9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(4,040,903)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(242,454)</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(13,638,790)</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(100,013,126)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(113,894,370)</w:t>
            </w:r>
          </w:p>
        </w:tc>
        <w:tc>
          <w:tcPr>
            <w:tcW w:w="0" w:type="dxa"/>
            <w:vAlign w:val="bottom"/>
          </w:tcPr>
          <w:p>
            <w:pPr>
              <w:spacing w:after="0"/>
              <w:rPr>
                <w:sz w:val="1"/>
                <w:szCs w:val="1"/>
                <w:color w:val="auto"/>
              </w:rPr>
            </w:pPr>
          </w:p>
        </w:tc>
      </w:tr>
      <w:tr>
        <w:trPr>
          <w:trHeight w:val="143"/>
        </w:trPr>
        <w:tc>
          <w:tcPr>
            <w:tcW w:w="4580" w:type="dxa"/>
            <w:vAlign w:val="bottom"/>
          </w:tcPr>
          <w:p>
            <w:pPr>
              <w:ind w:left="120"/>
              <w:spacing w:after="0" w:line="144" w:lineRule="exact"/>
              <w:rPr>
                <w:sz w:val="20"/>
                <w:szCs w:val="20"/>
                <w:color w:val="auto"/>
              </w:rPr>
            </w:pPr>
            <w:r>
              <w:rPr>
                <w:rFonts w:ascii="Arial" w:cs="Arial" w:eastAsia="Arial" w:hAnsi="Arial"/>
                <w:sz w:val="13"/>
                <w:szCs w:val="13"/>
                <w:color w:val="auto"/>
              </w:rPr>
              <w:t>Stock-based compensation expense related to stock options, employee</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30,228,606</w:t>
            </w:r>
          </w:p>
        </w:tc>
        <w:tc>
          <w:tcPr>
            <w:tcW w:w="6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30,228,606</w:t>
            </w:r>
          </w:p>
        </w:tc>
        <w:tc>
          <w:tcPr>
            <w:tcW w:w="0" w:type="dxa"/>
            <w:vAlign w:val="bottom"/>
          </w:tcPr>
          <w:p>
            <w:pPr>
              <w:spacing w:after="0"/>
              <w:rPr>
                <w:sz w:val="1"/>
                <w:szCs w:val="1"/>
                <w:color w:val="auto"/>
              </w:rPr>
            </w:pPr>
          </w:p>
        </w:tc>
      </w:tr>
      <w:tr>
        <w:trPr>
          <w:trHeight w:val="171"/>
        </w:trPr>
        <w:tc>
          <w:tcPr>
            <w:tcW w:w="4580" w:type="dxa"/>
            <w:vAlign w:val="bottom"/>
          </w:tcPr>
          <w:p>
            <w:pPr>
              <w:ind w:left="120"/>
              <w:spacing w:after="0"/>
              <w:rPr>
                <w:sz w:val="20"/>
                <w:szCs w:val="20"/>
                <w:color w:val="auto"/>
              </w:rPr>
            </w:pPr>
            <w:r>
              <w:rPr>
                <w:rFonts w:ascii="Arial" w:cs="Arial" w:eastAsia="Arial" w:hAnsi="Arial"/>
                <w:sz w:val="13"/>
                <w:szCs w:val="13"/>
                <w:color w:val="auto"/>
              </w:rPr>
              <w:t>stock purchases, restricted stock, and performance share awards</w:t>
            </w: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declared ($0.48 per share)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(112,819,342)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(112,819,342)</w:t>
            </w:r>
          </w:p>
        </w:tc>
        <w:tc>
          <w:tcPr>
            <w:tcW w:w="0" w:type="dxa"/>
            <w:vAlign w:val="bottom"/>
          </w:tcPr>
          <w:p>
            <w:pPr>
              <w:spacing w:after="0"/>
              <w:rPr>
                <w:sz w:val="1"/>
                <w:szCs w:val="1"/>
                <w:color w:val="auto"/>
              </w:rPr>
            </w:pPr>
          </w:p>
        </w:tc>
      </w:tr>
      <w:tr>
        <w:trPr>
          <w:trHeight w:val="185"/>
        </w:trPr>
        <w:tc>
          <w:tcPr>
            <w:tcW w:w="458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318,757,352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318,757,352</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(16,070,178)</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(16,070,178)</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3"/>
                <w:szCs w:val="13"/>
                <w:color w:val="auto"/>
              </w:rPr>
              <w:t>BALANCE AS OF DECEMBER 31, 2022</w:t>
            </w:r>
          </w:p>
        </w:tc>
        <w:tc>
          <w:tcPr>
            <w:tcW w:w="960" w:type="dxa"/>
            <w:vAlign w:val="bottom"/>
          </w:tcPr>
          <w:p>
            <w:pPr>
              <w:jc w:val="right"/>
              <w:spacing w:after="0"/>
              <w:rPr>
                <w:sz w:val="20"/>
                <w:szCs w:val="20"/>
                <w:color w:val="auto"/>
              </w:rPr>
            </w:pPr>
            <w:r>
              <w:rPr>
                <w:rFonts w:ascii="Arial" w:cs="Arial" w:eastAsia="Arial" w:hAnsi="Arial"/>
                <w:sz w:val="13"/>
                <w:szCs w:val="13"/>
                <w:color w:val="auto"/>
              </w:rPr>
              <w:t>234,169,335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14,050,160</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$ 917,499,323</w:t>
            </w:r>
          </w:p>
        </w:tc>
        <w:tc>
          <w:tcPr>
            <w:tcW w:w="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$ 1,148,386,272</w:t>
            </w: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(14,142,934)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2,065,792,821</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common stock from stock plan transactions</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2,218,094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133,086</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29,265,186</w:t>
            </w:r>
          </w:p>
        </w:tc>
        <w:tc>
          <w:tcPr>
            <w:tcW w:w="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29,398,272</w:t>
            </w:r>
          </w:p>
        </w:tc>
        <w:tc>
          <w:tcPr>
            <w:tcW w:w="0" w:type="dxa"/>
            <w:vAlign w:val="bottom"/>
          </w:tcPr>
          <w:p>
            <w:pPr>
              <w:spacing w:after="0"/>
              <w:rPr>
                <w:sz w:val="1"/>
                <w:szCs w:val="1"/>
                <w:color w:val="auto"/>
              </w:rPr>
            </w:pPr>
          </w:p>
        </w:tc>
      </w:tr>
      <w:tr>
        <w:trPr>
          <w:trHeight w:val="185"/>
        </w:trPr>
        <w:tc>
          <w:tcPr>
            <w:tcW w:w="458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960" w:type="dxa"/>
            <w:vAlign w:val="bottom"/>
          </w:tcPr>
          <w:p>
            <w:pPr>
              <w:ind w:left="260"/>
              <w:spacing w:after="0"/>
              <w:rPr>
                <w:sz w:val="20"/>
                <w:szCs w:val="20"/>
                <w:color w:val="auto"/>
              </w:rPr>
            </w:pPr>
            <w:r>
              <w:rPr>
                <w:rFonts w:ascii="Arial" w:cs="Arial" w:eastAsia="Arial" w:hAnsi="Arial"/>
                <w:sz w:val="13"/>
                <w:szCs w:val="13"/>
                <w:color w:val="auto"/>
              </w:rPr>
              <w:t>(4,931,986)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(295,920)</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(17,716,056)</w:t>
            </w:r>
          </w:p>
        </w:tc>
        <w:tc>
          <w:tcPr>
            <w:tcW w:w="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(128,024,161)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(146,036,137)</w:t>
            </w: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rPr>
              <w:t>Stock-based compensation expense related to stock options, employee</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39,197,422</w:t>
            </w:r>
          </w:p>
        </w:tc>
        <w:tc>
          <w:tcPr>
            <w:tcW w:w="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39,197,422</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purchases, restricted stock, and performance share awards</w:t>
            </w:r>
          </w:p>
        </w:tc>
        <w:tc>
          <w:tcPr>
            <w:tcW w:w="10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580" w:type="dxa"/>
            <w:vAlign w:val="bottom"/>
          </w:tcPr>
          <w:p>
            <w:pPr>
              <w:ind w:left="140"/>
              <w:spacing w:after="0"/>
              <w:rPr>
                <w:sz w:val="20"/>
                <w:szCs w:val="20"/>
                <w:color w:val="auto"/>
              </w:rPr>
            </w:pPr>
            <w:r>
              <w:rPr>
                <w:rFonts w:ascii="Arial" w:cs="Arial" w:eastAsia="Arial" w:hAnsi="Arial"/>
                <w:sz w:val="13"/>
                <w:szCs w:val="13"/>
                <w:color w:val="auto"/>
              </w:rPr>
              <w:t>Dividends declared ($0.48 per share)</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(111,824,393)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(111,824,393)</w:t>
            </w:r>
          </w:p>
        </w:tc>
        <w:tc>
          <w:tcPr>
            <w:tcW w:w="0" w:type="dxa"/>
            <w:vAlign w:val="bottom"/>
          </w:tcPr>
          <w:p>
            <w:pPr>
              <w:spacing w:after="0"/>
              <w:rPr>
                <w:sz w:val="1"/>
                <w:szCs w:val="1"/>
                <w:color w:val="auto"/>
              </w:rPr>
            </w:pPr>
          </w:p>
        </w:tc>
      </w:tr>
      <w:tr>
        <w:trPr>
          <w:trHeight w:val="193"/>
        </w:trPr>
        <w:tc>
          <w:tcPr>
            <w:tcW w:w="4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428,403,272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428,403,272</w:t>
            </w:r>
          </w:p>
        </w:tc>
        <w:tc>
          <w:tcPr>
            <w:tcW w:w="0" w:type="dxa"/>
            <w:vAlign w:val="bottom"/>
          </w:tcPr>
          <w:p>
            <w:pPr>
              <w:spacing w:after="0"/>
              <w:rPr>
                <w:sz w:val="1"/>
                <w:szCs w:val="1"/>
                <w:color w:val="auto"/>
              </w:rPr>
            </w:pPr>
          </w:p>
        </w:tc>
      </w:tr>
      <w:tr>
        <w:trPr>
          <w:trHeight w:val="185"/>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comprehensive loss</w:t>
            </w: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7,585,812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7,585,812</w:t>
            </w:r>
          </w:p>
        </w:tc>
        <w:tc>
          <w:tcPr>
            <w:tcW w:w="0" w:type="dxa"/>
            <w:vAlign w:val="bottom"/>
          </w:tcPr>
          <w:p>
            <w:pPr>
              <w:spacing w:after="0"/>
              <w:rPr>
                <w:sz w:val="1"/>
                <w:szCs w:val="1"/>
                <w:color w:val="auto"/>
              </w:rPr>
            </w:pPr>
          </w:p>
        </w:tc>
      </w:tr>
      <w:tr>
        <w:trPr>
          <w:trHeight w:val="206"/>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DECEMBER 31,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231,455,443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13,887,326</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$ 968,245,875</w:t>
            </w:r>
          </w:p>
        </w:tc>
        <w:tc>
          <w:tcPr>
            <w:tcW w:w="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$ 1,336,940,990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(6,557,122)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2,312,517,069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 There may be some differences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65405</wp:posOffset>
            </wp:positionV>
            <wp:extent cx="716724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080"/>
          </w:cols>
          <w:pgMar w:left="400" w:top="726" w:right="41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7"/>
          <w:szCs w:val="17"/>
          <w:u w:val="single" w:color="auto"/>
          <w:color w:val="auto"/>
        </w:rPr>
        <w:t>GENTEX CORPORATION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 THE YEARS ENDED DECEMBER 31, 2023, 2022 AND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5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OPERATING ACTIVITIES:</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520" w:type="dxa"/>
            <w:vAlign w:val="bottom"/>
          </w:tcPr>
          <w:p>
            <w:pPr>
              <w:ind w:left="200"/>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428,403,272</w:t>
            </w:r>
          </w:p>
        </w:tc>
        <w:tc>
          <w:tcPr>
            <w:tcW w:w="100" w:type="dxa"/>
            <w:vAlign w:val="bottom"/>
          </w:tcPr>
          <w:p>
            <w:pPr>
              <w:spacing w:after="0"/>
              <w:rPr>
                <w:sz w:val="17"/>
                <w:szCs w:val="17"/>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318,757,352</w:t>
            </w:r>
          </w:p>
        </w:tc>
        <w:tc>
          <w:tcPr>
            <w:tcW w:w="100" w:type="dxa"/>
            <w:vAlign w:val="bottom"/>
          </w:tcPr>
          <w:p>
            <w:pPr>
              <w:spacing w:after="0"/>
              <w:rPr>
                <w:sz w:val="17"/>
                <w:szCs w:val="17"/>
                <w:color w:val="auto"/>
              </w:rPr>
            </w:pPr>
          </w:p>
        </w:tc>
        <w:tc>
          <w:tcPr>
            <w:tcW w:w="480" w:type="dxa"/>
            <w:vAlign w:val="bottom"/>
          </w:tcPr>
          <w:p>
            <w:pPr>
              <w:jc w:val="right"/>
              <w:ind w:right="305"/>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360,797,232</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2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93,321,192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96,568,443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99,112,019</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Gain on disposal of assets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(355,544)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(70,736)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(488,750)</w:t>
            </w:r>
          </w:p>
        </w:tc>
        <w:tc>
          <w:tcPr>
            <w:tcW w:w="0" w:type="dxa"/>
            <w:vAlign w:val="bottom"/>
          </w:tcPr>
          <w:p>
            <w:pPr>
              <w:spacing w:after="0"/>
              <w:rPr>
                <w:sz w:val="1"/>
                <w:szCs w:val="1"/>
                <w:color w:val="auto"/>
              </w:rPr>
            </w:pPr>
          </w:p>
        </w:tc>
      </w:tr>
      <w:tr>
        <w:trPr>
          <w:trHeight w:val="200"/>
        </w:trPr>
        <w:tc>
          <w:tcPr>
            <w:tcW w:w="6520" w:type="dxa"/>
            <w:vAlign w:val="bottom"/>
          </w:tcPr>
          <w:p>
            <w:pPr>
              <w:ind w:left="320"/>
              <w:spacing w:after="0"/>
              <w:rPr>
                <w:sz w:val="20"/>
                <w:szCs w:val="20"/>
                <w:color w:val="auto"/>
              </w:rPr>
            </w:pPr>
            <w:r>
              <w:rPr>
                <w:rFonts w:ascii="Arial" w:cs="Arial" w:eastAsia="Arial" w:hAnsi="Arial"/>
                <w:sz w:val="15"/>
                <w:szCs w:val="15"/>
                <w:color w:val="auto"/>
              </w:rPr>
              <w:t>Loss on disposal of assets</w:t>
            </w:r>
          </w:p>
        </w:tc>
        <w:tc>
          <w:tcPr>
            <w:tcW w:w="30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443,373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28,424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230,933</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Gain on sale of investments and equity method investment income</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(5,492,269)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(392,040)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(1,379,538)</w:t>
            </w:r>
          </w:p>
        </w:tc>
        <w:tc>
          <w:tcPr>
            <w:tcW w:w="0" w:type="dxa"/>
            <w:vAlign w:val="bottom"/>
          </w:tcPr>
          <w:p>
            <w:pPr>
              <w:spacing w:after="0"/>
              <w:rPr>
                <w:sz w:val="1"/>
                <w:szCs w:val="1"/>
                <w:color w:val="auto"/>
              </w:rPr>
            </w:pPr>
          </w:p>
        </w:tc>
      </w:tr>
      <w:tr>
        <w:trPr>
          <w:trHeight w:val="200"/>
        </w:trPr>
        <w:tc>
          <w:tcPr>
            <w:tcW w:w="6520" w:type="dxa"/>
            <w:vAlign w:val="bottom"/>
          </w:tcPr>
          <w:p>
            <w:pPr>
              <w:ind w:left="320"/>
              <w:spacing w:after="0"/>
              <w:rPr>
                <w:sz w:val="20"/>
                <w:szCs w:val="20"/>
                <w:color w:val="auto"/>
              </w:rPr>
            </w:pPr>
            <w:r>
              <w:rPr>
                <w:rFonts w:ascii="Arial" w:cs="Arial" w:eastAsia="Arial" w:hAnsi="Arial"/>
                <w:sz w:val="15"/>
                <w:szCs w:val="15"/>
                <w:color w:val="auto"/>
              </w:rPr>
              <w:t>Loss on sale of investments and equity method investment losses</w:t>
            </w:r>
          </w:p>
        </w:tc>
        <w:tc>
          <w:tcPr>
            <w:tcW w:w="30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11,476,947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2,104,907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307,490</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income taxes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(17,735,110)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(17,777,777)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(41,694,751)</w:t>
            </w:r>
          </w:p>
        </w:tc>
        <w:tc>
          <w:tcPr>
            <w:tcW w:w="0" w:type="dxa"/>
            <w:vAlign w:val="bottom"/>
          </w:tcPr>
          <w:p>
            <w:pPr>
              <w:spacing w:after="0"/>
              <w:rPr>
                <w:sz w:val="1"/>
                <w:szCs w:val="1"/>
                <w:color w:val="auto"/>
              </w:rPr>
            </w:pPr>
          </w:p>
        </w:tc>
      </w:tr>
      <w:tr>
        <w:trPr>
          <w:trHeight w:val="151"/>
        </w:trPr>
        <w:tc>
          <w:tcPr>
            <w:tcW w:w="6520" w:type="dxa"/>
            <w:vAlign w:val="bottom"/>
          </w:tcPr>
          <w:p>
            <w:pPr>
              <w:ind w:left="320"/>
              <w:spacing w:after="0" w:line="151" w:lineRule="exact"/>
              <w:rPr>
                <w:sz w:val="20"/>
                <w:szCs w:val="20"/>
                <w:color w:val="auto"/>
              </w:rPr>
            </w:pPr>
            <w:r>
              <w:rPr>
                <w:rFonts w:ascii="Arial" w:cs="Arial" w:eastAsia="Arial" w:hAnsi="Arial"/>
                <w:sz w:val="15"/>
                <w:szCs w:val="15"/>
                <w:color w:val="auto"/>
              </w:rPr>
              <w:t>Stock based compensation expense related to employee stock options, employee stock</w:t>
            </w:r>
          </w:p>
        </w:tc>
        <w:tc>
          <w:tcPr>
            <w:tcW w:w="300" w:type="dxa"/>
            <w:vAlign w:val="bottom"/>
          </w:tcPr>
          <w:p>
            <w:pPr>
              <w:spacing w:after="0"/>
              <w:rPr>
                <w:sz w:val="13"/>
                <w:szCs w:val="13"/>
                <w:color w:val="auto"/>
              </w:rPr>
            </w:pPr>
          </w:p>
        </w:tc>
        <w:tc>
          <w:tcPr>
            <w:tcW w:w="1180" w:type="dxa"/>
            <w:vAlign w:val="bottom"/>
            <w:vMerge w:val="restart"/>
          </w:tcPr>
          <w:p>
            <w:pPr>
              <w:jc w:val="right"/>
              <w:ind w:right="5"/>
              <w:spacing w:after="0"/>
              <w:rPr>
                <w:sz w:val="20"/>
                <w:szCs w:val="20"/>
                <w:color w:val="auto"/>
              </w:rPr>
            </w:pPr>
            <w:r>
              <w:rPr>
                <w:rFonts w:ascii="Arial" w:cs="Arial" w:eastAsia="Arial" w:hAnsi="Arial"/>
                <w:sz w:val="15"/>
                <w:szCs w:val="15"/>
                <w:color w:val="auto"/>
              </w:rPr>
              <w:t>39,197,422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30,228,606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vMerge w:val="restart"/>
          </w:tcPr>
          <w:p>
            <w:pPr>
              <w:jc w:val="right"/>
              <w:ind w:right="5"/>
              <w:spacing w:after="0"/>
              <w:rPr>
                <w:sz w:val="20"/>
                <w:szCs w:val="20"/>
                <w:color w:val="auto"/>
              </w:rPr>
            </w:pPr>
            <w:r>
              <w:rPr>
                <w:rFonts w:ascii="Arial" w:cs="Arial" w:eastAsia="Arial" w:hAnsi="Arial"/>
                <w:sz w:val="15"/>
                <w:szCs w:val="15"/>
                <w:color w:val="auto"/>
              </w:rPr>
              <w:t>27,421,645</w:t>
            </w:r>
          </w:p>
        </w:tc>
        <w:tc>
          <w:tcPr>
            <w:tcW w:w="0" w:type="dxa"/>
            <w:vAlign w:val="bottom"/>
          </w:tcPr>
          <w:p>
            <w:pPr>
              <w:spacing w:after="0"/>
              <w:rPr>
                <w:sz w:val="1"/>
                <w:szCs w:val="1"/>
                <w:color w:val="auto"/>
              </w:rPr>
            </w:pPr>
          </w:p>
        </w:tc>
      </w:tr>
      <w:tr>
        <w:trPr>
          <w:trHeight w:val="200"/>
        </w:trPr>
        <w:tc>
          <w:tcPr>
            <w:tcW w:w="6520" w:type="dxa"/>
            <w:vAlign w:val="bottom"/>
          </w:tcPr>
          <w:p>
            <w:pPr>
              <w:ind w:left="320"/>
              <w:spacing w:after="0"/>
              <w:rPr>
                <w:sz w:val="20"/>
                <w:szCs w:val="20"/>
                <w:color w:val="auto"/>
              </w:rPr>
            </w:pPr>
            <w:r>
              <w:rPr>
                <w:rFonts w:ascii="Arial" w:cs="Arial" w:eastAsia="Arial" w:hAnsi="Arial"/>
                <w:sz w:val="15"/>
                <w:szCs w:val="15"/>
                <w:color w:val="auto"/>
              </w:rPr>
              <w:t>purchases and restricted stock</w:t>
            </w:r>
          </w:p>
        </w:tc>
        <w:tc>
          <w:tcPr>
            <w:tcW w:w="3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Change in operating assets and liabilities: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20" w:type="dxa"/>
            <w:vAlign w:val="bottom"/>
          </w:tcPr>
          <w:p>
            <w:pPr>
              <w:ind w:left="620"/>
              <w:spacing w:after="0"/>
              <w:rPr>
                <w:sz w:val="20"/>
                <w:szCs w:val="20"/>
                <w:color w:val="auto"/>
              </w:rPr>
            </w:pPr>
            <w:r>
              <w:rPr>
                <w:rFonts w:ascii="Arial" w:cs="Arial" w:eastAsia="Arial" w:hAnsi="Arial"/>
                <w:sz w:val="15"/>
                <w:szCs w:val="15"/>
                <w:color w:val="auto"/>
              </w:rPr>
              <w:t>Accounts receivable</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(45,251,116)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(26,698,846)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35,135,429</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Inventories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2,127,242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(88,092,828)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(89,975,599)</w:t>
            </w:r>
          </w:p>
        </w:tc>
        <w:tc>
          <w:tcPr>
            <w:tcW w:w="0" w:type="dxa"/>
            <w:vAlign w:val="bottom"/>
          </w:tcPr>
          <w:p>
            <w:pPr>
              <w:spacing w:after="0"/>
              <w:rPr>
                <w:sz w:val="1"/>
                <w:szCs w:val="1"/>
                <w:color w:val="auto"/>
              </w:rPr>
            </w:pPr>
          </w:p>
        </w:tc>
      </w:tr>
      <w:tr>
        <w:trPr>
          <w:trHeight w:val="200"/>
        </w:trPr>
        <w:tc>
          <w:tcPr>
            <w:tcW w:w="6520" w:type="dxa"/>
            <w:vAlign w:val="bottom"/>
          </w:tcPr>
          <w:p>
            <w:pPr>
              <w:ind w:left="620"/>
              <w:spacing w:after="0"/>
              <w:rPr>
                <w:sz w:val="20"/>
                <w:szCs w:val="20"/>
                <w:color w:val="auto"/>
              </w:rPr>
            </w:pPr>
            <w:r>
              <w:rPr>
                <w:rFonts w:ascii="Arial" w:cs="Arial" w:eastAsia="Arial" w:hAnsi="Arial"/>
                <w:sz w:val="15"/>
                <w:szCs w:val="15"/>
                <w:color w:val="auto"/>
              </w:rPr>
              <w:t>Prepaid expenses and other</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(4,101,866)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(28,788,331)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(20,241,994)</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Accounts payable</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40,951,490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37,423,488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7,266,309</w:t>
            </w:r>
          </w:p>
        </w:tc>
        <w:tc>
          <w:tcPr>
            <w:tcW w:w="0" w:type="dxa"/>
            <w:vAlign w:val="bottom"/>
          </w:tcPr>
          <w:p>
            <w:pPr>
              <w:spacing w:after="0"/>
              <w:rPr>
                <w:sz w:val="1"/>
                <w:szCs w:val="1"/>
                <w:color w:val="auto"/>
              </w:rPr>
            </w:pPr>
          </w:p>
        </w:tc>
      </w:tr>
      <w:tr>
        <w:trPr>
          <w:trHeight w:val="200"/>
        </w:trPr>
        <w:tc>
          <w:tcPr>
            <w:tcW w:w="652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Accrued liabilities</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(5,735,441)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14,909,867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(14,322,863)</w:t>
            </w:r>
          </w:p>
        </w:tc>
        <w:tc>
          <w:tcPr>
            <w:tcW w:w="0" w:type="dxa"/>
            <w:vAlign w:val="bottom"/>
          </w:tcPr>
          <w:p>
            <w:pPr>
              <w:spacing w:after="0"/>
              <w:rPr>
                <w:sz w:val="1"/>
                <w:szCs w:val="1"/>
                <w:color w:val="auto"/>
              </w:rPr>
            </w:pPr>
          </w:p>
        </w:tc>
      </w:tr>
      <w:tr>
        <w:trPr>
          <w:trHeight w:val="195"/>
        </w:trPr>
        <w:tc>
          <w:tcPr>
            <w:tcW w:w="6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cash flows from operating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537,249,592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338,200,529</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362,167,562</w:t>
            </w:r>
          </w:p>
        </w:tc>
        <w:tc>
          <w:tcPr>
            <w:tcW w:w="0" w:type="dxa"/>
            <w:vAlign w:val="bottom"/>
          </w:tcPr>
          <w:p>
            <w:pPr>
              <w:spacing w:after="0"/>
              <w:rPr>
                <w:sz w:val="1"/>
                <w:szCs w:val="1"/>
                <w:color w:val="auto"/>
              </w:rPr>
            </w:pPr>
          </w:p>
        </w:tc>
      </w:tr>
      <w:tr>
        <w:trPr>
          <w:trHeight w:val="180"/>
        </w:trPr>
        <w:tc>
          <w:tcPr>
            <w:tcW w:w="6520" w:type="dxa"/>
            <w:vAlign w:val="bottom"/>
          </w:tcPr>
          <w:p>
            <w:pPr>
              <w:spacing w:after="0"/>
              <w:rPr>
                <w:sz w:val="20"/>
                <w:szCs w:val="20"/>
                <w:color w:val="auto"/>
              </w:rPr>
            </w:pPr>
            <w:r>
              <w:rPr>
                <w:rFonts w:ascii="Arial" w:cs="Arial" w:eastAsia="Arial" w:hAnsi="Arial"/>
                <w:sz w:val="15"/>
                <w:szCs w:val="15"/>
                <w:color w:val="auto"/>
              </w:rPr>
              <w:t>CASH FLOWS USED FOR INVESTING ACTIVITIES:</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Activity in available-for-sale securities: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20" w:type="dxa"/>
            <w:vAlign w:val="bottom"/>
          </w:tcPr>
          <w:p>
            <w:pPr>
              <w:ind w:left="620"/>
              <w:spacing w:after="0"/>
              <w:rPr>
                <w:sz w:val="20"/>
                <w:szCs w:val="20"/>
                <w:color w:val="auto"/>
              </w:rPr>
            </w:pPr>
            <w:r>
              <w:rPr>
                <w:rFonts w:ascii="Arial" w:cs="Arial" w:eastAsia="Arial" w:hAnsi="Arial"/>
                <w:sz w:val="15"/>
                <w:szCs w:val="15"/>
                <w:color w:val="auto"/>
              </w:rPr>
              <w:t>Sales proceeds</w:t>
            </w:r>
          </w:p>
        </w:tc>
        <w:tc>
          <w:tcPr>
            <w:tcW w:w="30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58,847,341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37,429,595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56,237,427</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Maturities and calls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17,445,000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3,500,000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27,690,000</w:t>
            </w:r>
          </w:p>
        </w:tc>
        <w:tc>
          <w:tcPr>
            <w:tcW w:w="0" w:type="dxa"/>
            <w:vAlign w:val="bottom"/>
          </w:tcPr>
          <w:p>
            <w:pPr>
              <w:spacing w:after="0"/>
              <w:rPr>
                <w:sz w:val="1"/>
                <w:szCs w:val="1"/>
                <w:color w:val="auto"/>
              </w:rPr>
            </w:pPr>
          </w:p>
        </w:tc>
      </w:tr>
      <w:tr>
        <w:trPr>
          <w:trHeight w:val="200"/>
        </w:trPr>
        <w:tc>
          <w:tcPr>
            <w:tcW w:w="6520" w:type="dxa"/>
            <w:vAlign w:val="bottom"/>
          </w:tcPr>
          <w:p>
            <w:pPr>
              <w:ind w:left="620"/>
              <w:spacing w:after="0"/>
              <w:rPr>
                <w:sz w:val="20"/>
                <w:szCs w:val="20"/>
                <w:color w:val="auto"/>
              </w:rPr>
            </w:pPr>
            <w:r>
              <w:rPr>
                <w:rFonts w:ascii="Arial" w:cs="Arial" w:eastAsia="Arial" w:hAnsi="Arial"/>
                <w:sz w:val="15"/>
                <w:szCs w:val="15"/>
                <w:color w:val="auto"/>
              </w:rPr>
              <w:t>Purchases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(97,849,498)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(18,194,193)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(100,301,699)</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Purchase of technology investments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(71,083,511)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(45,743,460)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(12,902,500)</w:t>
            </w:r>
          </w:p>
        </w:tc>
        <w:tc>
          <w:tcPr>
            <w:tcW w:w="0" w:type="dxa"/>
            <w:vAlign w:val="bottom"/>
          </w:tcPr>
          <w:p>
            <w:pPr>
              <w:spacing w:after="0"/>
              <w:rPr>
                <w:sz w:val="1"/>
                <w:szCs w:val="1"/>
                <w:color w:val="auto"/>
              </w:rPr>
            </w:pPr>
          </w:p>
        </w:tc>
      </w:tr>
      <w:tr>
        <w:trPr>
          <w:trHeight w:val="200"/>
        </w:trPr>
        <w:tc>
          <w:tcPr>
            <w:tcW w:w="6520" w:type="dxa"/>
            <w:vAlign w:val="bottom"/>
          </w:tcPr>
          <w:p>
            <w:pPr>
              <w:ind w:left="300"/>
              <w:spacing w:after="0"/>
              <w:rPr>
                <w:sz w:val="20"/>
                <w:szCs w:val="20"/>
                <w:color w:val="auto"/>
              </w:rPr>
            </w:pPr>
            <w:r>
              <w:rPr>
                <w:rFonts w:ascii="Arial" w:cs="Arial" w:eastAsia="Arial" w:hAnsi="Arial"/>
                <w:sz w:val="15"/>
                <w:szCs w:val="15"/>
                <w:color w:val="auto"/>
              </w:rPr>
              <w:t>Plant and equipment additions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(183,678,460)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(146,433,123)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(68,835,047)</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Proceeds from sale of plant and equipment</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292,723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313,917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2,577,855</w:t>
            </w:r>
          </w:p>
        </w:tc>
        <w:tc>
          <w:tcPr>
            <w:tcW w:w="0" w:type="dxa"/>
            <w:vAlign w:val="bottom"/>
          </w:tcPr>
          <w:p>
            <w:pPr>
              <w:spacing w:after="0"/>
              <w:rPr>
                <w:sz w:val="1"/>
                <w:szCs w:val="1"/>
                <w:color w:val="auto"/>
              </w:rPr>
            </w:pPr>
          </w:p>
        </w:tc>
      </w:tr>
      <w:tr>
        <w:trPr>
          <w:trHeight w:val="200"/>
        </w:trPr>
        <w:tc>
          <w:tcPr>
            <w:tcW w:w="6520" w:type="dxa"/>
            <w:vAlign w:val="bottom"/>
          </w:tcPr>
          <w:p>
            <w:pPr>
              <w:ind w:left="300"/>
              <w:spacing w:after="0"/>
              <w:rPr>
                <w:sz w:val="20"/>
                <w:szCs w:val="20"/>
                <w:color w:val="auto"/>
              </w:rPr>
            </w:pPr>
            <w:r>
              <w:rPr>
                <w:rFonts w:ascii="Arial" w:cs="Arial" w:eastAsia="Arial" w:hAnsi="Arial"/>
                <w:sz w:val="15"/>
                <w:szCs w:val="15"/>
                <w:color w:val="auto"/>
              </w:rPr>
              <w:t>Acquisition of businesses, net of cash acquired</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(18,936,539)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(12,071,546)</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Increase in other assets</w:t>
            </w: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(4,453,376)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(3,611,244)</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(5,501,445)</w:t>
            </w:r>
          </w:p>
        </w:tc>
        <w:tc>
          <w:tcPr>
            <w:tcW w:w="0" w:type="dxa"/>
            <w:vAlign w:val="bottom"/>
          </w:tcPr>
          <w:p>
            <w:pPr>
              <w:spacing w:after="0"/>
              <w:rPr>
                <w:sz w:val="1"/>
                <w:szCs w:val="1"/>
                <w:color w:val="auto"/>
              </w:rPr>
            </w:pPr>
          </w:p>
        </w:tc>
      </w:tr>
      <w:tr>
        <w:trPr>
          <w:trHeight w:val="193"/>
        </w:trPr>
        <w:tc>
          <w:tcPr>
            <w:tcW w:w="65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cash used for investing activities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(299,416,320)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(172,738,508)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(113,106,955)</w:t>
            </w:r>
          </w:p>
        </w:tc>
        <w:tc>
          <w:tcPr>
            <w:tcW w:w="0" w:type="dxa"/>
            <w:vAlign w:val="bottom"/>
          </w:tcPr>
          <w:p>
            <w:pPr>
              <w:spacing w:after="0"/>
              <w:rPr>
                <w:sz w:val="1"/>
                <w:szCs w:val="1"/>
                <w:color w:val="auto"/>
              </w:rPr>
            </w:pPr>
          </w:p>
        </w:tc>
      </w:tr>
      <w:tr>
        <w:trPr>
          <w:trHeight w:val="182"/>
        </w:trPr>
        <w:tc>
          <w:tcPr>
            <w:tcW w:w="6520" w:type="dxa"/>
            <w:vAlign w:val="bottom"/>
            <w:shd w:val="clear" w:color="auto" w:fill="CCEEFF"/>
          </w:tcPr>
          <w:p>
            <w:pPr>
              <w:spacing w:after="0"/>
              <w:rPr>
                <w:sz w:val="20"/>
                <w:szCs w:val="20"/>
                <w:color w:val="auto"/>
              </w:rPr>
            </w:pPr>
            <w:r>
              <w:rPr>
                <w:rFonts w:ascii="Arial" w:cs="Arial" w:eastAsia="Arial" w:hAnsi="Arial"/>
                <w:sz w:val="15"/>
                <w:szCs w:val="15"/>
                <w:color w:val="auto"/>
              </w:rPr>
              <w:t>CASH FLOWS USED FOR FINANCING ACTIVITIES:</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520" w:type="dxa"/>
            <w:vAlign w:val="bottom"/>
          </w:tcPr>
          <w:p>
            <w:pPr>
              <w:ind w:left="300"/>
              <w:spacing w:after="0"/>
              <w:rPr>
                <w:sz w:val="20"/>
                <w:szCs w:val="20"/>
                <w:color w:val="auto"/>
              </w:rPr>
            </w:pPr>
            <w:r>
              <w:rPr>
                <w:rFonts w:ascii="Arial" w:cs="Arial" w:eastAsia="Arial" w:hAnsi="Arial"/>
                <w:sz w:val="15"/>
                <w:szCs w:val="15"/>
                <w:color w:val="auto"/>
              </w:rPr>
              <w:t>Issuance of common stock from stock plan transactions</w:t>
            </w:r>
          </w:p>
        </w:tc>
        <w:tc>
          <w:tcPr>
            <w:tcW w:w="30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5"/>
                <w:szCs w:val="15"/>
                <w:color w:val="auto"/>
              </w:rPr>
              <w:t>29,398,272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16,602,274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29,808,787</w:t>
            </w: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Cash dividends paid</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(112,150,060)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(113,091,921)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(115,285,625)</w:t>
            </w:r>
          </w:p>
        </w:tc>
        <w:tc>
          <w:tcPr>
            <w:tcW w:w="0" w:type="dxa"/>
            <w:vAlign w:val="bottom"/>
          </w:tcPr>
          <w:p>
            <w:pPr>
              <w:spacing w:after="0"/>
              <w:rPr>
                <w:sz w:val="1"/>
                <w:szCs w:val="1"/>
                <w:color w:val="auto"/>
              </w:rPr>
            </w:pPr>
          </w:p>
        </w:tc>
      </w:tr>
      <w:tr>
        <w:trPr>
          <w:trHeight w:val="200"/>
        </w:trPr>
        <w:tc>
          <w:tcPr>
            <w:tcW w:w="652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Repurchases of common stock</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(147,401,103)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(112,529,406)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(324,643,135)</w:t>
            </w: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spacing w:after="0"/>
              <w:rPr>
                <w:sz w:val="20"/>
                <w:szCs w:val="20"/>
                <w:color w:val="auto"/>
              </w:rPr>
            </w:pPr>
            <w:r>
              <w:rPr>
                <w:rFonts w:ascii="Arial" w:cs="Arial" w:eastAsia="Arial" w:hAnsi="Arial"/>
                <w:sz w:val="15"/>
                <w:szCs w:val="15"/>
                <w:color w:val="auto"/>
              </w:rPr>
              <w:t>Net cash used for financing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(230,152,891)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(209,019,053)</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(410,119,973)</w:t>
            </w:r>
          </w:p>
        </w:tc>
        <w:tc>
          <w:tcPr>
            <w:tcW w:w="0" w:type="dxa"/>
            <w:vAlign w:val="bottom"/>
          </w:tcPr>
          <w:p>
            <w:pPr>
              <w:spacing w:after="0"/>
              <w:rPr>
                <w:sz w:val="1"/>
                <w:szCs w:val="1"/>
                <w:color w:val="auto"/>
              </w:rPr>
            </w:pPr>
          </w:p>
        </w:tc>
      </w:tr>
      <w:tr>
        <w:trPr>
          <w:trHeight w:val="132"/>
        </w:trPr>
        <w:tc>
          <w:tcPr>
            <w:tcW w:w="6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6520" w:type="dxa"/>
            <w:vAlign w:val="bottom"/>
            <w:shd w:val="clear" w:color="auto" w:fill="CCEEFF"/>
          </w:tcPr>
          <w:p>
            <w:pPr>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7,680,381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(43,557,032)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(161,059,366)</w:t>
            </w:r>
          </w:p>
        </w:tc>
        <w:tc>
          <w:tcPr>
            <w:tcW w:w="0" w:type="dxa"/>
            <w:vAlign w:val="bottom"/>
          </w:tcPr>
          <w:p>
            <w:pPr>
              <w:spacing w:after="0"/>
              <w:rPr>
                <w:sz w:val="1"/>
                <w:szCs w:val="1"/>
                <w:color w:val="auto"/>
              </w:rPr>
            </w:pPr>
          </w:p>
        </w:tc>
      </w:tr>
      <w:tr>
        <w:trPr>
          <w:trHeight w:val="151"/>
        </w:trPr>
        <w:tc>
          <w:tcPr>
            <w:tcW w:w="65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520" w:type="dxa"/>
            <w:vAlign w:val="bottom"/>
            <w:shd w:val="clear" w:color="auto" w:fill="CCEEFF"/>
          </w:tcPr>
          <w:p>
            <w:pPr>
              <w:spacing w:after="0"/>
              <w:rPr>
                <w:sz w:val="20"/>
                <w:szCs w:val="20"/>
                <w:color w:val="auto"/>
              </w:rPr>
            </w:pPr>
            <w:r>
              <w:rPr>
                <w:rFonts w:ascii="Arial" w:cs="Arial" w:eastAsia="Arial" w:hAnsi="Arial"/>
                <w:sz w:val="15"/>
                <w:szCs w:val="15"/>
                <w:color w:val="auto"/>
              </w:rPr>
              <w:t>CASH, CASH EQUIVALENTS, AND RESTRICTED CASH, Beginning of year</w:t>
            </w: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218,754,638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262,311,670</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423,371,036</w:t>
            </w:r>
          </w:p>
        </w:tc>
        <w:tc>
          <w:tcPr>
            <w:tcW w:w="0" w:type="dxa"/>
            <w:vAlign w:val="bottom"/>
          </w:tcPr>
          <w:p>
            <w:pPr>
              <w:spacing w:after="0"/>
              <w:rPr>
                <w:sz w:val="1"/>
                <w:szCs w:val="1"/>
                <w:color w:val="auto"/>
              </w:rPr>
            </w:pPr>
          </w:p>
        </w:tc>
      </w:tr>
      <w:tr>
        <w:trPr>
          <w:trHeight w:val="145"/>
        </w:trPr>
        <w:tc>
          <w:tcPr>
            <w:tcW w:w="6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CASH EQUIVALENTS, AND RESTRICTED CASH, End of year</w:t>
            </w:r>
          </w:p>
        </w:tc>
        <w:tc>
          <w:tcPr>
            <w:tcW w:w="3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226,435,019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218,754,638</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262,311,670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gridSpan w:val="3"/>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52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6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320" w:type="dxa"/>
            <w:vAlign w:val="bottom"/>
            <w:gridSpan w:val="6"/>
            <w:shd w:val="clear" w:color="auto" w:fill="CCEEFF"/>
          </w:tcPr>
          <w:p>
            <w:pPr>
              <w:jc w:val="right"/>
              <w:spacing w:after="0"/>
              <w:rPr>
                <w:sz w:val="20"/>
                <w:szCs w:val="20"/>
                <w:color w:val="auto"/>
              </w:rPr>
            </w:pPr>
            <w:r>
              <w:rPr>
                <w:rFonts w:ascii="Arial" w:cs="Arial" w:eastAsia="Arial" w:hAnsi="Arial"/>
                <w:sz w:val="15"/>
                <w:szCs w:val="15"/>
                <w:b w:val="1"/>
                <w:bCs w:val="1"/>
                <w:color w:val="auto"/>
              </w:rPr>
              <w:t>Twelve Months Ended December 31,</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SUPPLEMENTAL CASH FLOW DATA</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Non-cash investing and financing activities:</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6520" w:type="dxa"/>
            <w:vAlign w:val="bottom"/>
          </w:tcPr>
          <w:p>
            <w:pPr>
              <w:ind w:left="200"/>
              <w:spacing w:after="0" w:line="151" w:lineRule="exact"/>
              <w:rPr>
                <w:sz w:val="20"/>
                <w:szCs w:val="20"/>
                <w:color w:val="auto"/>
              </w:rPr>
            </w:pPr>
            <w:r>
              <w:rPr>
                <w:rFonts w:ascii="Arial" w:cs="Arial" w:eastAsia="Arial" w:hAnsi="Arial"/>
                <w:sz w:val="15"/>
                <w:szCs w:val="15"/>
                <w:color w:val="auto"/>
              </w:rPr>
              <w:t>Change in Property and equipment in accounts payable and accrued expenses and other</w:t>
            </w:r>
          </w:p>
        </w:tc>
        <w:tc>
          <w:tcPr>
            <w:tcW w:w="300" w:type="dxa"/>
            <w:vAlign w:val="bottom"/>
            <w:vMerge w:val="restart"/>
          </w:tcPr>
          <w:p>
            <w:pPr>
              <w:jc w:val="right"/>
              <w:ind w:right="125"/>
              <w:spacing w:after="0"/>
              <w:rPr>
                <w:sz w:val="20"/>
                <w:szCs w:val="20"/>
                <w:color w:val="auto"/>
              </w:rPr>
            </w:pPr>
            <w:r>
              <w:rPr>
                <w:rFonts w:ascii="Arial" w:cs="Arial" w:eastAsia="Arial" w:hAnsi="Arial"/>
                <w:sz w:val="15"/>
                <w:szCs w:val="15"/>
                <w:color w:val="auto"/>
                <w:w w:val="95"/>
              </w:rPr>
              <w:t>$</w:t>
            </w:r>
          </w:p>
        </w:tc>
        <w:tc>
          <w:tcPr>
            <w:tcW w:w="1180" w:type="dxa"/>
            <w:vAlign w:val="bottom"/>
            <w:vMerge w:val="restart"/>
          </w:tcPr>
          <w:p>
            <w:pPr>
              <w:jc w:val="right"/>
              <w:ind w:right="5"/>
              <w:spacing w:after="0"/>
              <w:rPr>
                <w:sz w:val="20"/>
                <w:szCs w:val="20"/>
                <w:color w:val="auto"/>
              </w:rPr>
            </w:pPr>
            <w:r>
              <w:rPr>
                <w:rFonts w:ascii="Arial" w:cs="Arial" w:eastAsia="Arial" w:hAnsi="Arial"/>
                <w:sz w:val="15"/>
                <w:szCs w:val="15"/>
                <w:color w:val="auto"/>
              </w:rPr>
              <w:t>6,927,750</w:t>
            </w:r>
          </w:p>
        </w:tc>
        <w:tc>
          <w:tcPr>
            <w:tcW w:w="100" w:type="dxa"/>
            <w:vAlign w:val="bottom"/>
          </w:tcPr>
          <w:p>
            <w:pPr>
              <w:spacing w:after="0"/>
              <w:rPr>
                <w:sz w:val="13"/>
                <w:szCs w:val="13"/>
                <w:color w:val="auto"/>
              </w:rPr>
            </w:pPr>
          </w:p>
        </w:tc>
        <w:tc>
          <w:tcPr>
            <w:tcW w:w="300" w:type="dxa"/>
            <w:vAlign w:val="bottom"/>
            <w:vMerge w:val="restart"/>
          </w:tcPr>
          <w:p>
            <w:pPr>
              <w:jc w:val="right"/>
              <w:ind w:right="125"/>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14,608,665</w:t>
            </w:r>
          </w:p>
        </w:tc>
        <w:tc>
          <w:tcPr>
            <w:tcW w:w="100" w:type="dxa"/>
            <w:vAlign w:val="bottom"/>
          </w:tcPr>
          <w:p>
            <w:pPr>
              <w:spacing w:after="0"/>
              <w:rPr>
                <w:sz w:val="13"/>
                <w:szCs w:val="13"/>
                <w:color w:val="auto"/>
              </w:rPr>
            </w:pPr>
          </w:p>
        </w:tc>
        <w:tc>
          <w:tcPr>
            <w:tcW w:w="480" w:type="dxa"/>
            <w:vAlign w:val="bottom"/>
            <w:vMerge w:val="restart"/>
          </w:tcPr>
          <w:p>
            <w:pPr>
              <w:jc w:val="right"/>
              <w:ind w:right="305"/>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ind w:right="5"/>
              <w:spacing w:after="0"/>
              <w:rPr>
                <w:sz w:val="20"/>
                <w:szCs w:val="20"/>
                <w:color w:val="auto"/>
              </w:rPr>
            </w:pPr>
            <w:r>
              <w:rPr>
                <w:rFonts w:ascii="Arial" w:cs="Arial" w:eastAsia="Arial" w:hAnsi="Arial"/>
                <w:sz w:val="15"/>
                <w:szCs w:val="15"/>
                <w:color w:val="auto"/>
              </w:rPr>
              <w:t>6,292,196</w:t>
            </w:r>
          </w:p>
        </w:tc>
        <w:tc>
          <w:tcPr>
            <w:tcW w:w="0" w:type="dxa"/>
            <w:vAlign w:val="bottom"/>
          </w:tcPr>
          <w:p>
            <w:pPr>
              <w:spacing w:after="0"/>
              <w:rPr>
                <w:sz w:val="1"/>
                <w:szCs w:val="1"/>
                <w:color w:val="auto"/>
              </w:rPr>
            </w:pPr>
          </w:p>
        </w:tc>
      </w:tr>
      <w:tr>
        <w:trPr>
          <w:trHeight w:val="181"/>
        </w:trPr>
        <w:tc>
          <w:tcPr>
            <w:tcW w:w="6520" w:type="dxa"/>
            <w:vAlign w:val="bottom"/>
          </w:tcPr>
          <w:p>
            <w:pPr>
              <w:ind w:left="200"/>
              <w:spacing w:after="0"/>
              <w:rPr>
                <w:sz w:val="20"/>
                <w:szCs w:val="20"/>
                <w:color w:val="auto"/>
              </w:rPr>
            </w:pPr>
            <w:r>
              <w:rPr>
                <w:rFonts w:ascii="Arial" w:cs="Arial" w:eastAsia="Arial" w:hAnsi="Arial"/>
                <w:sz w:val="15"/>
                <w:szCs w:val="15"/>
                <w:color w:val="auto"/>
              </w:rPr>
              <w:t>current liabilities</w:t>
            </w:r>
          </w:p>
        </w:tc>
        <w:tc>
          <w:tcPr>
            <w:tcW w:w="30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65405</wp:posOffset>
            </wp:positionV>
            <wp:extent cx="716724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40"/>
          </w:cols>
          <w:pgMar w:left="380" w:top="425" w:right="379" w:bottom="1440" w:gutter="0" w:footer="0" w:header="0"/>
        </w:sectPr>
      </w:pPr>
    </w:p>
    <w:bookmarkStart w:id="50" w:name="page51"/>
    <w:bookmarkEnd w:id="50"/>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5180" w:firstLine="1"/>
        <w:spacing w:after="0" w:line="409" w:lineRule="auto"/>
        <w:tabs>
          <w:tab w:leader="none" w:pos="391"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SUMMARY OF SIGNIFICANT ACCOUNTING AND REPORTING POLICIES </w:t>
      </w:r>
      <w:r>
        <w:rPr>
          <w:rFonts w:ascii="Arial" w:cs="Arial" w:eastAsia="Arial" w:hAnsi="Arial"/>
          <w:sz w:val="17"/>
          <w:szCs w:val="17"/>
          <w:u w:val="single" w:color="auto"/>
          <w:color w:val="auto"/>
        </w:rPr>
        <w:t>The Company</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Gentex Corporation, including its wholly-owned subsidiaries (the "Company"), is a leading supplier of digital vision, connected car, dimmable glass, and fire protection technologies. The Company’s largest business segment involves designing, developing, manufacturing, marketing, and supplying automatic-dimming rearview and non-dimming mirrors and various electronic modules for the automotive industry. The Company ships its product to all of the major automotive producing regions worldwide, which it supports with numerous sales, engineering and distribution locations worldwide.</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 substantial portion of the Company’s net sales and accounts receivable result from transactions with domestic and foreign automotive manufacturers and Tier 1 suppliers. The Company also designs, develops, manufactures, markets, and supplies dimmable aircraft windows for the aviation industry and commercial smoke alarms and signaling devices for the fire protection products industry. The Company does not require collateral or other security for trade accounts receivable.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Significant accounting policies of the Company not described elsewhere are as follows: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Consolidation</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consolidated financial statements include the accounts of Gentex Corporation and all of its wholly-owned subsidiaries. All intercompany accounts and transactions have been eliminated.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Cash equivalents consist of funds invested in bank accounts and money market funds that have daily liquidity.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Allowance For Doubtful Accounts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reviews a monthly aging report of all accounts receivable balances starting with invoices outstanding over sixty days. In addition, the Company monitors information about its customers through a variety of sources including the media, and information obtained through ongoing interaction between Company personnel and the customer. Based on the evaluation of the above information, the Company estimates its allowances related to customer receivables on historical credit and collections experience, customers current financial condition and the specific identification of other potential problems, including the economic climate and impact the supply chain constraints has had on specific customers. Actual collections can differ, requiring adjustments to the allowances, but historically such adjustments have not been material.</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activity in the Company’s allowance for doubtful accounts:</w:t>
      </w:r>
    </w:p>
    <w:p>
      <w:pPr>
        <w:spacing w:after="0" w:line="179" w:lineRule="exact"/>
        <w:rPr>
          <w:sz w:val="20"/>
          <w:szCs w:val="20"/>
          <w:color w:val="auto"/>
        </w:rPr>
      </w:pPr>
    </w:p>
    <w:p>
      <w:pPr>
        <w:jc w:val="center"/>
        <w:ind w:left="2000"/>
        <w:spacing w:after="0"/>
        <w:rPr>
          <w:sz w:val="20"/>
          <w:szCs w:val="20"/>
          <w:color w:val="auto"/>
        </w:rPr>
      </w:pPr>
      <w:r>
        <w:rPr>
          <w:rFonts w:ascii="Arial" w:cs="Arial" w:eastAsia="Arial" w:hAnsi="Arial"/>
          <w:sz w:val="13"/>
          <w:szCs w:val="13"/>
          <w:b w:val="1"/>
          <w:bCs w:val="1"/>
          <w:color w:val="auto"/>
        </w:rPr>
        <w:t>Net</w:t>
      </w:r>
    </w:p>
    <w:p>
      <w:pPr>
        <w:jc w:val="center"/>
        <w:ind w:left="2000"/>
        <w:spacing w:after="0" w:line="222" w:lineRule="auto"/>
        <w:rPr>
          <w:sz w:val="20"/>
          <w:szCs w:val="20"/>
          <w:color w:val="auto"/>
        </w:rPr>
      </w:pPr>
      <w:r>
        <w:rPr>
          <w:rFonts w:ascii="Arial" w:cs="Arial" w:eastAsia="Arial" w:hAnsi="Arial"/>
          <w:sz w:val="13"/>
          <w:szCs w:val="13"/>
          <w:b w:val="1"/>
          <w:bCs w:val="1"/>
          <w:color w:val="auto"/>
        </w:rPr>
        <w:t>Additions/</w:t>
      </w:r>
    </w:p>
    <w:tbl>
      <w:tblPr>
        <w:tblLayout w:type="fixed"/>
        <w:tblInd w:w="0" w:type="dxa"/>
        <w:tblCellMar>
          <w:top w:w="0" w:type="dxa"/>
          <w:left w:w="0" w:type="dxa"/>
          <w:bottom w:w="0" w:type="dxa"/>
          <w:right w:w="0" w:type="dxa"/>
        </w:tblCellMar>
      </w:tblPr>
      <w:tr>
        <w:trPr>
          <w:trHeight w:val="121"/>
        </w:trPr>
        <w:tc>
          <w:tcPr>
            <w:tcW w:w="4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gridSpan w:val="2"/>
            <w:vMerge w:val="restart"/>
          </w:tcPr>
          <w:p>
            <w:pPr>
              <w:jc w:val="center"/>
              <w:ind w:right="460"/>
              <w:spacing w:after="0"/>
              <w:rPr>
                <w:sz w:val="20"/>
                <w:szCs w:val="20"/>
                <w:color w:val="auto"/>
              </w:rPr>
            </w:pPr>
            <w:r>
              <w:rPr>
                <w:rFonts w:ascii="Arial" w:cs="Arial" w:eastAsia="Arial" w:hAnsi="Arial"/>
                <w:sz w:val="13"/>
                <w:szCs w:val="13"/>
                <w:b w:val="1"/>
                <w:bCs w:val="1"/>
                <w:color w:val="auto"/>
              </w:rPr>
              <w:t>Beginning</w:t>
            </w:r>
          </w:p>
        </w:tc>
        <w:tc>
          <w:tcPr>
            <w:tcW w:w="1160" w:type="dxa"/>
            <w:vAlign w:val="bottom"/>
          </w:tcPr>
          <w:p>
            <w:pPr>
              <w:jc w:val="center"/>
              <w:ind w:left="185"/>
              <w:spacing w:after="0" w:line="122" w:lineRule="exact"/>
              <w:rPr>
                <w:sz w:val="20"/>
                <w:szCs w:val="20"/>
                <w:color w:val="auto"/>
              </w:rPr>
            </w:pPr>
            <w:r>
              <w:rPr>
                <w:rFonts w:ascii="Arial" w:cs="Arial" w:eastAsia="Arial" w:hAnsi="Arial"/>
                <w:sz w:val="13"/>
                <w:szCs w:val="13"/>
                <w:b w:val="1"/>
                <w:bCs w:val="1"/>
                <w:color w:val="auto"/>
              </w:rPr>
              <w:t>(Reductions)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rPr>
              <w:t>Net Additions/Deductions</w:t>
            </w:r>
          </w:p>
        </w:tc>
        <w:tc>
          <w:tcPr>
            <w:tcW w:w="380" w:type="dxa"/>
            <w:vAlign w:val="bottom"/>
          </w:tcPr>
          <w:p>
            <w:pPr>
              <w:spacing w:after="0"/>
              <w:rPr>
                <w:sz w:val="10"/>
                <w:szCs w:val="10"/>
                <w:color w:val="auto"/>
              </w:rPr>
            </w:pPr>
          </w:p>
        </w:tc>
        <w:tc>
          <w:tcPr>
            <w:tcW w:w="1420" w:type="dxa"/>
            <w:vAlign w:val="bottom"/>
            <w:vMerge w:val="restart"/>
          </w:tcPr>
          <w:p>
            <w:pPr>
              <w:jc w:val="right"/>
              <w:ind w:right="583"/>
              <w:spacing w:after="0"/>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38"/>
        </w:trPr>
        <w:tc>
          <w:tcPr>
            <w:tcW w:w="4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160" w:type="dxa"/>
            <w:vAlign w:val="bottom"/>
          </w:tcPr>
          <w:p>
            <w:pPr>
              <w:jc w:val="center"/>
              <w:ind w:left="205"/>
              <w:spacing w:after="0" w:line="139" w:lineRule="exact"/>
              <w:rPr>
                <w:sz w:val="20"/>
                <w:szCs w:val="20"/>
                <w:color w:val="auto"/>
              </w:rPr>
            </w:pPr>
            <w:r>
              <w:rPr>
                <w:rFonts w:ascii="Arial" w:cs="Arial" w:eastAsia="Arial" w:hAnsi="Arial"/>
                <w:sz w:val="13"/>
                <w:szCs w:val="13"/>
                <w:b w:val="1"/>
                <w:bCs w:val="1"/>
                <w:color w:val="auto"/>
              </w:rPr>
              <w:t>to Costs and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460"/>
              <w:spacing w:after="0" w:line="139" w:lineRule="exact"/>
              <w:rPr>
                <w:sz w:val="20"/>
                <w:szCs w:val="20"/>
                <w:color w:val="auto"/>
              </w:rPr>
            </w:pPr>
            <w:r>
              <w:rPr>
                <w:rFonts w:ascii="Arial" w:cs="Arial" w:eastAsia="Arial" w:hAnsi="Arial"/>
                <w:sz w:val="13"/>
                <w:szCs w:val="13"/>
                <w:b w:val="1"/>
                <w:bCs w:val="1"/>
                <w:color w:val="auto"/>
              </w:rPr>
              <w:t>and Other</w:t>
            </w:r>
          </w:p>
        </w:tc>
        <w:tc>
          <w:tcPr>
            <w:tcW w:w="3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Balance</w:t>
            </w:r>
          </w:p>
        </w:tc>
        <w:tc>
          <w:tcPr>
            <w:tcW w:w="1160" w:type="dxa"/>
            <w:vAlign w:val="bottom"/>
          </w:tcPr>
          <w:p>
            <w:pPr>
              <w:jc w:val="center"/>
              <w:ind w:left="185"/>
              <w:spacing w:after="0"/>
              <w:rPr>
                <w:sz w:val="20"/>
                <w:szCs w:val="20"/>
                <w:color w:val="auto"/>
              </w:rPr>
            </w:pPr>
            <w:r>
              <w:rPr>
                <w:rFonts w:ascii="Arial" w:cs="Arial" w:eastAsia="Arial" w:hAnsi="Arial"/>
                <w:sz w:val="13"/>
                <w:szCs w:val="13"/>
                <w:b w:val="1"/>
                <w:bCs w:val="1"/>
                <w:color w:val="auto"/>
              </w:rPr>
              <w:t>Expenses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Adjustments</w:t>
            </w:r>
          </w:p>
        </w:tc>
        <w:tc>
          <w:tcPr>
            <w:tcW w:w="380" w:type="dxa"/>
            <w:vAlign w:val="bottom"/>
          </w:tcPr>
          <w:p>
            <w:pPr>
              <w:spacing w:after="0"/>
              <w:rPr>
                <w:sz w:val="15"/>
                <w:szCs w:val="15"/>
                <w:color w:val="auto"/>
              </w:rPr>
            </w:pPr>
          </w:p>
        </w:tc>
        <w:tc>
          <w:tcPr>
            <w:tcW w:w="1420" w:type="dxa"/>
            <w:vAlign w:val="bottom"/>
          </w:tcPr>
          <w:p>
            <w:pPr>
              <w:jc w:val="right"/>
              <w:ind w:right="563"/>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94"/>
        </w:trPr>
        <w:tc>
          <w:tcPr>
            <w:tcW w:w="4000" w:type="dxa"/>
            <w:vAlign w:val="bottom"/>
            <w:tcBorders>
              <w:top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Year Ended December 31, 2023:</w:t>
            </w:r>
          </w:p>
        </w:tc>
        <w:tc>
          <w:tcPr>
            <w:tcW w:w="3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3"/>
              <w:spacing w:after="0"/>
              <w:rPr>
                <w:sz w:val="20"/>
                <w:szCs w:val="20"/>
                <w:color w:val="auto"/>
              </w:rPr>
            </w:pPr>
            <w:r>
              <w:rPr>
                <w:rFonts w:ascii="Arial" w:cs="Arial" w:eastAsia="Arial" w:hAnsi="Arial"/>
                <w:sz w:val="17"/>
                <w:szCs w:val="17"/>
                <w:color w:val="auto"/>
              </w:rPr>
              <w:t>2,967,095</w:t>
            </w:r>
          </w:p>
        </w:tc>
        <w:tc>
          <w:tcPr>
            <w:tcW w:w="120" w:type="dxa"/>
            <w:vAlign w:val="bottom"/>
          </w:tcPr>
          <w:p>
            <w:pPr>
              <w:spacing w:after="0"/>
              <w:rPr>
                <w:sz w:val="18"/>
                <w:szCs w:val="18"/>
                <w:color w:val="auto"/>
              </w:rPr>
            </w:pPr>
          </w:p>
        </w:tc>
        <w:tc>
          <w:tcPr>
            <w:tcW w:w="1160" w:type="dxa"/>
            <w:vAlign w:val="bottom"/>
          </w:tcPr>
          <w:p>
            <w:pPr>
              <w:jc w:val="right"/>
              <w:ind w:right="985"/>
              <w:spacing w:after="0"/>
              <w:rPr>
                <w:sz w:val="20"/>
                <w:szCs w:val="20"/>
                <w:color w:val="auto"/>
              </w:rPr>
            </w:pPr>
            <w:r>
              <w:rPr>
                <w:rFonts w:ascii="Arial" w:cs="Arial" w:eastAsia="Arial" w:hAnsi="Arial"/>
                <w:sz w:val="17"/>
                <w:szCs w:val="17"/>
                <w:color w:val="auto"/>
                <w:w w:val="84"/>
              </w:rPr>
              <w:t>$</w:t>
            </w:r>
          </w:p>
        </w:tc>
        <w:tc>
          <w:tcPr>
            <w:tcW w:w="4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20"/>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(301,892)</w:t>
            </w:r>
          </w:p>
        </w:tc>
        <w:tc>
          <w:tcPr>
            <w:tcW w:w="160" w:type="dxa"/>
            <w:vAlign w:val="bottom"/>
          </w:tcPr>
          <w:p>
            <w:pPr>
              <w:spacing w:after="0"/>
              <w:rPr>
                <w:sz w:val="18"/>
                <w:szCs w:val="18"/>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2,665,203</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December 31, 2022:</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3"/>
              <w:spacing w:after="0"/>
              <w:rPr>
                <w:sz w:val="20"/>
                <w:szCs w:val="20"/>
                <w:color w:val="auto"/>
              </w:rPr>
            </w:pPr>
            <w:r>
              <w:rPr>
                <w:rFonts w:ascii="Arial" w:cs="Arial" w:eastAsia="Arial" w:hAnsi="Arial"/>
                <w:sz w:val="17"/>
                <w:szCs w:val="17"/>
                <w:color w:val="auto"/>
              </w:rPr>
              <w:t>3,176,205</w:t>
            </w:r>
          </w:p>
        </w:tc>
        <w:tc>
          <w:tcPr>
            <w:tcW w:w="120" w:type="dxa"/>
            <w:vAlign w:val="bottom"/>
          </w:tcPr>
          <w:p>
            <w:pPr>
              <w:spacing w:after="0"/>
              <w:rPr>
                <w:sz w:val="18"/>
                <w:szCs w:val="18"/>
                <w:color w:val="auto"/>
              </w:rPr>
            </w:pPr>
          </w:p>
        </w:tc>
        <w:tc>
          <w:tcPr>
            <w:tcW w:w="1160" w:type="dxa"/>
            <w:vAlign w:val="bottom"/>
          </w:tcPr>
          <w:p>
            <w:pPr>
              <w:jc w:val="right"/>
              <w:ind w:right="985"/>
              <w:spacing w:after="0"/>
              <w:rPr>
                <w:sz w:val="20"/>
                <w:szCs w:val="20"/>
                <w:color w:val="auto"/>
              </w:rPr>
            </w:pPr>
            <w:r>
              <w:rPr>
                <w:rFonts w:ascii="Arial" w:cs="Arial" w:eastAsia="Arial" w:hAnsi="Arial"/>
                <w:sz w:val="17"/>
                <w:szCs w:val="17"/>
                <w:color w:val="auto"/>
                <w:w w:val="84"/>
              </w:rPr>
              <w:t>$</w:t>
            </w:r>
          </w:p>
        </w:tc>
        <w:tc>
          <w:tcPr>
            <w:tcW w:w="4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20"/>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(209,110)</w:t>
            </w:r>
          </w:p>
        </w:tc>
        <w:tc>
          <w:tcPr>
            <w:tcW w:w="160" w:type="dxa"/>
            <w:vAlign w:val="bottom"/>
          </w:tcPr>
          <w:p>
            <w:pPr>
              <w:spacing w:after="0"/>
              <w:rPr>
                <w:sz w:val="18"/>
                <w:szCs w:val="18"/>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2,967,095</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December 31, 2021:</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ind w:left="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3"/>
              <w:spacing w:after="0"/>
              <w:rPr>
                <w:sz w:val="20"/>
                <w:szCs w:val="20"/>
                <w:color w:val="auto"/>
              </w:rPr>
            </w:pPr>
            <w:r>
              <w:rPr>
                <w:rFonts w:ascii="Arial" w:cs="Arial" w:eastAsia="Arial" w:hAnsi="Arial"/>
                <w:sz w:val="17"/>
                <w:szCs w:val="17"/>
                <w:color w:val="auto"/>
              </w:rPr>
              <w:t>3,464,747</w:t>
            </w:r>
          </w:p>
        </w:tc>
        <w:tc>
          <w:tcPr>
            <w:tcW w:w="120" w:type="dxa"/>
            <w:vAlign w:val="bottom"/>
          </w:tcPr>
          <w:p>
            <w:pPr>
              <w:spacing w:after="0"/>
              <w:rPr>
                <w:sz w:val="19"/>
                <w:szCs w:val="19"/>
                <w:color w:val="auto"/>
              </w:rPr>
            </w:pPr>
          </w:p>
        </w:tc>
        <w:tc>
          <w:tcPr>
            <w:tcW w:w="1160" w:type="dxa"/>
            <w:vAlign w:val="bottom"/>
          </w:tcPr>
          <w:p>
            <w:pPr>
              <w:jc w:val="right"/>
              <w:ind w:right="985"/>
              <w:spacing w:after="0"/>
              <w:rPr>
                <w:sz w:val="20"/>
                <w:szCs w:val="20"/>
                <w:color w:val="auto"/>
              </w:rPr>
            </w:pPr>
            <w:r>
              <w:rPr>
                <w:rFonts w:ascii="Arial" w:cs="Arial" w:eastAsia="Arial" w:hAnsi="Arial"/>
                <w:sz w:val="17"/>
                <w:szCs w:val="17"/>
                <w:color w:val="auto"/>
                <w:w w:val="84"/>
              </w:rPr>
              <w:t>$</w:t>
            </w:r>
          </w:p>
        </w:tc>
        <w:tc>
          <w:tcPr>
            <w:tcW w:w="4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20"/>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(288,542)</w:t>
            </w:r>
          </w:p>
        </w:tc>
        <w:tc>
          <w:tcPr>
            <w:tcW w:w="160" w:type="dxa"/>
            <w:vAlign w:val="bottom"/>
          </w:tcPr>
          <w:p>
            <w:pPr>
              <w:spacing w:after="0"/>
              <w:rPr>
                <w:sz w:val="19"/>
                <w:szCs w:val="19"/>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3,176,205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allowance for doubtful accounts primarily relates to financially distressed automotive customers. The Company continues to work with these financially distressed customers in collecting past due balances.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Available for sale securities</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The Company follows the provisions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about a company’s use of fair-value measurements, including the effect of such measurement on earnings. The cost of securities sold is based on the specific identification method.</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determines the fair value of its government securities, asset-backed securities, corporate bonds, and certain municipal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certificates of deposit are classified as available for sale, and are considered as Level 1 assets. These investments are carried at amortized cost, which approximates fair value.</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On October 4, 2023, the Company entered into a Stock Purchase Agreement to acquire up to 3,137,500 shares of VOXX International Corporation ("VOXX") Class A Common Stock. The Company agreed to purchase the shares in two tranches: (1) on October 6, 2023, the Company purchased 1,568,750 shares of Class A Common Stock at a price of $10 per share, and (2) on January 5, 2024, the Company purchased 1,568,750 shares of Class A Common Stock at a price of $10 per share. The VOXX shares held by the Company are publicly traded and have a readily determinable fair market value and are considered Level 1 assets. The investment is accounted for in accordance with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xml:space="preserve"> with changes in fair value recorded in Investment income, net in consolidated statements of income. No significant changes in fair value related to the commitment to purchase the second tranche occurred between October 4, 2023 and December 31, 2023.</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Technology Investments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The Company also periodically makes strategic investments in the non-marketable debt or equity securities of non-consolidated third parties ("technology investments"). Such technology investments totaled approximately $128.0 million at December 31, 2023, of which $124.6 million and $3.4 million are recorded in long-term investments and short-term investments on the consolidated balance sheet, and $65.5 million as of December 31, 2022, of which $61.7 million and $3.8 million are recorded in long-term investments and short-term investments on the consolidated balance sheet. Depending on the form of investment, and the degree of influence the Company has over the investee, the Company primarily accounts for the technology investments in accordance with ASC 321, </w:t>
      </w:r>
      <w:r>
        <w:rPr>
          <w:rFonts w:ascii="Arial" w:cs="Arial" w:eastAsia="Arial" w:hAnsi="Arial"/>
          <w:sz w:val="17"/>
          <w:szCs w:val="17"/>
          <w:i w:val="1"/>
          <w:iCs w:val="1"/>
          <w:color w:val="auto"/>
        </w:rPr>
        <w:t>Investments- Equity Securities</w:t>
      </w:r>
      <w:r>
        <w:rPr>
          <w:rFonts w:ascii="Arial" w:cs="Arial" w:eastAsia="Arial" w:hAnsi="Arial"/>
          <w:sz w:val="17"/>
          <w:szCs w:val="17"/>
          <w:color w:val="auto"/>
        </w:rPr>
        <w:t xml:space="preserve"> or ASC 323 – Investments – </w:t>
      </w:r>
      <w:r>
        <w:rPr>
          <w:rFonts w:ascii="Arial" w:cs="Arial" w:eastAsia="Arial" w:hAnsi="Arial"/>
          <w:sz w:val="17"/>
          <w:szCs w:val="17"/>
          <w:i w:val="1"/>
          <w:iCs w:val="1"/>
          <w:color w:val="auto"/>
        </w:rPr>
        <w:t>Equity Method and Joint Venture</w:t>
      </w:r>
      <w:r>
        <w:rPr>
          <w:rFonts w:ascii="Arial" w:cs="Arial" w:eastAsia="Arial" w:hAnsi="Arial"/>
          <w:sz w:val="17"/>
          <w:szCs w:val="17"/>
          <w:color w:val="auto"/>
        </w:rPr>
        <w:t>. The Company accounts for equity securities in non-controlled affiliates through which the Company exercises significant influence but do not have control over the investee under the equity method, with the Company’s share of the earnings or losses of non-controlled affiliates recognized within Other (loss) income, net in the Company's consolidated statement of income. All other technology investments that the Company holds are primarily accounted for under the measurement alternative of ASC 321. Under the measurement alternative, the carrying value is measured at cost, less any impairment, plus or minus changes resulting from observable price changes in orderly transactions for identical or similar investments of the same issuer.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most significant technology investments is below:</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35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 xml:space="preserve">Adasky </w:t>
      </w:r>
      <w:r>
        <w:rPr>
          <w:rFonts w:ascii="Arial" w:cs="Arial" w:eastAsia="Arial" w:hAnsi="Arial"/>
          <w:sz w:val="17"/>
          <w:szCs w:val="17"/>
          <w:color w:val="auto"/>
        </w:rPr>
        <w:t>- Adasky is an Israeli based leading developer and manufacturer of intelligent, high-resolution thermal sensing systems for vehicle safety and</w:t>
      </w:r>
      <w:r>
        <w:rPr>
          <w:rFonts w:ascii="Arial" w:cs="Arial" w:eastAsia="Arial" w:hAnsi="Arial"/>
          <w:sz w:val="17"/>
          <w:szCs w:val="17"/>
          <w:i w:val="1"/>
          <w:iCs w:val="1"/>
          <w:color w:val="auto"/>
        </w:rPr>
        <w:t xml:space="preserve"> </w:t>
      </w:r>
      <w:r>
        <w:rPr>
          <w:rFonts w:ascii="Arial" w:cs="Arial" w:eastAsia="Arial" w:hAnsi="Arial"/>
          <w:sz w:val="17"/>
          <w:szCs w:val="17"/>
          <w:color w:val="auto"/>
        </w:rPr>
        <w:t>perception applications and smart city roadway solutions. During 2023, the Company invested approximately $ 46.5 million in Adasky, which resulted in an approximately 27% ownership stake in Adasky. These investments included approximately $25 million related to preferred shares of Adasky accounted for using the measurement alternative and $21.5 million for common shares of Adasky accounted for using the equity method. As of December 31, 2023, the carrying value of the Company’s investments in Adasky was $45.8 million.</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Green Marbles </w:t>
      </w:r>
      <w:r>
        <w:rPr>
          <w:rFonts w:ascii="Arial" w:cs="Arial" w:eastAsia="Arial" w:hAnsi="Arial"/>
          <w:sz w:val="17"/>
          <w:szCs w:val="17"/>
          <w:color w:val="auto"/>
        </w:rPr>
        <w:t>- GreenMarbles is a leading provider of sustainable solutions for integration into properties. On June 3, 2022, the Company obtained an</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 20% equity share in GreenMarbles for $ 25.0 million, consisting of $20.0 million of cash investment and the issuance of $5.0 million worth of Gentex common stock. The Company accounts for its investment in GreenMarbles using the equity method. As of December 31, 2023 and 2022, the carrying value of the investment in GreenMarbles was $22.6 million and $24.4 million, respectively.</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i w:val="1"/>
          <w:iCs w:val="1"/>
          <w:color w:val="auto"/>
        </w:rPr>
        <w:t xml:space="preserve">Simplenight - </w:t>
      </w:r>
      <w:r>
        <w:rPr>
          <w:rFonts w:ascii="Arial" w:cs="Arial" w:eastAsia="Arial" w:hAnsi="Arial"/>
          <w:sz w:val="17"/>
          <w:szCs w:val="17"/>
          <w:color w:val="auto"/>
        </w:rPr>
        <w:t>Simplenight provides drivers and vehicle occupants with access to enhanced mobile capability for booking personalized entertainment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lifestyle experiences in addition to everyday purchases. During the years ended December 31, 2023 and 2022, the Company made investments of $7.5 million and $7.5 million in Simplenight, respectively, and as of December 31, 2023, the Company has an approximately 30% ownership interest in Simplenight primarily accounted for using the measurement alternative. As of December 31, 2023 and 2022, the carrying value of the Company’s investments in Simplenight was $20.9 million and $12.9 million.</w:t>
      </w:r>
    </w:p>
    <w:p>
      <w:pPr>
        <w:spacing w:after="0" w:line="206"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i w:val="1"/>
          <w:iCs w:val="1"/>
          <w:color w:val="auto"/>
        </w:rPr>
        <w:t xml:space="preserve">Solace Power </w:t>
      </w:r>
      <w:r>
        <w:rPr>
          <w:rFonts w:ascii="Arial" w:cs="Arial" w:eastAsia="Arial" w:hAnsi="Arial"/>
          <w:sz w:val="17"/>
          <w:szCs w:val="17"/>
          <w:color w:val="auto"/>
        </w:rPr>
        <w:t>- Solace Power is a Canada-based company specializing in wireless power solutions. On December 12, 2023, the Company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a 13% equity interest in Solace Power, which is accounted for using the measurement alternative.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Assets or liabilities that have recurring fair value measurements are shown below as of December 31, 2023 and December 31, 2022:</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30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3"/>
                <w:szCs w:val="13"/>
                <w:b w:val="1"/>
                <w:bCs w:val="1"/>
                <w:color w:val="auto"/>
              </w:rPr>
              <w:t>Fair Value Measurements at Reporting Date Using</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2"/>
          </w:tcPr>
          <w:p>
            <w:pPr>
              <w:jc w:val="center"/>
              <w:ind w:right="340"/>
              <w:spacing w:after="0" w:line="131" w:lineRule="exact"/>
              <w:rPr>
                <w:sz w:val="20"/>
                <w:szCs w:val="20"/>
                <w:color w:val="auto"/>
              </w:rPr>
            </w:pPr>
            <w:r>
              <w:rPr>
                <w:rFonts w:ascii="Arial" w:cs="Arial" w:eastAsia="Arial" w:hAnsi="Arial"/>
                <w:sz w:val="13"/>
                <w:szCs w:val="13"/>
                <w:b w:val="1"/>
                <w:bCs w:val="1"/>
                <w:color w:val="auto"/>
              </w:rPr>
              <w:t>Quoted Prices in</w:t>
            </w:r>
          </w:p>
        </w:tc>
        <w:tc>
          <w:tcPr>
            <w:tcW w:w="220" w:type="dxa"/>
            <w:vAlign w:val="bottom"/>
          </w:tcPr>
          <w:p>
            <w:pPr>
              <w:spacing w:after="0"/>
              <w:rPr>
                <w:sz w:val="11"/>
                <w:szCs w:val="11"/>
                <w:color w:val="auto"/>
              </w:rPr>
            </w:pPr>
          </w:p>
        </w:tc>
        <w:tc>
          <w:tcPr>
            <w:tcW w:w="166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rPr>
              <w:t>Significant Other</w:t>
            </w:r>
          </w:p>
        </w:tc>
        <w:tc>
          <w:tcPr>
            <w:tcW w:w="280" w:type="dxa"/>
            <w:vAlign w:val="bottom"/>
          </w:tcPr>
          <w:p>
            <w:pPr>
              <w:spacing w:after="0"/>
              <w:rPr>
                <w:sz w:val="11"/>
                <w:szCs w:val="11"/>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rPr>
              <w:t>Significant</w:t>
            </w: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rPr>
              <w:t>Active Markets</w:t>
            </w:r>
          </w:p>
        </w:tc>
        <w:tc>
          <w:tcPr>
            <w:tcW w:w="2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vMerge w:val="restart"/>
          </w:tcPr>
          <w:p>
            <w:pPr>
              <w:jc w:val="right"/>
              <w:ind w:right="538"/>
              <w:spacing w:after="0"/>
              <w:rPr>
                <w:sz w:val="20"/>
                <w:szCs w:val="20"/>
                <w:color w:val="auto"/>
              </w:rPr>
            </w:pPr>
            <w:r>
              <w:rPr>
                <w:rFonts w:ascii="Arial" w:cs="Arial" w:eastAsia="Arial" w:hAnsi="Arial"/>
                <w:sz w:val="13"/>
                <w:szCs w:val="13"/>
                <w:b w:val="1"/>
                <w:bCs w:val="1"/>
                <w:color w:val="auto"/>
              </w:rPr>
              <w:t>Total as 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2"/>
          </w:tcPr>
          <w:p>
            <w:pPr>
              <w:jc w:val="center"/>
              <w:ind w:right="360"/>
              <w:spacing w:after="0" w:line="129" w:lineRule="exact"/>
              <w:rPr>
                <w:sz w:val="20"/>
                <w:szCs w:val="20"/>
                <w:color w:val="auto"/>
              </w:rPr>
            </w:pPr>
            <w:r>
              <w:rPr>
                <w:rFonts w:ascii="Arial" w:cs="Arial" w:eastAsia="Arial" w:hAnsi="Arial"/>
                <w:sz w:val="13"/>
                <w:szCs w:val="13"/>
                <w:b w:val="1"/>
                <w:bCs w:val="1"/>
                <w:color w:val="auto"/>
              </w:rPr>
              <w:t>for Identical</w:t>
            </w:r>
          </w:p>
        </w:tc>
        <w:tc>
          <w:tcPr>
            <w:tcW w:w="220" w:type="dxa"/>
            <w:vAlign w:val="bottom"/>
          </w:tcPr>
          <w:p>
            <w:pPr>
              <w:spacing w:after="0"/>
              <w:rPr>
                <w:sz w:val="11"/>
                <w:szCs w:val="11"/>
                <w:color w:val="auto"/>
              </w:rPr>
            </w:pPr>
          </w:p>
        </w:tc>
        <w:tc>
          <w:tcPr>
            <w:tcW w:w="1660" w:type="dxa"/>
            <w:vAlign w:val="bottom"/>
            <w:gridSpan w:val="2"/>
          </w:tcPr>
          <w:p>
            <w:pPr>
              <w:jc w:val="center"/>
              <w:ind w:right="340"/>
              <w:spacing w:after="0" w:line="129" w:lineRule="exact"/>
              <w:rPr>
                <w:sz w:val="20"/>
                <w:szCs w:val="20"/>
                <w:color w:val="auto"/>
              </w:rPr>
            </w:pPr>
            <w:r>
              <w:rPr>
                <w:rFonts w:ascii="Arial" w:cs="Arial" w:eastAsia="Arial" w:hAnsi="Arial"/>
                <w:sz w:val="13"/>
                <w:szCs w:val="13"/>
                <w:b w:val="1"/>
                <w:bCs w:val="1"/>
                <w:color w:val="auto"/>
              </w:rPr>
              <w:t>Observable</w:t>
            </w:r>
          </w:p>
        </w:tc>
        <w:tc>
          <w:tcPr>
            <w:tcW w:w="280" w:type="dxa"/>
            <w:vAlign w:val="bottom"/>
          </w:tcPr>
          <w:p>
            <w:pPr>
              <w:spacing w:after="0"/>
              <w:rPr>
                <w:sz w:val="11"/>
                <w:szCs w:val="11"/>
                <w:color w:val="auto"/>
              </w:rPr>
            </w:pPr>
          </w:p>
        </w:tc>
        <w:tc>
          <w:tcPr>
            <w:tcW w:w="1560" w:type="dxa"/>
            <w:vAlign w:val="bottom"/>
            <w:gridSpan w:val="2"/>
          </w:tcPr>
          <w:p>
            <w:pPr>
              <w:jc w:val="center"/>
              <w:ind w:right="340"/>
              <w:spacing w:after="0" w:line="129" w:lineRule="exact"/>
              <w:rPr>
                <w:sz w:val="20"/>
                <w:szCs w:val="20"/>
                <w:color w:val="auto"/>
              </w:rPr>
            </w:pPr>
            <w:r>
              <w:rPr>
                <w:rFonts w:ascii="Arial" w:cs="Arial" w:eastAsia="Arial" w:hAnsi="Arial"/>
                <w:sz w:val="13"/>
                <w:szCs w:val="13"/>
                <w:b w:val="1"/>
                <w:bCs w:val="1"/>
                <w:color w:val="auto"/>
              </w:rPr>
              <w:t>Unobservable</w:t>
            </w: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61"/>
              <w:spacing w:after="0"/>
              <w:rPr>
                <w:sz w:val="20"/>
                <w:szCs w:val="20"/>
                <w:color w:val="auto"/>
              </w:rPr>
            </w:pPr>
            <w:r>
              <w:rPr>
                <w:rFonts w:ascii="Arial" w:cs="Arial" w:eastAsia="Arial" w:hAnsi="Arial"/>
                <w:sz w:val="13"/>
                <w:szCs w:val="13"/>
                <w:b w:val="1"/>
                <w:bCs w:val="1"/>
                <w:color w:val="auto"/>
                <w:w w:val="98"/>
              </w:rPr>
              <w:t>Assets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rPr>
              <w:t>Inputs</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rPr>
              <w:t>Inputs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c>
          <w:tcPr>
            <w:tcW w:w="240" w:type="dxa"/>
            <w:vAlign w:val="bottom"/>
          </w:tcPr>
          <w:p>
            <w:pPr>
              <w:spacing w:after="0"/>
              <w:rPr>
                <w:sz w:val="15"/>
                <w:szCs w:val="15"/>
                <w:color w:val="auto"/>
              </w:rPr>
            </w:pPr>
          </w:p>
        </w:tc>
        <w:tc>
          <w:tcPr>
            <w:tcW w:w="1700" w:type="dxa"/>
            <w:vAlign w:val="bottom"/>
          </w:tcPr>
          <w:p>
            <w:pPr>
              <w:jc w:val="right"/>
              <w:ind w:right="258"/>
              <w:spacing w:after="0"/>
              <w:rPr>
                <w:sz w:val="20"/>
                <w:szCs w:val="20"/>
                <w:color w:val="auto"/>
              </w:rPr>
            </w:pPr>
            <w:r>
              <w:rPr>
                <w:rFonts w:ascii="Arial" w:cs="Arial" w:eastAsia="Arial" w:hAnsi="Arial"/>
                <w:sz w:val="13"/>
                <w:szCs w:val="13"/>
                <w:b w:val="1"/>
                <w:bCs w:val="1"/>
                <w:color w:val="auto"/>
              </w:rPr>
              <w:t>December 31, 2023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(Level I)</w:t>
            </w:r>
          </w:p>
        </w:tc>
        <w:tc>
          <w:tcPr>
            <w:tcW w:w="22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(Level 2)</w:t>
            </w:r>
          </w:p>
        </w:tc>
        <w:tc>
          <w:tcPr>
            <w:tcW w:w="280" w:type="dxa"/>
            <w:vAlign w:val="bottom"/>
          </w:tcPr>
          <w:p>
            <w:pPr>
              <w:spacing w:after="0"/>
              <w:rPr>
                <w:sz w:val="15"/>
                <w:szCs w:val="15"/>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207"/>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&amp; Cash Equivalents</w:t>
            </w: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226,435,019</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226,435,019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Certificate of Deposit</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994,013</w:t>
            </w:r>
          </w:p>
        </w:tc>
        <w:tc>
          <w:tcPr>
            <w:tcW w:w="380" w:type="dxa"/>
            <w:vAlign w:val="bottom"/>
            <w:gridSpan w:val="3"/>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994,013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Corporate Bonds</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1,943,886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1,943,886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Government Securities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4,759,507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4,759,507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Municipal Bonds</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1,726,658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1,726,658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1,465,388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1,465,388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20"/>
              <w:spacing w:after="0"/>
              <w:rPr>
                <w:sz w:val="20"/>
                <w:szCs w:val="20"/>
                <w:color w:val="auto"/>
              </w:rPr>
            </w:pPr>
            <w:r>
              <w:rPr>
                <w:rFonts w:ascii="Arial" w:cs="Arial" w:eastAsia="Arial" w:hAnsi="Arial"/>
                <w:sz w:val="17"/>
                <w:szCs w:val="17"/>
                <w:color w:val="auto"/>
              </w:rPr>
              <w:t>Long-Term Investments:</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Asset-backed Securities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27,146,504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27,146,504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Certificate of Deposit</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748,358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1"/>
              <w:spacing w:after="0"/>
              <w:rPr>
                <w:sz w:val="20"/>
                <w:szCs w:val="20"/>
                <w:color w:val="auto"/>
              </w:rPr>
            </w:pPr>
            <w:r>
              <w:rPr>
                <w:rFonts w:ascii="Arial" w:cs="Arial" w:eastAsia="Arial" w:hAnsi="Arial"/>
                <w:sz w:val="17"/>
                <w:szCs w:val="17"/>
                <w:color w:val="auto"/>
              </w:rPr>
              <w:t>748,358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Corporate Bonds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65,404,340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65,404,340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Government Securities</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6,227,129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6,227,129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Municipal Bonds</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56,336,921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56,336,921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tcPr>
          <w:p>
            <w:pPr>
              <w:ind w:left="320"/>
              <w:spacing w:after="0"/>
              <w:rPr>
                <w:sz w:val="20"/>
                <w:szCs w:val="20"/>
                <w:color w:val="auto"/>
              </w:rPr>
            </w:pPr>
            <w:r>
              <w:rPr>
                <w:rFonts w:ascii="Arial" w:cs="Arial" w:eastAsia="Arial" w:hAnsi="Arial"/>
                <w:sz w:val="17"/>
                <w:szCs w:val="17"/>
                <w:color w:val="auto"/>
              </w:rPr>
              <w:t>Common Stock</w:t>
            </w: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18,610,519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1"/>
              <w:spacing w:after="0"/>
              <w:rPr>
                <w:sz w:val="20"/>
                <w:szCs w:val="20"/>
                <w:color w:val="auto"/>
              </w:rPr>
            </w:pPr>
            <w:r>
              <w:rPr>
                <w:rFonts w:ascii="Arial" w:cs="Arial" w:eastAsia="Arial" w:hAnsi="Arial"/>
                <w:sz w:val="17"/>
                <w:szCs w:val="17"/>
                <w:color w:val="auto"/>
              </w:rPr>
              <w:t>18,610,519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500" w:type="dxa"/>
            <w:vAlign w:val="bottom"/>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411,798,242</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248,253,297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163,544,945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gridSpan w:val="3"/>
          </w:tcPr>
          <w:p>
            <w:pPr>
              <w:jc w:val="right"/>
              <w:ind w:right="76"/>
              <w:spacing w:after="0"/>
              <w:rPr>
                <w:sz w:val="20"/>
                <w:szCs w:val="20"/>
                <w:color w:val="auto"/>
              </w:rPr>
            </w:pPr>
            <w:r>
              <w:rPr>
                <w:rFonts w:ascii="Arial" w:cs="Arial" w:eastAsia="Arial" w:hAnsi="Arial"/>
                <w:sz w:val="17"/>
                <w:szCs w:val="17"/>
                <w:color w:val="auto"/>
              </w:rPr>
              <w:t>51</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5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340" w:type="dxa"/>
            <w:vAlign w:val="bottom"/>
            <w:tcBorders>
              <w:bottom w:val="single" w:sz="8" w:color="auto"/>
            </w:tcBorders>
            <w:gridSpan w:val="7"/>
          </w:tcPr>
          <w:p>
            <w:pPr>
              <w:ind w:left="980"/>
              <w:spacing w:after="0"/>
              <w:rPr>
                <w:sz w:val="20"/>
                <w:szCs w:val="20"/>
                <w:color w:val="auto"/>
              </w:rPr>
            </w:pPr>
            <w:r>
              <w:rPr>
                <w:rFonts w:ascii="Arial" w:cs="Arial" w:eastAsia="Arial" w:hAnsi="Arial"/>
                <w:sz w:val="13"/>
                <w:szCs w:val="13"/>
                <w:b w:val="1"/>
                <w:bCs w:val="1"/>
                <w:color w:val="auto"/>
              </w:rPr>
              <w:t>Fair Value Measurements at Reporting Date Using</w:t>
            </w:r>
          </w:p>
        </w:tc>
        <w:tc>
          <w:tcPr>
            <w:tcW w:w="0" w:type="dxa"/>
            <w:vAlign w:val="bottom"/>
          </w:tcPr>
          <w:p>
            <w:pPr>
              <w:spacing w:after="0"/>
              <w:rPr>
                <w:sz w:val="1"/>
                <w:szCs w:val="1"/>
                <w:color w:val="auto"/>
              </w:rPr>
            </w:pPr>
          </w:p>
        </w:tc>
      </w:tr>
      <w:tr>
        <w:trPr>
          <w:trHeight w:val="134"/>
        </w:trPr>
        <w:tc>
          <w:tcPr>
            <w:tcW w:w="3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2"/>
          </w:tcPr>
          <w:p>
            <w:pPr>
              <w:jc w:val="center"/>
              <w:ind w:right="340"/>
              <w:spacing w:after="0" w:line="134" w:lineRule="exact"/>
              <w:rPr>
                <w:sz w:val="20"/>
                <w:szCs w:val="20"/>
                <w:color w:val="auto"/>
              </w:rPr>
            </w:pPr>
            <w:r>
              <w:rPr>
                <w:rFonts w:ascii="Arial" w:cs="Arial" w:eastAsia="Arial" w:hAnsi="Arial"/>
                <w:sz w:val="13"/>
                <w:szCs w:val="13"/>
                <w:b w:val="1"/>
                <w:bCs w:val="1"/>
                <w:color w:val="auto"/>
              </w:rPr>
              <w:t>Quoted Prices in</w:t>
            </w:r>
          </w:p>
        </w:tc>
        <w:tc>
          <w:tcPr>
            <w:tcW w:w="260" w:type="dxa"/>
            <w:vAlign w:val="bottom"/>
          </w:tcPr>
          <w:p>
            <w:pPr>
              <w:spacing w:after="0"/>
              <w:rPr>
                <w:sz w:val="11"/>
                <w:szCs w:val="11"/>
                <w:color w:val="auto"/>
              </w:rPr>
            </w:pPr>
          </w:p>
        </w:tc>
        <w:tc>
          <w:tcPr>
            <w:tcW w:w="170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rPr>
              <w:t>Significant Other</w:t>
            </w:r>
          </w:p>
        </w:tc>
        <w:tc>
          <w:tcPr>
            <w:tcW w:w="260" w:type="dxa"/>
            <w:vAlign w:val="bottom"/>
          </w:tcPr>
          <w:p>
            <w:pPr>
              <w:spacing w:after="0"/>
              <w:rPr>
                <w:sz w:val="11"/>
                <w:szCs w:val="11"/>
                <w:color w:val="auto"/>
              </w:rPr>
            </w:pPr>
          </w:p>
        </w:tc>
        <w:tc>
          <w:tcPr>
            <w:tcW w:w="1440" w:type="dxa"/>
            <w:vAlign w:val="bottom"/>
            <w:vMerge w:val="restart"/>
          </w:tcPr>
          <w:p>
            <w:pPr>
              <w:jc w:val="center"/>
              <w:ind w:right="160"/>
              <w:spacing w:after="0"/>
              <w:rPr>
                <w:sz w:val="20"/>
                <w:szCs w:val="20"/>
                <w:color w:val="auto"/>
              </w:rPr>
            </w:pPr>
            <w:r>
              <w:rPr>
                <w:rFonts w:ascii="Arial" w:cs="Arial" w:eastAsia="Arial" w:hAnsi="Arial"/>
                <w:sz w:val="13"/>
                <w:szCs w:val="13"/>
                <w:b w:val="1"/>
                <w:bCs w:val="1"/>
                <w:color w:val="auto"/>
              </w:rPr>
              <w:t>Significant</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2"/>
          </w:tcPr>
          <w:p>
            <w:pPr>
              <w:jc w:val="center"/>
              <w:ind w:right="340"/>
              <w:spacing w:after="0" w:line="136" w:lineRule="exact"/>
              <w:rPr>
                <w:sz w:val="20"/>
                <w:szCs w:val="20"/>
                <w:color w:val="auto"/>
              </w:rPr>
            </w:pPr>
            <w:r>
              <w:rPr>
                <w:rFonts w:ascii="Arial" w:cs="Arial" w:eastAsia="Arial" w:hAnsi="Arial"/>
                <w:sz w:val="13"/>
                <w:szCs w:val="13"/>
                <w:b w:val="1"/>
                <w:bCs w:val="1"/>
                <w:color w:val="auto"/>
              </w:rPr>
              <w:t>Active Markets</w:t>
            </w:r>
          </w:p>
        </w:tc>
        <w:tc>
          <w:tcPr>
            <w:tcW w:w="26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rPr>
              <w:t>Total as of</w:t>
            </w:r>
          </w:p>
        </w:tc>
        <w:tc>
          <w:tcPr>
            <w:tcW w:w="240" w:type="dxa"/>
            <w:vAlign w:val="bottom"/>
          </w:tcPr>
          <w:p>
            <w:pPr>
              <w:spacing w:after="0"/>
              <w:rPr>
                <w:sz w:val="12"/>
                <w:szCs w:val="12"/>
                <w:color w:val="auto"/>
              </w:rPr>
            </w:pPr>
          </w:p>
        </w:tc>
        <w:tc>
          <w:tcPr>
            <w:tcW w:w="1680" w:type="dxa"/>
            <w:vAlign w:val="bottom"/>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rPr>
              <w:t>for Identical</w:t>
            </w:r>
          </w:p>
        </w:tc>
        <w:tc>
          <w:tcPr>
            <w:tcW w:w="260" w:type="dxa"/>
            <w:vAlign w:val="bottom"/>
          </w:tcPr>
          <w:p>
            <w:pPr>
              <w:spacing w:after="0"/>
              <w:rPr>
                <w:sz w:val="12"/>
                <w:szCs w:val="12"/>
                <w:color w:val="auto"/>
              </w:rPr>
            </w:pPr>
          </w:p>
        </w:tc>
        <w:tc>
          <w:tcPr>
            <w:tcW w:w="1700" w:type="dxa"/>
            <w:vAlign w:val="bottom"/>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rPr>
              <w:t>Observable</w:t>
            </w:r>
          </w:p>
        </w:tc>
        <w:tc>
          <w:tcPr>
            <w:tcW w:w="260" w:type="dxa"/>
            <w:vAlign w:val="bottom"/>
          </w:tcPr>
          <w:p>
            <w:pPr>
              <w:spacing w:after="0"/>
              <w:rPr>
                <w:sz w:val="12"/>
                <w:szCs w:val="12"/>
                <w:color w:val="auto"/>
              </w:rPr>
            </w:pPr>
          </w:p>
        </w:tc>
        <w:tc>
          <w:tcPr>
            <w:tcW w:w="1440" w:type="dxa"/>
            <w:vAlign w:val="bottom"/>
          </w:tcPr>
          <w:p>
            <w:pPr>
              <w:jc w:val="center"/>
              <w:ind w:right="160"/>
              <w:spacing w:after="0" w:line="139" w:lineRule="exact"/>
              <w:rPr>
                <w:sz w:val="20"/>
                <w:szCs w:val="20"/>
                <w:color w:val="auto"/>
              </w:rPr>
            </w:pPr>
            <w:r>
              <w:rPr>
                <w:rFonts w:ascii="Arial" w:cs="Arial" w:eastAsia="Arial" w:hAnsi="Arial"/>
                <w:sz w:val="13"/>
                <w:szCs w:val="13"/>
                <w:b w:val="1"/>
                <w:bCs w:val="1"/>
                <w:color w:val="auto"/>
              </w:rPr>
              <w:t>Unobservable</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161"/>
              <w:spacing w:after="0"/>
              <w:rPr>
                <w:sz w:val="20"/>
                <w:szCs w:val="20"/>
                <w:color w:val="auto"/>
              </w:rPr>
            </w:pPr>
            <w:r>
              <w:rPr>
                <w:rFonts w:ascii="Arial" w:cs="Arial" w:eastAsia="Arial" w:hAnsi="Arial"/>
                <w:sz w:val="13"/>
                <w:szCs w:val="13"/>
                <w:b w:val="1"/>
                <w:bCs w:val="1"/>
                <w:color w:val="auto"/>
                <w:w w:val="98"/>
              </w:rPr>
              <w:t>Assets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rPr>
              <w:t>Inputs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60"/>
              <w:spacing w:after="0"/>
              <w:rPr>
                <w:sz w:val="20"/>
                <w:szCs w:val="20"/>
                <w:color w:val="auto"/>
              </w:rPr>
            </w:pPr>
            <w:r>
              <w:rPr>
                <w:rFonts w:ascii="Arial" w:cs="Arial" w:eastAsia="Arial" w:hAnsi="Arial"/>
                <w:sz w:val="13"/>
                <w:szCs w:val="13"/>
                <w:b w:val="1"/>
                <w:bCs w:val="1"/>
                <w:color w:val="auto"/>
              </w:rPr>
              <w:t>Inputs</w:t>
            </w:r>
          </w:p>
        </w:tc>
        <w:tc>
          <w:tcPr>
            <w:tcW w:w="0" w:type="dxa"/>
            <w:vAlign w:val="bottom"/>
          </w:tcPr>
          <w:p>
            <w:pPr>
              <w:spacing w:after="0"/>
              <w:rPr>
                <w:sz w:val="1"/>
                <w:szCs w:val="1"/>
                <w:color w:val="auto"/>
              </w:rPr>
            </w:pPr>
          </w:p>
        </w:tc>
      </w:tr>
      <w:tr>
        <w:trPr>
          <w:trHeight w:val="181"/>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c>
          <w:tcPr>
            <w:tcW w:w="220" w:type="dxa"/>
            <w:vAlign w:val="bottom"/>
          </w:tcPr>
          <w:p>
            <w:pPr>
              <w:spacing w:after="0"/>
              <w:rPr>
                <w:sz w:val="15"/>
                <w:szCs w:val="15"/>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December 31, 2022</w:t>
            </w:r>
          </w:p>
        </w:tc>
        <w:tc>
          <w:tcPr>
            <w:tcW w:w="240" w:type="dxa"/>
            <w:vAlign w:val="bottom"/>
          </w:tcPr>
          <w:p>
            <w:pPr>
              <w:spacing w:after="0"/>
              <w:rPr>
                <w:sz w:val="15"/>
                <w:szCs w:val="15"/>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(Level I)</w:t>
            </w:r>
          </w:p>
        </w:tc>
        <w:tc>
          <w:tcPr>
            <w:tcW w:w="260" w:type="dxa"/>
            <w:vAlign w:val="bottom"/>
          </w:tcPr>
          <w:p>
            <w:pPr>
              <w:spacing w:after="0"/>
              <w:rPr>
                <w:sz w:val="15"/>
                <w:szCs w:val="15"/>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(Level 2)</w:t>
            </w:r>
          </w:p>
        </w:tc>
        <w:tc>
          <w:tcPr>
            <w:tcW w:w="260" w:type="dxa"/>
            <w:vAlign w:val="bottom"/>
          </w:tcPr>
          <w:p>
            <w:pPr>
              <w:spacing w:after="0"/>
              <w:rPr>
                <w:sz w:val="15"/>
                <w:szCs w:val="15"/>
                <w:color w:val="auto"/>
              </w:rPr>
            </w:pPr>
          </w:p>
        </w:tc>
        <w:tc>
          <w:tcPr>
            <w:tcW w:w="1440" w:type="dxa"/>
            <w:vAlign w:val="bottom"/>
          </w:tcPr>
          <w:p>
            <w:pPr>
              <w:jc w:val="center"/>
              <w:ind w:right="18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207"/>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&amp; Cash Equivalents</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214,754,638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214,754,638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4,000,000</w:t>
            </w:r>
          </w:p>
        </w:tc>
        <w:tc>
          <w:tcPr>
            <w:tcW w:w="100" w:type="dxa"/>
            <w:vAlign w:val="bottom"/>
          </w:tcPr>
          <w:p>
            <w:pPr>
              <w:spacing w:after="0"/>
              <w:rPr>
                <w:sz w:val="18"/>
                <w:szCs w:val="18"/>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
              <w:spacing w:after="0"/>
              <w:rPr>
                <w:sz w:val="20"/>
                <w:szCs w:val="20"/>
                <w:color w:val="auto"/>
              </w:rPr>
            </w:pPr>
            <w:r>
              <w:rPr>
                <w:rFonts w:ascii="Arial" w:cs="Arial" w:eastAsia="Arial" w:hAnsi="Arial"/>
                <w:sz w:val="17"/>
                <w:szCs w:val="17"/>
                <w:color w:val="auto"/>
              </w:rPr>
              <w:t>4,000,000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4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20" w:type="dxa"/>
            <w:vAlign w:val="bottom"/>
          </w:tcPr>
          <w:p>
            <w:pPr>
              <w:ind w:left="320"/>
              <w:spacing w:after="0"/>
              <w:rPr>
                <w:sz w:val="20"/>
                <w:szCs w:val="20"/>
                <w:color w:val="auto"/>
              </w:rPr>
            </w:pPr>
            <w:r>
              <w:rPr>
                <w:rFonts w:ascii="Arial" w:cs="Arial" w:eastAsia="Arial" w:hAnsi="Arial"/>
                <w:sz w:val="17"/>
                <w:szCs w:val="17"/>
                <w:color w:val="auto"/>
              </w:rPr>
              <w:t>Certificate of Deposit</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1,736,163</w:t>
            </w:r>
          </w:p>
        </w:tc>
        <w:tc>
          <w:tcPr>
            <w:tcW w:w="100" w:type="dxa"/>
            <w:vAlign w:val="bottom"/>
          </w:tcPr>
          <w:p>
            <w:pPr>
              <w:spacing w:after="0"/>
              <w:rPr>
                <w:sz w:val="18"/>
                <w:szCs w:val="18"/>
                <w:color w:val="auto"/>
              </w:rPr>
            </w:pPr>
          </w:p>
        </w:tc>
        <w:tc>
          <w:tcPr>
            <w:tcW w:w="2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
              <w:spacing w:after="0"/>
              <w:rPr>
                <w:sz w:val="20"/>
                <w:szCs w:val="20"/>
                <w:color w:val="auto"/>
              </w:rPr>
            </w:pPr>
            <w:r>
              <w:rPr>
                <w:rFonts w:ascii="Arial" w:cs="Arial" w:eastAsia="Arial" w:hAnsi="Arial"/>
                <w:sz w:val="17"/>
                <w:szCs w:val="17"/>
                <w:color w:val="auto"/>
              </w:rPr>
              <w:t>1,736,163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4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Corporate Bonds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5,473,341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5,473,341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tcPr>
          <w:p>
            <w:pPr>
              <w:ind w:left="320"/>
              <w:spacing w:after="0"/>
              <w:rPr>
                <w:sz w:val="20"/>
                <w:szCs w:val="20"/>
                <w:color w:val="auto"/>
              </w:rPr>
            </w:pPr>
            <w:r>
              <w:rPr>
                <w:rFonts w:ascii="Arial" w:cs="Arial" w:eastAsia="Arial" w:hAnsi="Arial"/>
                <w:sz w:val="17"/>
                <w:szCs w:val="17"/>
                <w:color w:val="auto"/>
              </w:rPr>
              <w:t>Government Securities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4,423,041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4,423,041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Municipal Bonds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5,174,773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5,174,773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tcPr>
          <w:p>
            <w:pPr>
              <w:ind w:left="32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2,347,602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1"/>
              <w:spacing w:after="0"/>
              <w:rPr>
                <w:sz w:val="20"/>
                <w:szCs w:val="20"/>
                <w:color w:val="auto"/>
              </w:rPr>
            </w:pPr>
            <w:r>
              <w:rPr>
                <w:rFonts w:ascii="Arial" w:cs="Arial" w:eastAsia="Arial" w:hAnsi="Arial"/>
                <w:sz w:val="17"/>
                <w:szCs w:val="17"/>
                <w:color w:val="auto"/>
              </w:rPr>
              <w:t>1,093,602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1,254,000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Investments: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20" w:type="dxa"/>
            <w:vAlign w:val="bottom"/>
          </w:tcPr>
          <w:p>
            <w:pPr>
              <w:ind w:left="320"/>
              <w:spacing w:after="0"/>
              <w:rPr>
                <w:sz w:val="20"/>
                <w:szCs w:val="20"/>
                <w:color w:val="auto"/>
              </w:rPr>
            </w:pPr>
            <w:r>
              <w:rPr>
                <w:rFonts w:ascii="Arial" w:cs="Arial" w:eastAsia="Arial" w:hAnsi="Arial"/>
                <w:sz w:val="17"/>
                <w:szCs w:val="17"/>
                <w:color w:val="auto"/>
              </w:rPr>
              <w:t>Asset-backed Securities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18,829,696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18,829,696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Certificate of Deposit</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238,925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238,925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tcPr>
          <w:p>
            <w:pPr>
              <w:ind w:left="320"/>
              <w:spacing w:after="0"/>
              <w:rPr>
                <w:sz w:val="20"/>
                <w:szCs w:val="20"/>
                <w:color w:val="auto"/>
              </w:rPr>
            </w:pPr>
            <w:r>
              <w:rPr>
                <w:rFonts w:ascii="Arial" w:cs="Arial" w:eastAsia="Arial" w:hAnsi="Arial"/>
                <w:sz w:val="17"/>
                <w:szCs w:val="17"/>
                <w:color w:val="auto"/>
              </w:rPr>
              <w:t>Corporate Bonds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36,310,477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36,310,477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Government Securities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36,532,634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36,532,634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tcPr>
          <w:p>
            <w:pPr>
              <w:ind w:left="320"/>
              <w:spacing w:after="0"/>
              <w:rPr>
                <w:sz w:val="20"/>
                <w:szCs w:val="20"/>
                <w:color w:val="auto"/>
              </w:rPr>
            </w:pPr>
            <w:r>
              <w:rPr>
                <w:rFonts w:ascii="Arial" w:cs="Arial" w:eastAsia="Arial" w:hAnsi="Arial"/>
                <w:sz w:val="17"/>
                <w:szCs w:val="17"/>
                <w:color w:val="auto"/>
              </w:rPr>
              <w:t>Municipal Bonds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48,430,166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48,430,166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Common Stock</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293,300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293,300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2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378,544,756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222,116,628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156,428,128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unrealized gains and losses, and market value of investment securities are shown as of December 31, 2023 and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3"/>
                <w:szCs w:val="13"/>
                <w:b w:val="1"/>
                <w:bCs w:val="1"/>
                <w:color w:val="auto"/>
              </w:rPr>
              <w:t>Unrealized</w:t>
            </w: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144"/>
        </w:trPr>
        <w:tc>
          <w:tcPr>
            <w:tcW w:w="404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2023</w:t>
            </w:r>
          </w:p>
        </w:tc>
        <w:tc>
          <w:tcPr>
            <w:tcW w:w="380" w:type="dxa"/>
            <w:vAlign w:val="bottom"/>
          </w:tcPr>
          <w:p>
            <w:pPr>
              <w:spacing w:after="0"/>
              <w:rPr>
                <w:sz w:val="12"/>
                <w:szCs w:val="12"/>
                <w:color w:val="auto"/>
              </w:rPr>
            </w:pPr>
          </w:p>
        </w:tc>
        <w:tc>
          <w:tcPr>
            <w:tcW w:w="1380" w:type="dxa"/>
            <w:vAlign w:val="bottom"/>
            <w:gridSpan w:val="2"/>
          </w:tcPr>
          <w:p>
            <w:pPr>
              <w:ind w:left="300"/>
              <w:spacing w:after="0" w:line="144" w:lineRule="exact"/>
              <w:rPr>
                <w:sz w:val="20"/>
                <w:szCs w:val="20"/>
                <w:color w:val="auto"/>
              </w:rPr>
            </w:pPr>
            <w:r>
              <w:rPr>
                <w:rFonts w:ascii="Arial" w:cs="Arial" w:eastAsia="Arial" w:hAnsi="Arial"/>
                <w:sz w:val="13"/>
                <w:szCs w:val="13"/>
                <w:b w:val="1"/>
                <w:bCs w:val="1"/>
                <w:color w:val="auto"/>
              </w:rPr>
              <w:t>Cost</w:t>
            </w:r>
          </w:p>
        </w:tc>
        <w:tc>
          <w:tcPr>
            <w:tcW w:w="380" w:type="dxa"/>
            <w:vAlign w:val="bottom"/>
          </w:tcPr>
          <w:p>
            <w:pPr>
              <w:spacing w:after="0"/>
              <w:rPr>
                <w:sz w:val="12"/>
                <w:szCs w:val="12"/>
                <w:color w:val="auto"/>
              </w:rPr>
            </w:pPr>
          </w:p>
        </w:tc>
        <w:tc>
          <w:tcPr>
            <w:tcW w:w="1360" w:type="dxa"/>
            <w:vAlign w:val="bottom"/>
            <w:gridSpan w:val="2"/>
          </w:tcPr>
          <w:p>
            <w:pPr>
              <w:ind w:left="260"/>
              <w:spacing w:after="0" w:line="144" w:lineRule="exact"/>
              <w:rPr>
                <w:sz w:val="20"/>
                <w:szCs w:val="20"/>
                <w:color w:val="auto"/>
              </w:rPr>
            </w:pPr>
            <w:r>
              <w:rPr>
                <w:rFonts w:ascii="Arial" w:cs="Arial" w:eastAsia="Arial" w:hAnsi="Arial"/>
                <w:sz w:val="13"/>
                <w:szCs w:val="13"/>
                <w:b w:val="1"/>
                <w:bCs w:val="1"/>
                <w:color w:val="auto"/>
              </w:rPr>
              <w:t>Gains</w:t>
            </w:r>
          </w:p>
        </w:tc>
        <w:tc>
          <w:tcPr>
            <w:tcW w:w="500" w:type="dxa"/>
            <w:vAlign w:val="bottom"/>
          </w:tcPr>
          <w:p>
            <w:pPr>
              <w:spacing w:after="0"/>
              <w:rPr>
                <w:sz w:val="12"/>
                <w:szCs w:val="12"/>
                <w:color w:val="auto"/>
              </w:rPr>
            </w:pPr>
          </w:p>
        </w:tc>
        <w:tc>
          <w:tcPr>
            <w:tcW w:w="128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Losses</w:t>
            </w:r>
          </w:p>
        </w:tc>
        <w:tc>
          <w:tcPr>
            <w:tcW w:w="300" w:type="dxa"/>
            <w:vAlign w:val="bottom"/>
          </w:tcPr>
          <w:p>
            <w:pPr>
              <w:spacing w:after="0"/>
              <w:rPr>
                <w:sz w:val="12"/>
                <w:szCs w:val="12"/>
                <w:color w:val="auto"/>
              </w:rPr>
            </w:pPr>
          </w:p>
        </w:tc>
        <w:tc>
          <w:tcPr>
            <w:tcW w:w="1560" w:type="dxa"/>
            <w:vAlign w:val="bottom"/>
          </w:tcPr>
          <w:p>
            <w:pPr>
              <w:jc w:val="right"/>
              <w:ind w:right="437"/>
              <w:spacing w:after="0" w:line="144" w:lineRule="exact"/>
              <w:rPr>
                <w:sz w:val="20"/>
                <w:szCs w:val="20"/>
                <w:color w:val="auto"/>
              </w:rPr>
            </w:pPr>
            <w:r>
              <w:rPr>
                <w:rFonts w:ascii="Arial" w:cs="Arial" w:eastAsia="Arial" w:hAnsi="Arial"/>
                <w:sz w:val="13"/>
                <w:szCs w:val="13"/>
                <w:b w:val="1"/>
                <w:bCs w:val="1"/>
                <w:color w:val="auto"/>
              </w:rPr>
              <w:t>Market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rPr>
              <w:t>Short-Term Investments: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Certificate of Deposit</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1,000,000</w:t>
            </w:r>
          </w:p>
        </w:tc>
        <w:tc>
          <w:tcPr>
            <w:tcW w:w="120" w:type="dxa"/>
            <w:vAlign w:val="bottom"/>
          </w:tcPr>
          <w:p>
            <w:pPr>
              <w:spacing w:after="0"/>
              <w:rPr>
                <w:sz w:val="18"/>
                <w:szCs w:val="18"/>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tcPr>
          <w:p>
            <w:pPr>
              <w:jc w:val="center"/>
              <w:ind w:right="27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(5,987)</w:t>
            </w:r>
          </w:p>
        </w:tc>
        <w:tc>
          <w:tcPr>
            <w:tcW w:w="12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994,013</w:t>
            </w: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Corporate Bonds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1,976,195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1,943,886</w:t>
            </w: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Government Securities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4,754,495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21,141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(16,129)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4,759,507</w:t>
            </w: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Municipal Bonds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1,749,038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1,726,658</w:t>
            </w: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Other</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1,465,388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28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1,465,388</w:t>
            </w:r>
          </w:p>
        </w:tc>
      </w:tr>
      <w:tr>
        <w:trPr>
          <w:trHeight w:val="214"/>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Investments: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Asset-backed Securities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26,923,803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331,847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(109,146)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27,146,504</w:t>
            </w: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Certificate of Deposit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748,358</w:t>
            </w: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Corporate Bonds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66,214,398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748,471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(1,558,529)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65,404,340</w:t>
            </w: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Government Securities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6,217,774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6,227,129</w:t>
            </w: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Municipal Bonds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58,261,615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811,128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(2,735,822)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56,336,921</w:t>
            </w: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Common Stock</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17,324,886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1,328,446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(42,813)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18,610,519</w:t>
            </w:r>
          </w:p>
        </w:tc>
      </w:tr>
      <w:tr>
        <w:trPr>
          <w:trHeight w:val="206"/>
        </w:trPr>
        <w:tc>
          <w:tcPr>
            <w:tcW w:w="20" w:type="dxa"/>
            <w:vAlign w:val="bottom"/>
          </w:tcPr>
          <w:p>
            <w:pPr>
              <w:spacing w:after="0"/>
              <w:rPr>
                <w:sz w:val="17"/>
                <w:szCs w:val="17"/>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186,637,592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3,251,708</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center"/>
              <w:ind w:right="27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(4,526,077)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185,363,223</w:t>
            </w: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Unrealized</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96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2022</w:t>
            </w:r>
          </w:p>
        </w:tc>
        <w:tc>
          <w:tcPr>
            <w:tcW w:w="380" w:type="dxa"/>
            <w:vAlign w:val="bottom"/>
          </w:tcPr>
          <w:p>
            <w:pPr>
              <w:spacing w:after="0"/>
              <w:rPr>
                <w:sz w:val="12"/>
                <w:szCs w:val="12"/>
                <w:color w:val="auto"/>
              </w:rPr>
            </w:pPr>
          </w:p>
        </w:tc>
        <w:tc>
          <w:tcPr>
            <w:tcW w:w="1380" w:type="dxa"/>
            <w:vAlign w:val="bottom"/>
            <w:gridSpan w:val="2"/>
          </w:tcPr>
          <w:p>
            <w:pPr>
              <w:ind w:left="300"/>
              <w:spacing w:after="0" w:line="144" w:lineRule="exact"/>
              <w:rPr>
                <w:sz w:val="20"/>
                <w:szCs w:val="20"/>
                <w:color w:val="auto"/>
              </w:rPr>
            </w:pPr>
            <w:r>
              <w:rPr>
                <w:rFonts w:ascii="Arial" w:cs="Arial" w:eastAsia="Arial" w:hAnsi="Arial"/>
                <w:sz w:val="13"/>
                <w:szCs w:val="13"/>
                <w:b w:val="1"/>
                <w:bCs w:val="1"/>
                <w:color w:val="auto"/>
              </w:rPr>
              <w:t>Cost</w:t>
            </w:r>
          </w:p>
        </w:tc>
        <w:tc>
          <w:tcPr>
            <w:tcW w:w="360" w:type="dxa"/>
            <w:vAlign w:val="bottom"/>
          </w:tcPr>
          <w:p>
            <w:pPr>
              <w:spacing w:after="0"/>
              <w:rPr>
                <w:sz w:val="12"/>
                <w:szCs w:val="12"/>
                <w:color w:val="auto"/>
              </w:rPr>
            </w:pPr>
          </w:p>
        </w:tc>
        <w:tc>
          <w:tcPr>
            <w:tcW w:w="1160" w:type="dxa"/>
            <w:vAlign w:val="bottom"/>
            <w:gridSpan w:val="2"/>
          </w:tcPr>
          <w:p>
            <w:pPr>
              <w:jc w:val="right"/>
              <w:ind w:right="458"/>
              <w:spacing w:after="0" w:line="144" w:lineRule="exact"/>
              <w:rPr>
                <w:sz w:val="20"/>
                <w:szCs w:val="20"/>
                <w:color w:val="auto"/>
              </w:rPr>
            </w:pPr>
            <w:r>
              <w:rPr>
                <w:rFonts w:ascii="Arial" w:cs="Arial" w:eastAsia="Arial" w:hAnsi="Arial"/>
                <w:sz w:val="13"/>
                <w:szCs w:val="13"/>
                <w:b w:val="1"/>
                <w:bCs w:val="1"/>
                <w:color w:val="auto"/>
              </w:rPr>
              <w:t>Gains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jc w:val="right"/>
              <w:ind w:right="337"/>
              <w:spacing w:after="0" w:line="144" w:lineRule="exact"/>
              <w:rPr>
                <w:sz w:val="20"/>
                <w:szCs w:val="20"/>
                <w:color w:val="auto"/>
              </w:rPr>
            </w:pPr>
            <w:r>
              <w:rPr>
                <w:rFonts w:ascii="Arial" w:cs="Arial" w:eastAsia="Arial" w:hAnsi="Arial"/>
                <w:sz w:val="13"/>
                <w:szCs w:val="13"/>
                <w:b w:val="1"/>
                <w:bCs w:val="1"/>
                <w:color w:val="auto"/>
              </w:rPr>
              <w:t>Losses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jc w:val="right"/>
              <w:ind w:right="377"/>
              <w:spacing w:after="0" w:line="144" w:lineRule="exact"/>
              <w:rPr>
                <w:sz w:val="20"/>
                <w:szCs w:val="20"/>
                <w:color w:val="auto"/>
              </w:rPr>
            </w:pPr>
            <w:r>
              <w:rPr>
                <w:rFonts w:ascii="Arial" w:cs="Arial" w:eastAsia="Arial" w:hAnsi="Arial"/>
                <w:sz w:val="13"/>
                <w:szCs w:val="13"/>
                <w:b w:val="1"/>
                <w:bCs w:val="1"/>
                <w:color w:val="auto"/>
              </w:rPr>
              <w:t>Market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94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rPr>
              <w:t>Short-Term Investments:</w:t>
            </w: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Certificate of Deposit</w:t>
            </w: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1,750,256</w:t>
            </w:r>
          </w:p>
        </w:tc>
        <w:tc>
          <w:tcPr>
            <w:tcW w:w="100" w:type="dxa"/>
            <w:vAlign w:val="bottom"/>
          </w:tcPr>
          <w:p>
            <w:pPr>
              <w:spacing w:after="0"/>
              <w:rPr>
                <w:sz w:val="18"/>
                <w:szCs w:val="18"/>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376"/>
              <w:spacing w:after="0"/>
              <w:rPr>
                <w:sz w:val="20"/>
                <w:szCs w:val="20"/>
                <w:color w:val="auto"/>
              </w:rPr>
            </w:pPr>
            <w:r>
              <w:rPr>
                <w:rFonts w:ascii="Arial" w:cs="Arial" w:eastAsia="Arial" w:hAnsi="Arial"/>
                <w:sz w:val="17"/>
                <w:szCs w:val="17"/>
                <w:color w:val="auto"/>
              </w:rPr>
              <w:t>$</w:t>
            </w: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(14,093)</w:t>
            </w:r>
          </w:p>
        </w:tc>
        <w:tc>
          <w:tcPr>
            <w:tcW w:w="180" w:type="dxa"/>
            <w:vAlign w:val="bottom"/>
          </w:tcPr>
          <w:p>
            <w:pPr>
              <w:spacing w:after="0"/>
              <w:rPr>
                <w:sz w:val="18"/>
                <w:szCs w:val="18"/>
                <w:color w:val="auto"/>
              </w:rPr>
            </w:pPr>
          </w:p>
        </w:tc>
        <w:tc>
          <w:tcPr>
            <w:tcW w:w="300" w:type="dxa"/>
            <w:vAlign w:val="bottom"/>
          </w:tcPr>
          <w:p>
            <w:pPr>
              <w:jc w:val="right"/>
              <w:ind w:right="105"/>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1,736,163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Corporate Bonds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5,571,417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(98,076)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5,473,341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Government Securities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4,476,613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(53,572)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4,423,041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Municipal Bonds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5,223,500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(48,727)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5,174,773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Other</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2,347,602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2,347,602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Investments: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Asset-backed Securities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19,151,229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(321,533)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18,829,696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Certificate of Deposit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(11,075)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Corporate Bonds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40,410,206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(4,099,729)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36,310,477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Government Securities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39,637,461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(3,104,827)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36,532,634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Municipal Bonds</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53,476,883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235,713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(5,282,430)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48,430,166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Common Stock</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292,638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172,587,805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236,375</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(13,034,062)</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05"/>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159,790,118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5720" w:type="dxa"/>
            <w:vAlign w:val="bottom"/>
            <w:gridSpan w:val="6"/>
          </w:tcPr>
          <w:p>
            <w:pPr>
              <w:spacing w:after="0"/>
              <w:rPr>
                <w:sz w:val="20"/>
                <w:szCs w:val="20"/>
                <w:color w:val="auto"/>
              </w:rPr>
            </w:pPr>
            <w:r>
              <w:rPr>
                <w:rFonts w:ascii="Arial" w:cs="Arial" w:eastAsia="Arial" w:hAnsi="Arial"/>
                <w:sz w:val="17"/>
                <w:szCs w:val="17"/>
                <w:color w:val="auto"/>
              </w:rPr>
              <w:t>Unrealized losses on investments as of December 31, 2023 are as follows: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6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140" w:type="dxa"/>
            <w:vAlign w:val="bottom"/>
            <w:tcBorders>
              <w:bottom w:val="single" w:sz="8" w:color="auto"/>
            </w:tcBorders>
            <w:gridSpan w:val="5"/>
          </w:tcPr>
          <w:p>
            <w:pPr>
              <w:jc w:val="right"/>
              <w:ind w:right="57"/>
              <w:spacing w:after="0"/>
              <w:rPr>
                <w:sz w:val="20"/>
                <w:szCs w:val="20"/>
                <w:color w:val="auto"/>
              </w:rPr>
            </w:pPr>
            <w:r>
              <w:rPr>
                <w:rFonts w:ascii="Arial" w:cs="Arial" w:eastAsia="Arial" w:hAnsi="Arial"/>
                <w:sz w:val="13"/>
                <w:szCs w:val="13"/>
                <w:b w:val="1"/>
                <w:bCs w:val="1"/>
                <w:color w:val="auto"/>
              </w:rPr>
              <w:t>Aggregate Unrealized Losses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277"/>
              <w:spacing w:after="0"/>
              <w:rPr>
                <w:sz w:val="20"/>
                <w:szCs w:val="20"/>
                <w:color w:val="auto"/>
              </w:rPr>
            </w:pPr>
            <w:r>
              <w:rPr>
                <w:rFonts w:ascii="Arial" w:cs="Arial" w:eastAsia="Arial" w:hAnsi="Arial"/>
                <w:sz w:val="13"/>
                <w:szCs w:val="13"/>
                <w:b w:val="1"/>
                <w:bCs w:val="1"/>
                <w:color w:val="auto"/>
              </w:rPr>
              <w:t>Aggregate Fair Value</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than one year</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13,449,592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Greater than one year</w:t>
            </w:r>
          </w:p>
        </w:tc>
        <w:tc>
          <w:tcPr>
            <w:tcW w:w="38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4,400,003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76,966,258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4,526,077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90,415,850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gridSpan w:val="6"/>
            <w:vMerge w:val="restart"/>
          </w:tcPr>
          <w:p>
            <w:pPr>
              <w:spacing w:after="0"/>
              <w:rPr>
                <w:sz w:val="20"/>
                <w:szCs w:val="20"/>
                <w:color w:val="auto"/>
              </w:rPr>
            </w:pPr>
            <w:r>
              <w:rPr>
                <w:rFonts w:ascii="Arial" w:cs="Arial" w:eastAsia="Arial" w:hAnsi="Arial"/>
                <w:sz w:val="17"/>
                <w:szCs w:val="17"/>
                <w:color w:val="auto"/>
              </w:rPr>
              <w:t>Unrealized losses on investments as of December 31, 2022 are as follows:</w:t>
            </w: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5720" w:type="dxa"/>
            <w:vAlign w:val="bottom"/>
            <w:gridSpan w:val="6"/>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6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140" w:type="dxa"/>
            <w:vAlign w:val="bottom"/>
            <w:tcBorders>
              <w:bottom w:val="single" w:sz="8" w:color="auto"/>
            </w:tcBorders>
            <w:gridSpan w:val="5"/>
          </w:tcPr>
          <w:p>
            <w:pPr>
              <w:jc w:val="right"/>
              <w:ind w:right="57"/>
              <w:spacing w:after="0"/>
              <w:rPr>
                <w:sz w:val="20"/>
                <w:szCs w:val="20"/>
                <w:color w:val="auto"/>
              </w:rPr>
            </w:pPr>
            <w:r>
              <w:rPr>
                <w:rFonts w:ascii="Arial" w:cs="Arial" w:eastAsia="Arial" w:hAnsi="Arial"/>
                <w:sz w:val="13"/>
                <w:szCs w:val="13"/>
                <w:b w:val="1"/>
                <w:bCs w:val="1"/>
                <w:color w:val="auto"/>
              </w:rPr>
              <w:t>Aggregate Unrealized Losses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277"/>
              <w:spacing w:after="0"/>
              <w:rPr>
                <w:sz w:val="20"/>
                <w:szCs w:val="20"/>
                <w:color w:val="auto"/>
              </w:rPr>
            </w:pPr>
            <w:r>
              <w:rPr>
                <w:rFonts w:ascii="Arial" w:cs="Arial" w:eastAsia="Arial" w:hAnsi="Arial"/>
                <w:sz w:val="13"/>
                <w:szCs w:val="13"/>
                <w:b w:val="1"/>
                <w:bCs w:val="1"/>
                <w:color w:val="auto"/>
              </w:rPr>
              <w:t>Aggregate Fair Value</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than one year</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4,816,103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77,701,146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Greater than one year</w:t>
            </w:r>
          </w:p>
        </w:tc>
        <w:tc>
          <w:tcPr>
            <w:tcW w:w="38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8,217,959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76,643,586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13,034,062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154,344,732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Effective January 1, 2020, the Company adopted Accounting Standards Update ("ASU") 2016-13, Financial Instruments - Credit Losses (Topic 326),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The guidance modifies the impairment model for available-for-sale debt securities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years presented. The Company has the intention and current ability to hold its debt investments until the amortized cost basis has been recovered. If market, industry, and/or investee conditions deteriorate, the Company may incur future impairments. No investments were considered to be other-than-temporarily impaired in 2023 and 2022.</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Fixed income securities as of December 31, 2023, have contractual maturities as follows: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GENTEX CORPORATION AND SUBSIDIARIES</w:t>
            </w:r>
          </w:p>
        </w:tc>
        <w:tc>
          <w:tcPr>
            <w:tcW w:w="1620" w:type="dxa"/>
            <w:vAlign w:val="bottom"/>
            <w:gridSpan w:val="2"/>
          </w:tcPr>
          <w:p>
            <w:pPr>
              <w:spacing w:after="0"/>
              <w:rPr>
                <w:sz w:val="16"/>
                <w:szCs w:val="16"/>
                <w:color w:val="auto"/>
              </w:rPr>
            </w:pPr>
          </w:p>
        </w:tc>
        <w:tc>
          <w:tcPr>
            <w:tcW w:w="6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1"/>
        </w:trPr>
        <w:tc>
          <w:tcPr>
            <w:tcW w:w="9060" w:type="dxa"/>
            <w:vAlign w:val="bottom"/>
            <w:gridSpan w:val="5"/>
          </w:tcPr>
          <w:p>
            <w:pPr>
              <w:jc w:val="center"/>
              <w:ind w:left="2116"/>
              <w:spacing w:after="0" w:line="181" w:lineRule="exact"/>
              <w:rPr>
                <w:sz w:val="20"/>
                <w:szCs w:val="20"/>
                <w:color w:val="auto"/>
              </w:rPr>
            </w:pPr>
            <w:r>
              <w:rPr>
                <w:rFonts w:ascii="Arial" w:cs="Arial" w:eastAsia="Arial" w:hAnsi="Arial"/>
                <w:sz w:val="17"/>
                <w:szCs w:val="17"/>
                <w:b w:val="1"/>
                <w:bCs w:val="1"/>
                <w:color w:val="auto"/>
                <w:w w:val="97"/>
              </w:rPr>
              <w:t>NOTES TO CONSOLIDATED FINANCIAL STATEMENTS</w:t>
            </w:r>
          </w:p>
        </w:tc>
        <w:tc>
          <w:tcPr>
            <w:tcW w:w="6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1"/>
        </w:trPr>
        <w:tc>
          <w:tcPr>
            <w:tcW w:w="34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0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7"/>
                <w:szCs w:val="17"/>
                <w:b w:val="1"/>
                <w:bCs w:val="1"/>
                <w:color w:val="auto"/>
                <w:w w:val="98"/>
              </w:rPr>
              <w:t>(Continued)</w:t>
            </w: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0"/>
        </w:trPr>
        <w:tc>
          <w:tcPr>
            <w:tcW w:w="9060" w:type="dxa"/>
            <w:vAlign w:val="bottom"/>
            <w:gridSpan w:val="5"/>
          </w:tcPr>
          <w:p>
            <w:pPr>
              <w:spacing w:after="0"/>
              <w:rPr>
                <w:sz w:val="20"/>
                <w:szCs w:val="20"/>
                <w:color w:val="auto"/>
              </w:rPr>
            </w:pPr>
            <w:r>
              <w:rPr>
                <w:rFonts w:ascii="Arial" w:cs="Arial" w:eastAsia="Arial" w:hAnsi="Arial"/>
                <w:sz w:val="17"/>
                <w:szCs w:val="17"/>
                <w:color w:val="auto"/>
              </w:rPr>
              <w:t>(1)  SUMMARY OF SIGNIFICANT ACCOUNTING AND REPORTING POLICIES, continued</w:t>
            </w: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7"/>
        </w:trPr>
        <w:tc>
          <w:tcPr>
            <w:tcW w:w="906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4"/>
        </w:trPr>
        <w:tc>
          <w:tcPr>
            <w:tcW w:w="906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Due within one year</w:t>
            </w: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9,953,308</w:t>
            </w:r>
          </w:p>
        </w:tc>
      </w:tr>
      <w:tr>
        <w:trPr>
          <w:trHeight w:val="214"/>
        </w:trPr>
        <w:tc>
          <w:tcPr>
            <w:tcW w:w="9060" w:type="dxa"/>
            <w:vAlign w:val="bottom"/>
            <w:gridSpan w:val="5"/>
          </w:tcPr>
          <w:p>
            <w:pPr>
              <w:ind w:left="20"/>
              <w:spacing w:after="0"/>
              <w:rPr>
                <w:sz w:val="20"/>
                <w:szCs w:val="20"/>
                <w:color w:val="auto"/>
              </w:rPr>
            </w:pPr>
            <w:r>
              <w:rPr>
                <w:rFonts w:ascii="Arial" w:cs="Arial" w:eastAsia="Arial" w:hAnsi="Arial"/>
                <w:sz w:val="17"/>
                <w:szCs w:val="17"/>
                <w:color w:val="auto"/>
              </w:rPr>
              <w:t>Due between one and five years</w:t>
            </w:r>
          </w:p>
        </w:tc>
        <w:tc>
          <w:tcPr>
            <w:tcW w:w="6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94,519,794</w:t>
            </w:r>
          </w:p>
        </w:tc>
      </w:tr>
      <w:tr>
        <w:trPr>
          <w:trHeight w:val="214"/>
        </w:trPr>
        <w:tc>
          <w:tcPr>
            <w:tcW w:w="906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Due over five years</w:t>
            </w:r>
          </w:p>
        </w:tc>
        <w:tc>
          <w:tcPr>
            <w:tcW w:w="6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60,814,214</w:t>
            </w:r>
          </w:p>
        </w:tc>
      </w:tr>
      <w:tr>
        <w:trPr>
          <w:trHeight w:val="206"/>
        </w:trPr>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165,287,316</w:t>
            </w:r>
          </w:p>
        </w:tc>
      </w:tr>
      <w:tr>
        <w:trPr>
          <w:trHeight w:val="20"/>
        </w:trPr>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 of Financial Instruments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Company’s financial instruments consist of cash and cash equivalents, investments, accounts receivable, accounts payable, and short and long-term debt. The Company’s estimate of the fair values of these financial instruments approximates their carrying amounts at December 31, 2023 and 2022.</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Inventories</w:t>
      </w:r>
    </w:p>
    <w:p>
      <w:pPr>
        <w:spacing w:after="0" w:line="13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Inventories include material, direct labor and manufacturing overhead and are valued at the lower of cost or net realizable value. Cost is determined on a standard cost basis that approximates the first-in, first-out (FIFO) method. Inventories consisted of the following as of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2022</w:t>
            </w:r>
          </w:p>
        </w:tc>
      </w:tr>
      <w:tr>
        <w:trPr>
          <w:trHeight w:val="207"/>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283,126,566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304,184,004</w:t>
            </w:r>
          </w:p>
        </w:tc>
      </w:tr>
      <w:tr>
        <w:trPr>
          <w:trHeight w:val="214"/>
        </w:trPr>
        <w:tc>
          <w:tcPr>
            <w:tcW w:w="7480" w:type="dxa"/>
            <w:vAlign w:val="bottom"/>
          </w:tcPr>
          <w:p>
            <w:pPr>
              <w:ind w:left="20"/>
              <w:spacing w:after="0"/>
              <w:rPr>
                <w:sz w:val="20"/>
                <w:szCs w:val="20"/>
                <w:color w:val="auto"/>
              </w:rPr>
            </w:pPr>
            <w:r>
              <w:rPr>
                <w:rFonts w:ascii="Arial" w:cs="Arial" w:eastAsia="Arial" w:hAnsi="Arial"/>
                <w:sz w:val="17"/>
                <w:szCs w:val="17"/>
                <w:color w:val="auto"/>
              </w:rPr>
              <w:t>Work-in-process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46,343,955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45,512,275</w:t>
            </w: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73,002,507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54,663,991</w:t>
            </w:r>
          </w:p>
        </w:tc>
      </w:tr>
      <w:tr>
        <w:trPr>
          <w:trHeight w:val="206"/>
        </w:trPr>
        <w:tc>
          <w:tcPr>
            <w:tcW w:w="7480" w:type="dxa"/>
            <w:vAlign w:val="bottom"/>
          </w:tcPr>
          <w:p>
            <w:pPr>
              <w:ind w:left="20"/>
              <w:spacing w:after="0"/>
              <w:rPr>
                <w:sz w:val="20"/>
                <w:szCs w:val="20"/>
                <w:color w:val="auto"/>
              </w:rPr>
            </w:pPr>
            <w:r>
              <w:rPr>
                <w:rFonts w:ascii="Arial" w:cs="Arial" w:eastAsia="Arial" w:hAnsi="Arial"/>
                <w:sz w:val="17"/>
                <w:szCs w:val="17"/>
                <w:color w:val="auto"/>
              </w:rPr>
              <w:t>Total Inventory</w:t>
            </w: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402,473,028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404,360,270</w:t>
            </w:r>
          </w:p>
        </w:tc>
      </w:tr>
      <w:tr>
        <w:trPr>
          <w:trHeight w:val="20"/>
        </w:trPr>
        <w:tc>
          <w:tcPr>
            <w:tcW w:w="7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Estimated inventory allowances for slow-moving and obsolete inventories are based on current assessments of future demands, market conditions, evaluation of longer lead times for certain electronic components and related management initiatives. If market conditions or customer requirements change and are less favorable than those projected by management, inventory allowances are adjusted accordingly. Allowances for slow-moving and obsolete inventories (which are included, net, in the above inventory values) were $10.3 million and $10.0 million at December 31, 2023 and 2022,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Plant and Equipment</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Plant and equipment is stated at cost. Depreciation and amortization are computed for financial reporting purposes using the straight-line method, with estimated useful lives of 7 to 30 years for buildings and improvements, and 3 to 10 years for machinery and equipment. Depreciation expense was approximately $73.6 million, $74.9 million and $76.8 million in 2023, 2022 and 2021,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or Disposal of Long-Lived Assets</w:t>
      </w:r>
    </w:p>
    <w:p>
      <w:pPr>
        <w:spacing w:after="0" w:line="1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The Company reviews long-lived assets, including property, plant and equipment and other intangible assets with definite lives, for impairment whenever events or changes in circumstances indicate that the asset’s carrying amount may not be recoverable. The Company conducts its long-lived asset impairment analysis in accordance with ASC 360-10-15,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ASC 360-10-15 requires the Company to group assets and liabilities at the lowest level for which identifiable cash flows are largely independent of the cash flows of other assets and liabilities and evaluate the asset group against the sum of the undiscounted future cash flows. If the undiscounted cash flows do not indicate the carrying amount of the asset is recoverable, an impairment charge is measured as the amount by which the carrying amount of the asset group exceeds its fair value based on discounted cash flow analysis or appraisals.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Patents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Company’s policy is to capitalize costs incurred to obtain patents. The cost of patents is amortized over their useful lives. The cost of patents in process is not amortized until issuance. The Company periodically obtains intellectual property rights, in the ordinary course of business, and the cost of the rights are amortized over their useful lives.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Goodwill and Intangible Assets</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Goodwill reflects the cost of an acquisition in excess of the fair values assigned to identifiable net assets acquired. The Company reviews goodwill for impairment during the fourth quarter on an annual basis or more frequently if events or changes in circumstances indicate that goodwill might be impaired. The Company performs an impairment review for its Automotive and Other reporting units, which have been determined to be the Company’s reportable segments, using either a qualitative approach or quantitative approach which utilizes a fair value method that incorporates certain assumptions and judgments. The fair value of a reporting unit refers to the price that would be received to sell the unit as a whole in an orderly transaction between market participants at the measurement date. The Company performs a qualitative assessment (step 0) to determine whether it is more likely than not that a reporting unit's fair value is less than its carrying amount. If not, no further goodwill impairment testing is performed. If so, the Company performs a step 1 test to determine the fair value of the reporting unit using an income approach to estimate the fair value of each of its reporting units and a market valuation approach to further support this analysis. If the fair value of the reporting unit is greater than its carrying amount, goodwill is not considered to be impaired. However, if the fair value of the reporting unit is less than its carrying amount, an impairment change is recorded as the excess of the reporting unit's carrying value over its fair value.</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assumptions included in the impairment tests require judgment and changes to these inputs could impact the results of the calculations which could result in an impairment charge in future periods if the carrying amount of the reporting unit exceeds its calculated fair value. For the qualitative assessment performed, management considers factors such as macro-economic conditions, industry and market considerations, overall financial performance, and other Company-specific events, amongst other factors, in making the determination as to whether it is more likely than not that a reporting unit's fair value is less than its carrying amount. Other than management's internal projections of future cash flows, the primary assumptions used in the step 1 impairment test is the weighted-average cost of capital and long-term growth rates. Although the Company's cash flow forecasts are based on assumptions that are considered reasonable by management and consistent with the plans and estimates management is using to operate the underlying business, there are significant judgments in determining the expected future cash flows attributable to a reporting unit. There have been no impairment charges recorded currently or in prior periods in which goodwill existed.</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Indefinite lived intangible assets are also subject to annual impairment testing or more frequently if indicators of impairment are identified. Management's judgment and assumptions are required in determining the underlying fair value of the indefinite lived intangible assets. While the Company believes the judgments and assumptions used in determining fair value are reasonable, different assumptions could change the estimated fair values and, therefore, impairment charges could be required, which could be material to the consolidated financial statements. The Company performs a qualitative assessment (step 0) to determine whether it is more likely than not that an intangible asset's fair value is less than its carrying amount. If not, no further impairment testing over the indefinite lived intangible assets is performed. The indefinite lived intangible assets were not impaired as a result of the annual test prepared by management for either period presented.</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part of recent acquisitions, the Company acquired Indefinite lived in-process research and development ("IPR&amp;D") intangible assets. These IPR&amp;D assets are not amortized, but are tested for impairment annually, or more frequently when indicators of potential impairment exist, until the completion or abandonment of the associated research and development efforts. Upon completion of the projects, the assets will be amortized over the expected economic life of the asset, which will be determined on that date. Should the project be determined to be abandoned, and if the asset developed has no alternative use, the full value of the asset will be charged to expense.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0000FF"/>
        </w:rPr>
        <w:t>Note 10, "Goodwill and Intangible Assets"</w:t>
      </w:r>
      <w:r>
        <w:rPr>
          <w:rFonts w:ascii="Arial" w:cs="Arial" w:eastAsia="Arial" w:hAnsi="Arial"/>
          <w:sz w:val="17"/>
          <w:szCs w:val="17"/>
          <w:color w:val="auto"/>
        </w:rPr>
        <w:t xml:space="preserve"> for information regarding the impairment testing performed in calendar year 2023.</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7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The Company recognizes revenue in accordance with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Accordingly, revenue is recognized in an amount that reflects the consideration to which the Company expects to be entitled in 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in the ordinary course of business. Typically, such purchase orders provide the annual terms, including pricing, related to a particular vehicle model. Purchase orders generally do not specify quantities. The Company recognizes revenue based on the pricing terms included in such annual purchase orders.</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As part of certain agreements, entered into in the ordinary course of business, the Company is asked to provide customers with annual price reductions. Such amounts are subject to estimate and are accrued as a reduction of revenue as control of the products is transferred to the customer under standard commercial terms.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pricing arrangements with customers based on the related content, the cost of Company products and other commercial factors. Such pricing accruals are adjusted as they are settled with customers. Refer to </w:t>
      </w:r>
      <w:r>
        <w:rPr>
          <w:rFonts w:ascii="Arial" w:cs="Arial" w:eastAsia="Arial" w:hAnsi="Arial"/>
          <w:sz w:val="17"/>
          <w:szCs w:val="17"/>
          <w:u w:val="single" w:color="auto"/>
          <w:color w:val="0000FF"/>
        </w:rPr>
        <w:t>Note 11, "Revenue"</w:t>
      </w:r>
      <w:r>
        <w:rPr>
          <w:rFonts w:ascii="Arial" w:cs="Arial" w:eastAsia="Arial" w:hAnsi="Arial"/>
          <w:sz w:val="17"/>
          <w:szCs w:val="17"/>
          <w:color w:val="auto"/>
        </w:rPr>
        <w:t>, for further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Advertising and Promotional Materials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advertising and promotional costs are expensed as incurred and amounted to approximately $3.4 million, $3.3 million and $1.8 million, in 2023, 2022 and 2021,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Repairs and Maintenance</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Major renewals and improvements of property and equipment are capitalized, and repairs and maintenance are expensed as incurred. The Company incurred expenses relating to the repair and maintenance of plant and equipment of approximately $31.0 million, $27.9 million and $24.2 million, in 2023, 2022 and 2021,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Self-Insurance</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is self-insured for a portion of its risk on workers’ compensation and employee medical costs. The arrangements provide for stop loss insurance to manage the Company’s risk. Such costs are accrued based on known claims and an estimate of incurred, but not reported ("IBNR") claims. IBNR claims are estimated using historical lag information and other data provided by claims administrators. This estimation process is subjective, and to the extent that future results differ from original estimates, adjustments to recorded accruals may be necessary.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Product Warranty</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periodically incurs product warranty costs. Any liabilities associated with product warranty are estimated based on known facts and circumstances and are not significant at December 31, 2023, 2022 and 2021. The Company does not offer extended warranties on its products.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The provision for income taxes is based on the earnings reported in the consolidated financial statements. Deferred income tax assets and liabilities are computed for differences between the financial statement and tax basis of assets and liabilities that will result in deductible or taxable amounts in the future. Such deferred income tax asset and liability computations are based on enacted tax laws and rates. The Company applies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as it relates to uncertainty in income taxes recognized in the Company’s consolidated financial statements. A threshold of more likely than not to be sustained upon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examination is applied to uncertain tax positions. The Company deems the estimates related to this provision to be reasonable, however, no assurance can be given that the final outcome of these matters will not vary from what is reflected in the historical income tax provisions and accruals.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operating leases for corporate offices, warehouses, vehicles, and other equipment, which are included within "Patents and other assets" section of the Consolidated Balance Sheets. The leases have remaining lease terms of 1 year to 5 years. The weighted average remaining lease term for operating leases as of December 31, 2023 was 3 years, with a weighted average discount rate of 6.4%. Future minimum lease payments for operating leases are as follows: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25970" cy="135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25970" cy="135890"/>
                    </a:xfrm>
                    <a:prstGeom prst="rect">
                      <a:avLst/>
                    </a:prstGeom>
                    <a:noFill/>
                  </pic:spPr>
                </pic:pic>
              </a:graphicData>
            </a:graphic>
          </wp:anchor>
        </w:drawing>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1,857,325</w:t>
            </w:r>
          </w:p>
        </w:tc>
      </w:tr>
      <w:tr>
        <w:trPr>
          <w:trHeight w:val="214"/>
        </w:trPr>
        <w:tc>
          <w:tcPr>
            <w:tcW w:w="8100" w:type="dxa"/>
            <w:vAlign w:val="bottom"/>
          </w:tcPr>
          <w:p>
            <w:pPr>
              <w:ind w:left="20"/>
              <w:spacing w:after="0"/>
              <w:rPr>
                <w:sz w:val="20"/>
                <w:szCs w:val="20"/>
                <w:color w:val="auto"/>
              </w:rPr>
            </w:pPr>
            <w:r>
              <w:rPr>
                <w:rFonts w:ascii="Arial" w:cs="Arial" w:eastAsia="Arial" w:hAnsi="Arial"/>
                <w:sz w:val="17"/>
                <w:szCs w:val="17"/>
                <w:color w:val="auto"/>
              </w:rPr>
              <w:t>2025</w:t>
            </w:r>
          </w:p>
        </w:tc>
        <w:tc>
          <w:tcPr>
            <w:tcW w:w="1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1,091,917</w:t>
            </w:r>
          </w:p>
        </w:tc>
      </w:tr>
      <w:tr>
        <w:trPr>
          <w:trHeight w:val="214"/>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545,291</w:t>
            </w:r>
          </w:p>
        </w:tc>
      </w:tr>
      <w:tr>
        <w:trPr>
          <w:trHeight w:val="214"/>
        </w:trPr>
        <w:tc>
          <w:tcPr>
            <w:tcW w:w="8100" w:type="dxa"/>
            <w:vAlign w:val="bottom"/>
          </w:tcPr>
          <w:p>
            <w:pPr>
              <w:ind w:left="20"/>
              <w:spacing w:after="0"/>
              <w:rPr>
                <w:sz w:val="20"/>
                <w:szCs w:val="20"/>
                <w:color w:val="auto"/>
              </w:rPr>
            </w:pPr>
            <w:r>
              <w:rPr>
                <w:rFonts w:ascii="Arial" w:cs="Arial" w:eastAsia="Arial" w:hAnsi="Arial"/>
                <w:sz w:val="17"/>
                <w:szCs w:val="17"/>
                <w:color w:val="auto"/>
              </w:rPr>
              <w:t>2027</w:t>
            </w:r>
          </w:p>
        </w:tc>
        <w:tc>
          <w:tcPr>
            <w:tcW w:w="1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242,712</w:t>
            </w:r>
          </w:p>
        </w:tc>
      </w:tr>
      <w:tr>
        <w:trPr>
          <w:trHeight w:val="214"/>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1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3,846</w:t>
            </w:r>
          </w:p>
        </w:tc>
      </w:tr>
      <w:tr>
        <w:trPr>
          <w:trHeight w:val="206"/>
        </w:trPr>
        <w:tc>
          <w:tcPr>
            <w:tcW w:w="8100" w:type="dxa"/>
            <w:vAlign w:val="bottom"/>
          </w:tcPr>
          <w:p>
            <w:pPr>
              <w:ind w:left="200"/>
              <w:spacing w:after="0"/>
              <w:rPr>
                <w:sz w:val="20"/>
                <w:szCs w:val="20"/>
                <w:color w:val="auto"/>
              </w:rPr>
            </w:pPr>
            <w:r>
              <w:rPr>
                <w:rFonts w:ascii="Arial" w:cs="Arial" w:eastAsia="Arial" w:hAnsi="Arial"/>
                <w:sz w:val="17"/>
                <w:szCs w:val="17"/>
                <w:color w:val="auto"/>
              </w:rPr>
              <w:t>Total future minimum lease payments</w:t>
            </w:r>
          </w:p>
        </w:tc>
        <w:tc>
          <w:tcPr>
            <w:tcW w:w="1200" w:type="dxa"/>
            <w:vAlign w:val="bottom"/>
          </w:tcPr>
          <w:p>
            <w:pPr>
              <w:jc w:val="right"/>
              <w:ind w:right="996"/>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3,741,091</w:t>
            </w:r>
          </w:p>
        </w:tc>
      </w:tr>
      <w:tr>
        <w:trPr>
          <w:trHeight w:val="214"/>
        </w:trPr>
        <w:tc>
          <w:tcPr>
            <w:tcW w:w="8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 imputed interest</w:t>
            </w:r>
          </w:p>
        </w:tc>
        <w:tc>
          <w:tcPr>
            <w:tcW w:w="1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(170,876)</w:t>
            </w:r>
          </w:p>
        </w:tc>
      </w:tr>
      <w:tr>
        <w:trPr>
          <w:trHeight w:val="206"/>
        </w:trPr>
        <w:tc>
          <w:tcPr>
            <w:tcW w:w="8100" w:type="dxa"/>
            <w:vAlign w:val="bottom"/>
          </w:tcPr>
          <w:p>
            <w:pPr>
              <w:ind w:left="20"/>
              <w:spacing w:after="0"/>
              <w:rPr>
                <w:sz w:val="20"/>
                <w:szCs w:val="20"/>
                <w:color w:val="auto"/>
              </w:rPr>
            </w:pPr>
            <w:r>
              <w:rPr>
                <w:rFonts w:ascii="Arial" w:cs="Arial" w:eastAsia="Arial" w:hAnsi="Arial"/>
                <w:sz w:val="17"/>
                <w:szCs w:val="17"/>
                <w:color w:val="auto"/>
              </w:rPr>
              <w:t>Total</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3,570,215</w:t>
            </w:r>
          </w:p>
        </w:tc>
      </w:tr>
      <w:tr>
        <w:trPr>
          <w:trHeight w:val="20"/>
        </w:trPr>
        <w:tc>
          <w:tcPr>
            <w:tcW w:w="8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Earnings Per Share</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w:t>
      </w:r>
    </w:p>
    <w:p>
      <w:pPr>
        <w:spacing w:after="0" w:line="1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following table sets forth the computation of basic and diluted net income per common share under the two-class method for each of the last three years: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2023</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2021</w:t>
            </w:r>
          </w:p>
        </w:tc>
      </w:tr>
      <w:tr>
        <w:trPr>
          <w:trHeight w:val="169"/>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Basic Earnings Per Share</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4"/>
        </w:trPr>
        <w:tc>
          <w:tcPr>
            <w:tcW w:w="6200" w:type="dxa"/>
            <w:vAlign w:val="bottom"/>
          </w:tcPr>
          <w:p>
            <w:pPr>
              <w:ind w:left="320"/>
              <w:spacing w:after="0"/>
              <w:rPr>
                <w:sz w:val="20"/>
                <w:szCs w:val="20"/>
                <w:color w:val="auto"/>
              </w:rPr>
            </w:pPr>
            <w:r>
              <w:rPr>
                <w:rFonts w:ascii="Arial" w:cs="Arial" w:eastAsia="Arial" w:hAnsi="Arial"/>
                <w:sz w:val="17"/>
                <w:szCs w:val="17"/>
                <w:color w:val="auto"/>
              </w:rPr>
              <w:t>Net Income</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428,403,272</w:t>
            </w:r>
          </w:p>
        </w:tc>
        <w:tc>
          <w:tcPr>
            <w:tcW w:w="44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318,757,352</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360,797,232</w:t>
            </w:r>
          </w:p>
        </w:tc>
      </w:tr>
      <w:tr>
        <w:trPr>
          <w:trHeight w:val="214"/>
        </w:trPr>
        <w:tc>
          <w:tcPr>
            <w:tcW w:w="62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Less: Allocated to participating securities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6,352,424</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4,875,057</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5,591,992</w:t>
            </w:r>
          </w:p>
        </w:tc>
      </w:tr>
      <w:tr>
        <w:trPr>
          <w:trHeight w:val="206"/>
        </w:trPr>
        <w:tc>
          <w:tcPr>
            <w:tcW w:w="6200" w:type="dxa"/>
            <w:vAlign w:val="bottom"/>
          </w:tcPr>
          <w:p>
            <w:pPr>
              <w:ind w:left="320"/>
              <w:spacing w:after="0"/>
              <w:rPr>
                <w:sz w:val="20"/>
                <w:szCs w:val="20"/>
                <w:color w:val="auto"/>
              </w:rPr>
            </w:pPr>
            <w:r>
              <w:rPr>
                <w:rFonts w:ascii="Arial" w:cs="Arial" w:eastAsia="Arial" w:hAnsi="Arial"/>
                <w:sz w:val="17"/>
                <w:szCs w:val="17"/>
                <w:color w:val="auto"/>
              </w:rPr>
              <w:t>Net Income available to common shareholders</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422,050,848</w:t>
            </w:r>
          </w:p>
        </w:tc>
        <w:tc>
          <w:tcPr>
            <w:tcW w:w="44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313,882,295</w:t>
            </w:r>
          </w:p>
        </w:tc>
        <w:tc>
          <w:tcPr>
            <w:tcW w:w="4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355,205,240</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4"/>
        </w:trPr>
        <w:tc>
          <w:tcPr>
            <w:tcW w:w="6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4"/>
        </w:trPr>
        <w:tc>
          <w:tcPr>
            <w:tcW w:w="6200" w:type="dxa"/>
            <w:vAlign w:val="bottom"/>
          </w:tcPr>
          <w:p>
            <w:pPr>
              <w:ind w:left="320"/>
              <w:spacing w:after="0"/>
              <w:rPr>
                <w:sz w:val="20"/>
                <w:szCs w:val="20"/>
                <w:color w:val="auto"/>
              </w:rPr>
            </w:pPr>
            <w:r>
              <w:rPr>
                <w:rFonts w:ascii="Arial" w:cs="Arial" w:eastAsia="Arial" w:hAnsi="Arial"/>
                <w:sz w:val="17"/>
                <w:szCs w:val="17"/>
                <w:color w:val="auto"/>
              </w:rPr>
              <w:t>Basic weighted average shares outstanding</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229,405,479</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230,825,293</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235,526,911</w:t>
            </w:r>
          </w:p>
        </w:tc>
      </w:tr>
      <w:tr>
        <w:trPr>
          <w:trHeight w:val="214"/>
        </w:trPr>
        <w:tc>
          <w:tcPr>
            <w:tcW w:w="6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Income per share - Basic</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44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r>
      <w:tr>
        <w:trPr>
          <w:trHeight w:val="239"/>
        </w:trPr>
        <w:tc>
          <w:tcPr>
            <w:tcW w:w="6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89"/>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Diluted Earnings Per Share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4"/>
        </w:trPr>
        <w:tc>
          <w:tcPr>
            <w:tcW w:w="6200" w:type="dxa"/>
            <w:vAlign w:val="bottom"/>
          </w:tcPr>
          <w:p>
            <w:pPr>
              <w:ind w:left="320"/>
              <w:spacing w:after="0"/>
              <w:rPr>
                <w:sz w:val="20"/>
                <w:szCs w:val="20"/>
                <w:color w:val="auto"/>
              </w:rPr>
            </w:pPr>
            <w:r>
              <w:rPr>
                <w:rFonts w:ascii="Arial" w:cs="Arial" w:eastAsia="Arial" w:hAnsi="Arial"/>
                <w:sz w:val="17"/>
                <w:szCs w:val="17"/>
                <w:color w:val="auto"/>
              </w:rPr>
              <w:t>Allocation of Net Income used in basic computation</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422,050,848</w:t>
            </w:r>
          </w:p>
        </w:tc>
        <w:tc>
          <w:tcPr>
            <w:tcW w:w="44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313,882,295</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355,205,240</w:t>
            </w:r>
          </w:p>
        </w:tc>
      </w:tr>
      <w:tr>
        <w:trPr>
          <w:trHeight w:val="214"/>
        </w:trPr>
        <w:tc>
          <w:tcPr>
            <w:tcW w:w="62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Reallocation of undistributed earnings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6,341</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5,299</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17,014</w:t>
            </w:r>
          </w:p>
        </w:tc>
      </w:tr>
      <w:tr>
        <w:trPr>
          <w:trHeight w:val="206"/>
        </w:trPr>
        <w:tc>
          <w:tcPr>
            <w:tcW w:w="6200" w:type="dxa"/>
            <w:vAlign w:val="bottom"/>
          </w:tcPr>
          <w:p>
            <w:pPr>
              <w:ind w:left="320"/>
              <w:spacing w:after="0"/>
              <w:rPr>
                <w:sz w:val="20"/>
                <w:szCs w:val="20"/>
                <w:color w:val="auto"/>
              </w:rPr>
            </w:pPr>
            <w:r>
              <w:rPr>
                <w:rFonts w:ascii="Arial" w:cs="Arial" w:eastAsia="Arial" w:hAnsi="Arial"/>
                <w:sz w:val="17"/>
                <w:szCs w:val="17"/>
                <w:color w:val="auto"/>
              </w:rPr>
              <w:t>Net Income available to common shareholders — Diluted</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422,057,189</w:t>
            </w:r>
          </w:p>
        </w:tc>
        <w:tc>
          <w:tcPr>
            <w:tcW w:w="44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313,887,594</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355,222,254</w:t>
            </w:r>
          </w:p>
        </w:tc>
      </w:tr>
      <w:tr>
        <w:trPr>
          <w:trHeight w:val="239"/>
        </w:trPr>
        <w:tc>
          <w:tcPr>
            <w:tcW w:w="6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4"/>
        </w:trPr>
        <w:tc>
          <w:tcPr>
            <w:tcW w:w="6200" w:type="dxa"/>
            <w:vAlign w:val="bottom"/>
          </w:tcPr>
          <w:p>
            <w:pPr>
              <w:ind w:left="320"/>
              <w:spacing w:after="0"/>
              <w:rPr>
                <w:sz w:val="20"/>
                <w:szCs w:val="20"/>
                <w:color w:val="auto"/>
              </w:rPr>
            </w:pPr>
            <w:r>
              <w:rPr>
                <w:rFonts w:ascii="Arial" w:cs="Arial" w:eastAsia="Arial" w:hAnsi="Arial"/>
                <w:sz w:val="17"/>
                <w:szCs w:val="17"/>
                <w:color w:val="auto"/>
              </w:rPr>
              <w:t>Number of shares used in basic computation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229,405,479</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230,825,293</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235,526,911</w:t>
            </w:r>
          </w:p>
        </w:tc>
      </w:tr>
      <w:tr>
        <w:trPr>
          <w:trHeight w:val="214"/>
        </w:trPr>
        <w:tc>
          <w:tcPr>
            <w:tcW w:w="62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Additional weighted average dilutive common stock equivalents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314,719</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394,196</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1,077,103</w:t>
            </w:r>
          </w:p>
        </w:tc>
      </w:tr>
      <w:tr>
        <w:trPr>
          <w:trHeight w:val="206"/>
        </w:trPr>
        <w:tc>
          <w:tcPr>
            <w:tcW w:w="6200" w:type="dxa"/>
            <w:vAlign w:val="bottom"/>
          </w:tcPr>
          <w:p>
            <w:pPr>
              <w:ind w:left="320"/>
              <w:spacing w:after="0"/>
              <w:rPr>
                <w:sz w:val="20"/>
                <w:szCs w:val="20"/>
                <w:color w:val="auto"/>
              </w:rPr>
            </w:pPr>
            <w:r>
              <w:rPr>
                <w:rFonts w:ascii="Arial" w:cs="Arial" w:eastAsia="Arial" w:hAnsi="Arial"/>
                <w:sz w:val="17"/>
                <w:szCs w:val="17"/>
                <w:color w:val="auto"/>
              </w:rPr>
              <w:t>Diluted weighted average shares outstanding</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229,720,198</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231,219,489</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236,604,014</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4"/>
        </w:trPr>
        <w:tc>
          <w:tcPr>
            <w:tcW w:w="6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2"/>
        </w:trPr>
        <w:tc>
          <w:tcPr>
            <w:tcW w:w="6200" w:type="dxa"/>
            <w:vAlign w:val="bottom"/>
          </w:tcPr>
          <w:p>
            <w:pPr>
              <w:ind w:left="320"/>
              <w:spacing w:after="0"/>
              <w:rPr>
                <w:sz w:val="20"/>
                <w:szCs w:val="20"/>
                <w:color w:val="auto"/>
              </w:rPr>
            </w:pPr>
            <w:r>
              <w:rPr>
                <w:rFonts w:ascii="Arial" w:cs="Arial" w:eastAsia="Arial" w:hAnsi="Arial"/>
                <w:sz w:val="17"/>
                <w:szCs w:val="17"/>
                <w:color w:val="auto"/>
              </w:rPr>
              <w:t>Net income per share — Diluted</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1.84</w:t>
            </w:r>
          </w:p>
        </w:tc>
        <w:tc>
          <w:tcPr>
            <w:tcW w:w="44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1.36</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1.50</w:t>
            </w:r>
          </w:p>
        </w:tc>
      </w:tr>
    </w:tbl>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years ended December 31, 2023, 2022 and 2021, 1,441,812 shares, 1,842,602 shares, and 200,037 shares, respectively, related to stock option plans were not included in diluted average common shares outstanding because they were anti-dilutive.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Comprehensive Income (Loss)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Comprehensive income (loss) reflects the change in equity of a business enterprise during a period from transactions and other events and circumstances from non-owner sources. For the Company, comprehensive income represents net income adjusted for unrealized gains and losses on available for sale investments and foreign currency translation adjustments that are further detailed in </w:t>
      </w:r>
      <w:r>
        <w:rPr>
          <w:rFonts w:ascii="Arial" w:cs="Arial" w:eastAsia="Arial" w:hAnsi="Arial"/>
          <w:sz w:val="17"/>
          <w:szCs w:val="17"/>
          <w:u w:val="single" w:color="auto"/>
          <w:color w:val="0000FF"/>
        </w:rPr>
        <w:t>Note 9</w:t>
      </w:r>
      <w:r>
        <w:rPr>
          <w:rFonts w:ascii="Arial" w:cs="Arial" w:eastAsia="Arial" w:hAnsi="Arial"/>
          <w:sz w:val="17"/>
          <w:szCs w:val="17"/>
          <w:color w:val="auto"/>
        </w:rPr>
        <w:t>, "Comprehensive Income", for more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Foreign Currency Translation</w:t>
      </w:r>
    </w:p>
    <w:p>
      <w:pPr>
        <w:spacing w:after="0" w:line="13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 Plans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The Company accounts for stock-based compensation using the fair value recognition provisions of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 described more fully in </w:t>
      </w:r>
      <w:r>
        <w:rPr>
          <w:rFonts w:ascii="Arial" w:cs="Arial" w:eastAsia="Arial" w:hAnsi="Arial"/>
          <w:sz w:val="17"/>
          <w:szCs w:val="17"/>
          <w:u w:val="single" w:color="auto"/>
          <w:color w:val="0000FF"/>
        </w:rPr>
        <w:t>Note 5, "Stock-Based Compensation Plans",</w:t>
      </w:r>
      <w:r>
        <w:rPr>
          <w:rFonts w:ascii="Arial" w:cs="Arial" w:eastAsia="Arial" w:hAnsi="Arial"/>
          <w:sz w:val="17"/>
          <w:szCs w:val="17"/>
          <w:color w:val="auto"/>
        </w:rPr>
        <w:t xml:space="preserve"> the Company provides, or has provided, compensation benefits under an omnibus incentive plan, two other stock option plans, another restricted stock plan, and two employee stock purchase plans. The Company utilizes the Black-Scholes model to estimate the value of the stock options, which requires the input of assumptions. These assumptions include estimating (a) the length of time employees will retain their vested stock options before exercising them (“expected term”), (b) the volatility of the Company’s common stock price over the expected term, (c) the number of options that will ultimately not complete their vesting requirements (“forfeitures”) and (d) expected dividends. Changes in the assumptions can materially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16" w:lineRule="exact"/>
        <w:rPr>
          <w:sz w:val="20"/>
          <w:szCs w:val="20"/>
          <w:color w:val="auto"/>
        </w:rPr>
      </w:pPr>
    </w:p>
    <w:p>
      <w:pPr>
        <w:ind w:left="400" w:hanging="399"/>
        <w:spacing w:after="0"/>
        <w:tabs>
          <w:tab w:leader="none" w:pos="4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affect the estimate of fair value of stock-based compensation and consequently, the related amounts recognized on the consolidated statements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Estimates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Reclassifications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Certain prior year amounts have been reclassified to conform to current year presentation.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Accounting Standards</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In November 2023, the Financial Accounting Standards Board (“FASB”) issued Accounting Standards Update ("ASU") No. 2023-07, </w:t>
      </w:r>
      <w:r>
        <w:rPr>
          <w:rFonts w:ascii="Arial" w:cs="Arial" w:eastAsia="Arial" w:hAnsi="Arial"/>
          <w:sz w:val="17"/>
          <w:szCs w:val="17"/>
          <w:i w:val="1"/>
          <w:iCs w:val="1"/>
          <w:color w:val="auto"/>
        </w:rPr>
        <w:t>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Reportable Segment Disclosures</w:t>
      </w:r>
      <w:r>
        <w:rPr>
          <w:rFonts w:ascii="Arial" w:cs="Arial" w:eastAsia="Arial" w:hAnsi="Arial"/>
          <w:sz w:val="17"/>
          <w:szCs w:val="17"/>
          <w:color w:val="auto"/>
        </w:rPr>
        <w:t>. This ASU updates reportable segment disclosure requirements by requiring disclosures of significant reportable</w:t>
      </w:r>
      <w:r>
        <w:rPr>
          <w:rFonts w:ascii="Arial" w:cs="Arial" w:eastAsia="Arial" w:hAnsi="Arial"/>
          <w:sz w:val="17"/>
          <w:szCs w:val="17"/>
          <w:i w:val="1"/>
          <w:iCs w:val="1"/>
          <w:color w:val="auto"/>
        </w:rPr>
        <w:t xml:space="preserve"> </w:t>
      </w:r>
      <w:r>
        <w:rPr>
          <w:rFonts w:ascii="Arial" w:cs="Arial" w:eastAsia="Arial" w:hAnsi="Arial"/>
          <w:sz w:val="17"/>
          <w:szCs w:val="17"/>
          <w:color w:val="auto"/>
        </w:rPr>
        <w:t>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The Company will likely include additional disclosures when this ASU is adopted. The Company is currently evaluating the provisions of this ASU and expects to adopt the ASU for the year ending December 31, 2024.</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In December 2023, the FASB issued ASU 2023-09, </w:t>
      </w:r>
      <w:r>
        <w:rPr>
          <w:rFonts w:ascii="Arial" w:cs="Arial" w:eastAsia="Arial" w:hAnsi="Arial"/>
          <w:sz w:val="17"/>
          <w:szCs w:val="17"/>
          <w:i w:val="1"/>
          <w:iCs w:val="1"/>
          <w:color w:val="auto"/>
        </w:rPr>
        <w:t>Improvements to Income Tax Disclosures</w:t>
      </w:r>
      <w:r>
        <w:rPr>
          <w:rFonts w:ascii="Arial" w:cs="Arial" w:eastAsia="Arial" w:hAnsi="Arial"/>
          <w:sz w:val="17"/>
          <w:szCs w:val="17"/>
          <w:color w:val="auto"/>
        </w:rPr>
        <w:t>. Under this ASU, public benefit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 is effective on a prospective basis for the Company in the fiscal year ending December 31, 2025. This ASU will result in additional disclosures being included in the consolidated financial statements once adopted.</w:t>
      </w:r>
    </w:p>
    <w:p>
      <w:pPr>
        <w:spacing w:after="0" w:line="200" w:lineRule="exact"/>
        <w:rPr>
          <w:sz w:val="20"/>
          <w:szCs w:val="20"/>
          <w:color w:val="auto"/>
        </w:rPr>
      </w:pPr>
    </w:p>
    <w:p>
      <w:pPr>
        <w:spacing w:after="0" w:line="359" w:lineRule="exact"/>
        <w:rPr>
          <w:sz w:val="20"/>
          <w:szCs w:val="20"/>
          <w:color w:val="auto"/>
        </w:rPr>
      </w:pPr>
    </w:p>
    <w:p>
      <w:pPr>
        <w:ind w:left="600" w:hanging="599"/>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DEBT AND FINANCING ARRANGEMENTS</w:t>
      </w: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15, 2018, the Company entered into a credit agreement with PNC as the administrative agent and sole lender, which has now been amended and restated as discussed below.</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February 21, 2023, as previously disclosed, the Company entered into an amended and restated credit agreement ("Credit Agreement") that provides for, among other things, a three-year unsecured revolving credit facility with a borrowing capacity of up to $250 million ("Revolver") that matures on February 21, 2026, replacing in its entirety the Company's above referenced prior $150.0 million revolving credit facility, which would have otherwise matured on October 15, 2023. Included in the Revolver is a $20.0 million sublimit for standby letters of credit and a $35.0 million sublimit for swingline loans, each subject to certain conditions. Funds are available under the Revolver for working capital, capital expenditures, and other lawful corporate purposes, including, but not limited to, acquisitions and common stock repurchases, subject in each case to compliance with certain financial covenants, as defined in the Credit Agreement.</w:t>
      </w:r>
    </w:p>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obligations of the Company under the Credit Agreement are not secured, but are subject to certain covenants. As of December 31, 2023, there was no outstanding balances on the Revolver and as of December 31, 2022 there was no outstanding balance under the prior revolving credit facility.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Credit Agreement contains customary representations and warranties and certain covenants that place certain limitations on the Company. As of December 31, 2023, the Company was in compliance with its covenants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0" w:hanging="599"/>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INCOME TAXES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basis of assets and liabilities using enacted tax rates expected to be applied to taxable income in years which those temporary differences are expected to be recovered or settled. Deferred income tax expense is measured by the net change in deferred income tax assets and liabilities during the year.</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foreign components of income before the provision for income taxes were not material for the years ended December 31, 2023, 2022 and 2021.</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provision for income taxes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8"/>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8"/>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6"/>
                <w:szCs w:val="16"/>
                <w:color w:val="auto"/>
              </w:rPr>
            </w:pPr>
          </w:p>
        </w:tc>
      </w:tr>
      <w:tr>
        <w:trPr>
          <w:trHeight w:val="194"/>
        </w:trPr>
        <w:tc>
          <w:tcPr>
            <w:tcW w:w="49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Currently payable:</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14"/>
        </w:trPr>
        <w:tc>
          <w:tcPr>
            <w:tcW w:w="4960" w:type="dxa"/>
            <w:vAlign w:val="bottom"/>
          </w:tcPr>
          <w:p>
            <w:pPr>
              <w:ind w:left="320"/>
              <w:spacing w:after="0"/>
              <w:rPr>
                <w:sz w:val="20"/>
                <w:szCs w:val="20"/>
                <w:color w:val="auto"/>
              </w:rPr>
            </w:pPr>
            <w:r>
              <w:rPr>
                <w:rFonts w:ascii="Arial" w:cs="Arial" w:eastAsia="Arial" w:hAnsi="Arial"/>
                <w:sz w:val="17"/>
                <w:szCs w:val="17"/>
                <w:color w:val="auto"/>
              </w:rPr>
              <w:t>Federal</w:t>
            </w:r>
          </w:p>
        </w:tc>
        <w:tc>
          <w:tcPr>
            <w:tcW w:w="1420" w:type="dxa"/>
            <w:vAlign w:val="bottom"/>
            <w:gridSpan w:val="2"/>
          </w:tcPr>
          <w:p>
            <w:pPr>
              <w:jc w:val="right"/>
              <w:ind w:right="17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85,978,954</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62,670,986</w:t>
            </w:r>
          </w:p>
        </w:tc>
        <w:tc>
          <w:tcPr>
            <w:tcW w:w="12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89,507,896</w:t>
            </w:r>
          </w:p>
        </w:tc>
        <w:tc>
          <w:tcPr>
            <w:tcW w:w="60" w:type="dxa"/>
            <w:vAlign w:val="bottom"/>
          </w:tcPr>
          <w:p>
            <w:pPr>
              <w:spacing w:after="0"/>
              <w:rPr>
                <w:sz w:val="18"/>
                <w:szCs w:val="18"/>
                <w:color w:val="auto"/>
              </w:rPr>
            </w:pPr>
          </w:p>
        </w:tc>
      </w:tr>
      <w:tr>
        <w:trPr>
          <w:trHeight w:val="214"/>
        </w:trPr>
        <w:tc>
          <w:tcPr>
            <w:tcW w:w="4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6,242,525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4,310,783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5,642,926</w:t>
            </w:r>
          </w:p>
        </w:tc>
        <w:tc>
          <w:tcPr>
            <w:tcW w:w="60" w:type="dxa"/>
            <w:vAlign w:val="bottom"/>
          </w:tcPr>
          <w:p>
            <w:pPr>
              <w:spacing w:after="0"/>
              <w:rPr>
                <w:sz w:val="18"/>
                <w:szCs w:val="18"/>
                <w:color w:val="auto"/>
              </w:rPr>
            </w:pPr>
          </w:p>
        </w:tc>
      </w:tr>
      <w:tr>
        <w:trPr>
          <w:trHeight w:val="214"/>
        </w:trPr>
        <w:tc>
          <w:tcPr>
            <w:tcW w:w="49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Foreign</w:t>
            </w:r>
          </w:p>
        </w:tc>
        <w:tc>
          <w:tcPr>
            <w:tcW w:w="10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2,091,533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1,761,732</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2,098,433</w:t>
            </w:r>
          </w:p>
        </w:tc>
        <w:tc>
          <w:tcPr>
            <w:tcW w:w="60" w:type="dxa"/>
            <w:vAlign w:val="bottom"/>
          </w:tcPr>
          <w:p>
            <w:pPr>
              <w:spacing w:after="0"/>
              <w:rPr>
                <w:sz w:val="18"/>
                <w:szCs w:val="18"/>
                <w:color w:val="auto"/>
              </w:rPr>
            </w:pPr>
          </w:p>
        </w:tc>
      </w:tr>
      <w:tr>
        <w:trPr>
          <w:trHeight w:val="206"/>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94,313,012</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68,743,501</w:t>
            </w:r>
          </w:p>
        </w:tc>
        <w:tc>
          <w:tcPr>
            <w:tcW w:w="1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97,249,255</w:t>
            </w:r>
          </w:p>
        </w:tc>
        <w:tc>
          <w:tcPr>
            <w:tcW w:w="60" w:type="dxa"/>
            <w:vAlign w:val="bottom"/>
          </w:tcPr>
          <w:p>
            <w:pPr>
              <w:spacing w:after="0"/>
              <w:rPr>
                <w:sz w:val="17"/>
                <w:szCs w:val="17"/>
                <w:color w:val="auto"/>
              </w:rPr>
            </w:pPr>
          </w:p>
        </w:tc>
      </w:tr>
      <w:tr>
        <w:trPr>
          <w:trHeight w:val="194"/>
        </w:trPr>
        <w:tc>
          <w:tcPr>
            <w:tcW w:w="4960" w:type="dxa"/>
            <w:vAlign w:val="bottom"/>
          </w:tcPr>
          <w:p>
            <w:pPr>
              <w:ind w:left="20"/>
              <w:spacing w:after="0" w:line="194" w:lineRule="exact"/>
              <w:rPr>
                <w:sz w:val="20"/>
                <w:szCs w:val="20"/>
                <w:color w:val="auto"/>
              </w:rPr>
            </w:pPr>
            <w:r>
              <w:rPr>
                <w:rFonts w:ascii="Arial" w:cs="Arial" w:eastAsia="Arial" w:hAnsi="Arial"/>
                <w:sz w:val="17"/>
                <w:szCs w:val="17"/>
                <w:color w:val="auto"/>
              </w:rPr>
              <w:t>Deferred income tax benefit:</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4"/>
        </w:trPr>
        <w:tc>
          <w:tcPr>
            <w:tcW w:w="4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Primarily federal</w:t>
            </w:r>
          </w:p>
        </w:tc>
        <w:tc>
          <w:tcPr>
            <w:tcW w:w="10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(17,735,110)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(17,777,777)</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w w:val="97"/>
              </w:rPr>
              <w:t>(41,694,751)</w:t>
            </w:r>
          </w:p>
        </w:tc>
        <w:tc>
          <w:tcPr>
            <w:tcW w:w="60" w:type="dxa"/>
            <w:vAlign w:val="bottom"/>
          </w:tcPr>
          <w:p>
            <w:pPr>
              <w:spacing w:after="0"/>
              <w:rPr>
                <w:sz w:val="18"/>
                <w:szCs w:val="18"/>
                <w:color w:val="auto"/>
              </w:rPr>
            </w:pPr>
          </w:p>
        </w:tc>
      </w:tr>
      <w:tr>
        <w:trPr>
          <w:trHeight w:val="206"/>
        </w:trPr>
        <w:tc>
          <w:tcPr>
            <w:tcW w:w="496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060" w:type="dxa"/>
            <w:vAlign w:val="bottom"/>
          </w:tcPr>
          <w:p>
            <w:pPr>
              <w:spacing w:after="0"/>
              <w:rPr>
                <w:sz w:val="17"/>
                <w:szCs w:val="17"/>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76,577,902</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50,965,724</w:t>
            </w:r>
          </w:p>
        </w:tc>
        <w:tc>
          <w:tcPr>
            <w:tcW w:w="120" w:type="dxa"/>
            <w:vAlign w:val="bottom"/>
          </w:tcPr>
          <w:p>
            <w:pPr>
              <w:spacing w:after="0"/>
              <w:rPr>
                <w:sz w:val="17"/>
                <w:szCs w:val="17"/>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55,554,504</w:t>
            </w:r>
          </w:p>
        </w:tc>
        <w:tc>
          <w:tcPr>
            <w:tcW w:w="60" w:type="dxa"/>
            <w:vAlign w:val="bottom"/>
          </w:tcPr>
          <w:p>
            <w:pPr>
              <w:spacing w:after="0"/>
              <w:rPr>
                <w:sz w:val="17"/>
                <w:szCs w:val="17"/>
                <w:color w:val="auto"/>
              </w:rPr>
            </w:pPr>
          </w:p>
        </w:tc>
      </w:tr>
      <w:tr>
        <w:trPr>
          <w:trHeight w:val="20"/>
        </w:trPr>
        <w:tc>
          <w:tcPr>
            <w:tcW w:w="6020" w:type="dxa"/>
            <w:vAlign w:val="bottom"/>
            <w:gridSpan w:val="2"/>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7"/>
        </w:trPr>
        <w:tc>
          <w:tcPr>
            <w:tcW w:w="8360" w:type="dxa"/>
            <w:vAlign w:val="bottom"/>
            <w:gridSpan w:val="9"/>
          </w:tcPr>
          <w:p>
            <w:pPr>
              <w:spacing w:after="0"/>
              <w:rPr>
                <w:sz w:val="20"/>
                <w:szCs w:val="20"/>
                <w:color w:val="auto"/>
              </w:rPr>
            </w:pPr>
            <w:r>
              <w:rPr>
                <w:rFonts w:ascii="Arial" w:cs="Arial" w:eastAsia="Arial" w:hAnsi="Arial"/>
                <w:sz w:val="17"/>
                <w:szCs w:val="17"/>
                <w:color w:val="auto"/>
                <w:w w:val="99"/>
              </w:rPr>
              <w:t>The effective income tax rates are different from the statutory federal income tax rates for the following reasons: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49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jc w:val="right"/>
              <w:ind w:right="498"/>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24"/>
                <w:szCs w:val="24"/>
                <w:color w:val="auto"/>
              </w:rPr>
            </w:pPr>
          </w:p>
        </w:tc>
      </w:tr>
      <w:tr>
        <w:trPr>
          <w:trHeight w:val="207"/>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Statutory federal income tax rate</w:t>
            </w: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60" w:type="dxa"/>
            <w:vAlign w:val="bottom"/>
            <w:tcBorders>
              <w:left w:val="single" w:sz="8" w:color="CCEEFF"/>
            </w:tcBorders>
          </w:tcPr>
          <w:p>
            <w:pPr>
              <w:spacing w:after="0"/>
              <w:rPr>
                <w:sz w:val="17"/>
                <w:szCs w:val="17"/>
                <w:color w:val="auto"/>
              </w:rPr>
            </w:pPr>
          </w:p>
        </w:tc>
      </w:tr>
      <w:tr>
        <w:trPr>
          <w:trHeight w:val="214"/>
        </w:trPr>
        <w:tc>
          <w:tcPr>
            <w:tcW w:w="4960" w:type="dxa"/>
            <w:vAlign w:val="bottom"/>
          </w:tcPr>
          <w:p>
            <w:pPr>
              <w:ind w:left="20"/>
              <w:spacing w:after="0"/>
              <w:rPr>
                <w:sz w:val="20"/>
                <w:szCs w:val="20"/>
                <w:color w:val="auto"/>
              </w:rPr>
            </w:pPr>
            <w:r>
              <w:rPr>
                <w:rFonts w:ascii="Arial" w:cs="Arial" w:eastAsia="Arial" w:hAnsi="Arial"/>
                <w:sz w:val="17"/>
                <w:szCs w:val="17"/>
                <w:color w:val="auto"/>
              </w:rPr>
              <w:t>State income taxes, net of federal income tax benefit</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7"/>
                <w:szCs w:val="17"/>
                <w:color w:val="auto"/>
              </w:rPr>
              <w:t>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118"/>
              <w:spacing w:after="0"/>
              <w:rPr>
                <w:sz w:val="20"/>
                <w:szCs w:val="20"/>
                <w:color w:val="auto"/>
              </w:rPr>
            </w:pPr>
            <w:r>
              <w:rPr>
                <w:rFonts w:ascii="Arial" w:cs="Arial" w:eastAsia="Arial" w:hAnsi="Arial"/>
                <w:sz w:val="17"/>
                <w:szCs w:val="17"/>
                <w:color w:val="auto"/>
              </w:rPr>
              <w:t>0.7</w:t>
            </w:r>
          </w:p>
        </w:tc>
        <w:tc>
          <w:tcPr>
            <w:tcW w:w="60" w:type="dxa"/>
            <w:vAlign w:val="bottom"/>
          </w:tcPr>
          <w:p>
            <w:pPr>
              <w:spacing w:after="0"/>
              <w:rPr>
                <w:sz w:val="18"/>
                <w:szCs w:val="18"/>
                <w:color w:val="auto"/>
              </w:rPr>
            </w:pPr>
          </w:p>
        </w:tc>
      </w:tr>
      <w:tr>
        <w:trPr>
          <w:trHeight w:val="214"/>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tax credit</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(1.0)</w:t>
            </w:r>
          </w:p>
        </w:tc>
        <w:tc>
          <w:tcPr>
            <w:tcW w:w="60" w:type="dxa"/>
            <w:vAlign w:val="bottom"/>
            <w:tcBorders>
              <w:left w:val="single" w:sz="8" w:color="CCEEFF"/>
            </w:tcBorders>
          </w:tcPr>
          <w:p>
            <w:pPr>
              <w:spacing w:after="0"/>
              <w:rPr>
                <w:sz w:val="18"/>
                <w:szCs w:val="18"/>
                <w:color w:val="auto"/>
              </w:rPr>
            </w:pPr>
          </w:p>
        </w:tc>
      </w:tr>
      <w:tr>
        <w:trPr>
          <w:trHeight w:val="214"/>
        </w:trPr>
        <w:tc>
          <w:tcPr>
            <w:tcW w:w="4960" w:type="dxa"/>
            <w:vAlign w:val="bottom"/>
          </w:tcPr>
          <w:p>
            <w:pPr>
              <w:ind w:left="20"/>
              <w:spacing w:after="0"/>
              <w:rPr>
                <w:sz w:val="20"/>
                <w:szCs w:val="20"/>
                <w:color w:val="auto"/>
              </w:rPr>
            </w:pPr>
            <w:r>
              <w:rPr>
                <w:rFonts w:ascii="Arial" w:cs="Arial" w:eastAsia="Arial" w:hAnsi="Arial"/>
                <w:sz w:val="17"/>
                <w:szCs w:val="17"/>
                <w:color w:val="auto"/>
              </w:rPr>
              <w:t>(Decrease) Increase in reserve for uncertain tax provisions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6"/>
          </w:tcPr>
          <w:p>
            <w:pPr>
              <w:jc w:val="right"/>
              <w:ind w:right="6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118"/>
              <w:spacing w:after="0"/>
              <w:rPr>
                <w:sz w:val="20"/>
                <w:szCs w:val="20"/>
                <w:color w:val="auto"/>
              </w:rPr>
            </w:pPr>
            <w:r>
              <w:rPr>
                <w:rFonts w:ascii="Arial" w:cs="Arial" w:eastAsia="Arial" w:hAnsi="Arial"/>
                <w:sz w:val="17"/>
                <w:szCs w:val="17"/>
                <w:color w:val="auto"/>
              </w:rPr>
              <w:t>0.1</w:t>
            </w:r>
          </w:p>
        </w:tc>
        <w:tc>
          <w:tcPr>
            <w:tcW w:w="60" w:type="dxa"/>
            <w:vAlign w:val="bottom"/>
          </w:tcPr>
          <w:p>
            <w:pPr>
              <w:spacing w:after="0"/>
              <w:rPr>
                <w:sz w:val="18"/>
                <w:szCs w:val="18"/>
                <w:color w:val="auto"/>
              </w:rPr>
            </w:pPr>
          </w:p>
        </w:tc>
      </w:tr>
      <w:tr>
        <w:trPr>
          <w:trHeight w:val="214"/>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Non-deductible executive compensation</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0.1</w:t>
            </w:r>
          </w:p>
        </w:tc>
        <w:tc>
          <w:tcPr>
            <w:tcW w:w="60" w:type="dxa"/>
            <w:vAlign w:val="bottom"/>
            <w:tcBorders>
              <w:left w:val="single" w:sz="8" w:color="CCEEFF"/>
            </w:tcBorders>
          </w:tcPr>
          <w:p>
            <w:pPr>
              <w:spacing w:after="0"/>
              <w:rPr>
                <w:sz w:val="18"/>
                <w:szCs w:val="18"/>
                <w:color w:val="auto"/>
              </w:rPr>
            </w:pPr>
          </w:p>
        </w:tc>
      </w:tr>
      <w:tr>
        <w:trPr>
          <w:trHeight w:val="214"/>
        </w:trPr>
        <w:tc>
          <w:tcPr>
            <w:tcW w:w="4960" w:type="dxa"/>
            <w:vAlign w:val="bottom"/>
          </w:tcPr>
          <w:p>
            <w:pPr>
              <w:ind w:left="20"/>
              <w:spacing w:after="0"/>
              <w:rPr>
                <w:sz w:val="20"/>
                <w:szCs w:val="20"/>
                <w:color w:val="auto"/>
              </w:rPr>
            </w:pPr>
            <w:r>
              <w:rPr>
                <w:rFonts w:ascii="Arial" w:cs="Arial" w:eastAsia="Arial" w:hAnsi="Arial"/>
                <w:sz w:val="17"/>
                <w:szCs w:val="17"/>
                <w:color w:val="auto"/>
              </w:rPr>
              <w:t>Non-deductible expenses</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118"/>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r>
        <w:trPr>
          <w:trHeight w:val="214"/>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tax credit</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(0.2)</w:t>
            </w:r>
          </w:p>
        </w:tc>
        <w:tc>
          <w:tcPr>
            <w:tcW w:w="60" w:type="dxa"/>
            <w:vAlign w:val="bottom"/>
            <w:tcBorders>
              <w:left w:val="single" w:sz="8" w:color="CCEEFF"/>
            </w:tcBorders>
          </w:tcPr>
          <w:p>
            <w:pPr>
              <w:spacing w:after="0"/>
              <w:rPr>
                <w:sz w:val="18"/>
                <w:szCs w:val="18"/>
                <w:color w:val="auto"/>
              </w:rPr>
            </w:pPr>
          </w:p>
        </w:tc>
      </w:tr>
      <w:tr>
        <w:trPr>
          <w:trHeight w:val="214"/>
        </w:trPr>
        <w:tc>
          <w:tcPr>
            <w:tcW w:w="4960" w:type="dxa"/>
            <w:vAlign w:val="bottom"/>
          </w:tcPr>
          <w:p>
            <w:pPr>
              <w:ind w:left="20"/>
              <w:spacing w:after="0"/>
              <w:rPr>
                <w:sz w:val="20"/>
                <w:szCs w:val="20"/>
                <w:color w:val="auto"/>
              </w:rPr>
            </w:pPr>
            <w:r>
              <w:rPr>
                <w:rFonts w:ascii="Arial" w:cs="Arial" w:eastAsia="Arial" w:hAnsi="Arial"/>
                <w:sz w:val="17"/>
                <w:szCs w:val="17"/>
                <w:color w:val="auto"/>
              </w:rPr>
              <w:t>Foreign derived intangible income deduction</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7"/>
                <w:szCs w:val="17"/>
                <w:color w:val="auto"/>
              </w:rPr>
              <w:t>(5.1)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58"/>
              <w:spacing w:after="0"/>
              <w:rPr>
                <w:sz w:val="20"/>
                <w:szCs w:val="20"/>
                <w:color w:val="auto"/>
              </w:rPr>
            </w:pPr>
            <w:r>
              <w:rPr>
                <w:rFonts w:ascii="Arial" w:cs="Arial" w:eastAsia="Arial" w:hAnsi="Arial"/>
                <w:sz w:val="17"/>
                <w:szCs w:val="17"/>
                <w:color w:val="auto"/>
              </w:rPr>
              <w:t>(6.3)</w:t>
            </w:r>
          </w:p>
        </w:tc>
        <w:tc>
          <w:tcPr>
            <w:tcW w:w="60" w:type="dxa"/>
            <w:vAlign w:val="bottom"/>
          </w:tcPr>
          <w:p>
            <w:pPr>
              <w:spacing w:after="0"/>
              <w:rPr>
                <w:sz w:val="18"/>
                <w:szCs w:val="18"/>
                <w:color w:val="auto"/>
              </w:rPr>
            </w:pPr>
          </w:p>
        </w:tc>
      </w:tr>
      <w:tr>
        <w:trPr>
          <w:trHeight w:val="214"/>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compensation</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(1.3)</w:t>
            </w:r>
          </w:p>
        </w:tc>
        <w:tc>
          <w:tcPr>
            <w:tcW w:w="60" w:type="dxa"/>
            <w:vAlign w:val="bottom"/>
            <w:tcBorders>
              <w:left w:val="single" w:sz="8" w:color="CCEEFF"/>
            </w:tcBorders>
          </w:tcPr>
          <w:p>
            <w:pPr>
              <w:spacing w:after="0"/>
              <w:rPr>
                <w:sz w:val="18"/>
                <w:szCs w:val="18"/>
                <w:color w:val="auto"/>
              </w:rPr>
            </w:pPr>
          </w:p>
        </w:tc>
      </w:tr>
      <w:tr>
        <w:trPr>
          <w:trHeight w:val="214"/>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0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0.5</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0.2</w:t>
            </w:r>
          </w:p>
        </w:tc>
        <w:tc>
          <w:tcPr>
            <w:tcW w:w="60" w:type="dxa"/>
            <w:vAlign w:val="bottom"/>
          </w:tcPr>
          <w:p>
            <w:pPr>
              <w:spacing w:after="0"/>
              <w:rPr>
                <w:sz w:val="18"/>
                <w:szCs w:val="18"/>
                <w:color w:val="auto"/>
              </w:rPr>
            </w:pPr>
          </w:p>
        </w:tc>
      </w:tr>
      <w:tr>
        <w:trPr>
          <w:trHeight w:val="231"/>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Effective income tax rate</w:t>
            </w:r>
          </w:p>
        </w:tc>
        <w:tc>
          <w:tcPr>
            <w:tcW w:w="10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15.2 %</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13.8 %</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13.3 %</w:t>
            </w:r>
          </w:p>
        </w:tc>
        <w:tc>
          <w:tcPr>
            <w:tcW w:w="60" w:type="dxa"/>
            <w:vAlign w:val="bottom"/>
            <w:tcBorders>
              <w:left w:val="single" w:sz="8" w:color="CCEEFF"/>
            </w:tcBorders>
          </w:tcPr>
          <w:p>
            <w:pPr>
              <w:spacing w:after="0"/>
              <w:rPr>
                <w:sz w:val="19"/>
                <w:szCs w:val="19"/>
                <w:color w:val="auto"/>
              </w:rPr>
            </w:pPr>
          </w:p>
        </w:tc>
      </w:tr>
      <w:tr>
        <w:trPr>
          <w:trHeight w:val="20"/>
        </w:trPr>
        <w:tc>
          <w:tcPr>
            <w:tcW w:w="6380" w:type="dxa"/>
            <w:vAlign w:val="bottom"/>
            <w:tcBorders>
              <w:top w:val="single" w:sz="8" w:color="CCEEFF"/>
            </w:tcBorders>
            <w:gridSpan w:val="3"/>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02"/>
        </w:trPr>
        <w:tc>
          <w:tcPr>
            <w:tcW w:w="7640" w:type="dxa"/>
            <w:vAlign w:val="bottom"/>
            <w:gridSpan w:val="4"/>
          </w:tcPr>
          <w:p>
            <w:pPr>
              <w:spacing w:after="0"/>
              <w:rPr>
                <w:sz w:val="20"/>
                <w:szCs w:val="20"/>
                <w:color w:val="auto"/>
              </w:rPr>
            </w:pPr>
            <w:r>
              <w:rPr>
                <w:rFonts w:ascii="Arial" w:cs="Arial" w:eastAsia="Arial" w:hAnsi="Arial"/>
                <w:sz w:val="17"/>
                <w:szCs w:val="17"/>
                <w:color w:val="auto"/>
              </w:rPr>
              <w:t>The tax effect of temporary differences which give rise to deferred income tax assets and liabilities at</w:t>
            </w:r>
          </w:p>
        </w:tc>
        <w:tc>
          <w:tcPr>
            <w:tcW w:w="3600" w:type="dxa"/>
            <w:vAlign w:val="bottom"/>
            <w:gridSpan w:val="11"/>
          </w:tcPr>
          <w:p>
            <w:pPr>
              <w:spacing w:after="0"/>
              <w:rPr>
                <w:sz w:val="20"/>
                <w:szCs w:val="20"/>
                <w:color w:val="auto"/>
              </w:rPr>
            </w:pPr>
            <w:r>
              <w:rPr>
                <w:rFonts w:ascii="Arial" w:cs="Arial" w:eastAsia="Arial" w:hAnsi="Arial"/>
                <w:sz w:val="17"/>
                <w:szCs w:val="17"/>
                <w:color w:val="auto"/>
              </w:rPr>
              <w:t>December 31, 2023 and 2022, are as follows:</w:t>
            </w:r>
          </w:p>
        </w:tc>
      </w:tr>
      <w:tr>
        <w:trPr>
          <w:trHeight w:val="755"/>
        </w:trPr>
        <w:tc>
          <w:tcPr>
            <w:tcW w:w="4960" w:type="dxa"/>
            <w:vAlign w:val="bottom"/>
          </w:tcPr>
          <w:p>
            <w:pPr>
              <w:spacing w:after="0"/>
              <w:rPr>
                <w:sz w:val="24"/>
                <w:szCs w:val="24"/>
                <w:color w:val="auto"/>
              </w:rPr>
            </w:pPr>
          </w:p>
        </w:tc>
        <w:tc>
          <w:tcPr>
            <w:tcW w:w="1060" w:type="dxa"/>
            <w:vAlign w:val="bottom"/>
          </w:tcPr>
          <w:p>
            <w:pPr>
              <w:jc w:val="right"/>
              <w:ind w:right="216"/>
              <w:spacing w:after="0"/>
              <w:rPr>
                <w:sz w:val="20"/>
                <w:szCs w:val="20"/>
                <w:color w:val="auto"/>
              </w:rPr>
            </w:pPr>
            <w:r>
              <w:rPr>
                <w:rFonts w:ascii="Arial" w:cs="Arial" w:eastAsia="Arial" w:hAnsi="Arial"/>
                <w:sz w:val="17"/>
                <w:szCs w:val="17"/>
                <w:color w:val="auto"/>
              </w:rPr>
              <w:t>60</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2"/>
        </w:trPr>
        <w:tc>
          <w:tcPr>
            <w:tcW w:w="49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GENTEX CORPORATION AND SUBSIDIARIES</w:t>
            </w:r>
          </w:p>
        </w:tc>
        <w:tc>
          <w:tcPr>
            <w:tcW w:w="580" w:type="dxa"/>
            <w:vAlign w:val="bottom"/>
            <w:gridSpan w:val="3"/>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860" w:type="dxa"/>
            <w:vAlign w:val="bottom"/>
            <w:gridSpan w:val="6"/>
          </w:tcPr>
          <w:p>
            <w:pPr>
              <w:jc w:val="center"/>
              <w:spacing w:after="0" w:line="181" w:lineRule="exact"/>
              <w:rPr>
                <w:sz w:val="20"/>
                <w:szCs w:val="20"/>
                <w:color w:val="auto"/>
              </w:rPr>
            </w:pPr>
            <w:r>
              <w:rPr>
                <w:rFonts w:ascii="Arial" w:cs="Arial" w:eastAsia="Arial" w:hAnsi="Arial"/>
                <w:sz w:val="17"/>
                <w:szCs w:val="17"/>
                <w:b w:val="1"/>
                <w:bCs w:val="1"/>
                <w:color w:val="auto"/>
                <w:w w:val="97"/>
              </w:rPr>
              <w:t>NOTES TO CONSOLIDATED FINANCIAL STATEMENTS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0" w:type="dxa"/>
            <w:vAlign w:val="bottom"/>
            <w:vMerge w:val="restart"/>
          </w:tcPr>
          <w:p>
            <w:pPr>
              <w:spacing w:after="0"/>
              <w:rPr>
                <w:sz w:val="20"/>
                <w:szCs w:val="20"/>
                <w:color w:val="auto"/>
              </w:rPr>
            </w:pPr>
            <w:r>
              <w:rPr>
                <w:rFonts w:ascii="Arial" w:cs="Arial" w:eastAsia="Arial" w:hAnsi="Arial"/>
                <w:sz w:val="17"/>
                <w:szCs w:val="17"/>
                <w:color w:val="auto"/>
              </w:rPr>
              <w:t>(3)</w:t>
            </w:r>
          </w:p>
        </w:tc>
        <w:tc>
          <w:tcPr>
            <w:tcW w:w="2900" w:type="dxa"/>
            <w:vAlign w:val="bottom"/>
            <w:vMerge w:val="restart"/>
          </w:tcPr>
          <w:p>
            <w:pPr>
              <w:ind w:left="360"/>
              <w:spacing w:after="0"/>
              <w:rPr>
                <w:sz w:val="20"/>
                <w:szCs w:val="20"/>
                <w:color w:val="auto"/>
              </w:rPr>
            </w:pPr>
            <w:r>
              <w:rPr>
                <w:rFonts w:ascii="Arial" w:cs="Arial" w:eastAsia="Arial" w:hAnsi="Arial"/>
                <w:sz w:val="17"/>
                <w:szCs w:val="17"/>
                <w:color w:val="auto"/>
              </w:rPr>
              <w:t>INCOME TAXES, continued</w:t>
            </w:r>
          </w:p>
        </w:tc>
        <w:tc>
          <w:tcPr>
            <w:tcW w:w="3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000" w:type="dxa"/>
            <w:vAlign w:val="bottom"/>
            <w:tcBorders>
              <w:top w:val="single" w:sz="8" w:color="auto"/>
            </w:tcBorders>
            <w:gridSpan w:val="3"/>
          </w:tcPr>
          <w:p>
            <w:pPr>
              <w:jc w:val="center"/>
              <w:ind w:right="256"/>
              <w:spacing w:after="0"/>
              <w:rPr>
                <w:sz w:val="20"/>
                <w:szCs w:val="20"/>
                <w:color w:val="auto"/>
              </w:rPr>
            </w:pPr>
            <w:r>
              <w:rPr>
                <w:rFonts w:ascii="Arial" w:cs="Arial" w:eastAsia="Arial" w:hAnsi="Arial"/>
                <w:sz w:val="17"/>
                <w:szCs w:val="17"/>
                <w:b w:val="1"/>
                <w:bCs w:val="1"/>
                <w:color w:val="auto"/>
                <w:w w:val="98"/>
              </w:rPr>
              <w:t>(Continued)</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60" w:type="dxa"/>
            <w:vAlign w:val="bottom"/>
            <w:vMerge w:val="continue"/>
          </w:tcPr>
          <w:p>
            <w:pPr>
              <w:spacing w:after="0"/>
              <w:rPr>
                <w:sz w:val="16"/>
                <w:szCs w:val="16"/>
                <w:color w:val="auto"/>
              </w:rPr>
            </w:pPr>
          </w:p>
        </w:tc>
        <w:tc>
          <w:tcPr>
            <w:tcW w:w="29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4"/>
        </w:trPr>
        <w:tc>
          <w:tcPr>
            <w:tcW w:w="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3"/>
                <w:szCs w:val="13"/>
                <w:b w:val="1"/>
                <w:bCs w:val="1"/>
                <w:color w:val="auto"/>
              </w:rPr>
              <w:t>December 31,</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60" w:type="dxa"/>
            <w:vAlign w:val="bottom"/>
            <w:tcBorders>
              <w:bottom w:val="single" w:sz="8" w:color="CCEEFF"/>
            </w:tcBorders>
          </w:tcPr>
          <w:p>
            <w:pPr>
              <w:spacing w:after="0"/>
              <w:rPr>
                <w:sz w:val="15"/>
                <w:szCs w:val="15"/>
                <w:color w:val="auto"/>
              </w:rPr>
            </w:pPr>
          </w:p>
        </w:tc>
        <w:tc>
          <w:tcPr>
            <w:tcW w:w="29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3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94"/>
        </w:trPr>
        <w:tc>
          <w:tcPr>
            <w:tcW w:w="316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rPr>
              <w:t>Assets:</w:t>
            </w: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2900" w:type="dxa"/>
            <w:vAlign w:val="bottom"/>
          </w:tcPr>
          <w:p>
            <w:pPr>
              <w:ind w:left="60"/>
              <w:spacing w:after="0"/>
              <w:rPr>
                <w:sz w:val="20"/>
                <w:szCs w:val="20"/>
                <w:color w:val="auto"/>
              </w:rPr>
            </w:pPr>
            <w:r>
              <w:rPr>
                <w:rFonts w:ascii="Arial" w:cs="Arial" w:eastAsia="Arial" w:hAnsi="Arial"/>
                <w:sz w:val="17"/>
                <w:szCs w:val="17"/>
                <w:color w:val="auto"/>
              </w:rPr>
              <w:t>Accruals not currently deductible</w:t>
            </w:r>
          </w:p>
        </w:tc>
        <w:tc>
          <w:tcPr>
            <w:tcW w:w="4640" w:type="dxa"/>
            <w:vAlign w:val="bottom"/>
            <w:gridSpan w:val="5"/>
          </w:tcPr>
          <w:p>
            <w:pPr>
              <w:jc w:val="right"/>
              <w:ind w:right="9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10,989,677</w:t>
            </w:r>
          </w:p>
        </w:tc>
        <w:tc>
          <w:tcPr>
            <w:tcW w:w="100" w:type="dxa"/>
            <w:vAlign w:val="bottom"/>
          </w:tcPr>
          <w:p>
            <w:pPr>
              <w:spacing w:after="0"/>
              <w:rPr>
                <w:sz w:val="18"/>
                <w:szCs w:val="18"/>
                <w:color w:val="auto"/>
              </w:rPr>
            </w:pPr>
          </w:p>
        </w:tc>
        <w:tc>
          <w:tcPr>
            <w:tcW w:w="56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9,778,184</w:t>
            </w:r>
          </w:p>
        </w:tc>
        <w:tc>
          <w:tcPr>
            <w:tcW w:w="0" w:type="dxa"/>
            <w:vAlign w:val="bottom"/>
          </w:tcPr>
          <w:p>
            <w:pPr>
              <w:spacing w:after="0"/>
              <w:rPr>
                <w:sz w:val="1"/>
                <w:szCs w:val="1"/>
                <w:color w:val="auto"/>
              </w:rPr>
            </w:pPr>
          </w:p>
        </w:tc>
      </w:tr>
      <w:tr>
        <w:trPr>
          <w:trHeight w:val="214"/>
        </w:trPr>
        <w:tc>
          <w:tcPr>
            <w:tcW w:w="260" w:type="dxa"/>
            <w:vAlign w:val="bottom"/>
            <w:shd w:val="clear" w:color="auto" w:fill="CCEEFF"/>
          </w:tcPr>
          <w:p>
            <w:pPr>
              <w:spacing w:after="0"/>
              <w:rPr>
                <w:sz w:val="18"/>
                <w:szCs w:val="18"/>
                <w:color w:val="auto"/>
              </w:rPr>
            </w:pPr>
          </w:p>
        </w:tc>
        <w:tc>
          <w:tcPr>
            <w:tcW w:w="290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Research and development costs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70,252,363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58,501,232</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2900" w:type="dxa"/>
            <w:vAlign w:val="bottom"/>
          </w:tcPr>
          <w:p>
            <w:pPr>
              <w:ind w:left="60"/>
              <w:spacing w:after="0"/>
              <w:rPr>
                <w:sz w:val="20"/>
                <w:szCs w:val="20"/>
                <w:color w:val="auto"/>
              </w:rPr>
            </w:pPr>
            <w:r>
              <w:rPr>
                <w:rFonts w:ascii="Arial" w:cs="Arial" w:eastAsia="Arial" w:hAnsi="Arial"/>
                <w:sz w:val="17"/>
                <w:szCs w:val="17"/>
                <w:color w:val="auto"/>
              </w:rPr>
              <w:t>Stock based compensation</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15,536,416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14,670,250</w:t>
            </w:r>
          </w:p>
        </w:tc>
        <w:tc>
          <w:tcPr>
            <w:tcW w:w="0" w:type="dxa"/>
            <w:vAlign w:val="bottom"/>
          </w:tcPr>
          <w:p>
            <w:pPr>
              <w:spacing w:after="0"/>
              <w:rPr>
                <w:sz w:val="1"/>
                <w:szCs w:val="1"/>
                <w:color w:val="auto"/>
              </w:rPr>
            </w:pPr>
          </w:p>
        </w:tc>
      </w:tr>
      <w:tr>
        <w:trPr>
          <w:trHeight w:val="214"/>
        </w:trPr>
        <w:tc>
          <w:tcPr>
            <w:tcW w:w="260" w:type="dxa"/>
            <w:vAlign w:val="bottom"/>
            <w:shd w:val="clear" w:color="auto" w:fill="CCEEFF"/>
          </w:tcPr>
          <w:p>
            <w:pPr>
              <w:spacing w:after="0"/>
              <w:rPr>
                <w:sz w:val="18"/>
                <w:szCs w:val="18"/>
                <w:color w:val="auto"/>
              </w:rPr>
            </w:pPr>
          </w:p>
        </w:tc>
        <w:tc>
          <w:tcPr>
            <w:tcW w:w="2900" w:type="dxa"/>
            <w:vAlign w:val="bottom"/>
            <w:shd w:val="clear" w:color="auto" w:fill="CCEEFF"/>
          </w:tcPr>
          <w:p>
            <w:pPr>
              <w:ind w:left="60"/>
              <w:spacing w:after="0"/>
              <w:rPr>
                <w:sz w:val="20"/>
                <w:szCs w:val="20"/>
                <w:color w:val="auto"/>
              </w:rPr>
            </w:pPr>
            <w:r>
              <w:rPr>
                <w:rFonts w:ascii="Arial" w:cs="Arial" w:eastAsia="Arial" w:hAnsi="Arial"/>
                <w:sz w:val="17"/>
                <w:szCs w:val="17"/>
                <w:color w:val="auto"/>
              </w:rPr>
              <w:t>Excess tax over book depreciation</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7,060,777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6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4,025,082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4,722,513</w:t>
            </w:r>
          </w:p>
        </w:tc>
        <w:tc>
          <w:tcPr>
            <w:tcW w:w="0" w:type="dxa"/>
            <w:vAlign w:val="bottom"/>
          </w:tcPr>
          <w:p>
            <w:pPr>
              <w:spacing w:after="0"/>
              <w:rPr>
                <w:sz w:val="1"/>
                <w:szCs w:val="1"/>
                <w:color w:val="auto"/>
              </w:rPr>
            </w:pPr>
          </w:p>
        </w:tc>
      </w:tr>
      <w:tr>
        <w:trPr>
          <w:trHeight w:val="20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deferred income tax assets</w:t>
            </w:r>
          </w:p>
        </w:tc>
        <w:tc>
          <w:tcPr>
            <w:tcW w:w="4360" w:type="dxa"/>
            <w:vAlign w:val="bottom"/>
            <w:gridSpan w:val="4"/>
            <w:shd w:val="clear" w:color="auto" w:fill="CCEEFF"/>
          </w:tcPr>
          <w:p>
            <w:pPr>
              <w:spacing w:after="0"/>
              <w:rPr>
                <w:sz w:val="17"/>
                <w:szCs w:val="17"/>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107,864,315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87,672,179</w:t>
            </w:r>
          </w:p>
        </w:tc>
        <w:tc>
          <w:tcPr>
            <w:tcW w:w="0" w:type="dxa"/>
            <w:vAlign w:val="bottom"/>
          </w:tcPr>
          <w:p>
            <w:pPr>
              <w:spacing w:after="0"/>
              <w:rPr>
                <w:sz w:val="1"/>
                <w:szCs w:val="1"/>
                <w:color w:val="auto"/>
              </w:rPr>
            </w:pPr>
          </w:p>
        </w:tc>
      </w:tr>
      <w:tr>
        <w:trPr>
          <w:trHeight w:val="214"/>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Liabilities: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 w:type="dxa"/>
            <w:vAlign w:val="bottom"/>
            <w:shd w:val="clear" w:color="auto" w:fill="CCEEFF"/>
          </w:tcPr>
          <w:p>
            <w:pPr>
              <w:spacing w:after="0"/>
              <w:rPr>
                <w:sz w:val="18"/>
                <w:szCs w:val="18"/>
                <w:color w:val="auto"/>
              </w:rPr>
            </w:pPr>
          </w:p>
        </w:tc>
        <w:tc>
          <w:tcPr>
            <w:tcW w:w="2900" w:type="dxa"/>
            <w:vAlign w:val="bottom"/>
            <w:shd w:val="clear" w:color="auto" w:fill="CCEEFF"/>
          </w:tcPr>
          <w:p>
            <w:pPr>
              <w:ind w:left="60"/>
              <w:spacing w:after="0"/>
              <w:rPr>
                <w:sz w:val="20"/>
                <w:szCs w:val="20"/>
                <w:color w:val="auto"/>
              </w:rPr>
            </w:pPr>
            <w:r>
              <w:rPr>
                <w:rFonts w:ascii="Arial" w:cs="Arial" w:eastAsia="Arial" w:hAnsi="Arial"/>
                <w:sz w:val="17"/>
                <w:szCs w:val="17"/>
                <w:color w:val="auto"/>
              </w:rPr>
              <w:t>Excess tax over book depreciation</w:t>
            </w:r>
          </w:p>
        </w:tc>
        <w:tc>
          <w:tcPr>
            <w:tcW w:w="4640" w:type="dxa"/>
            <w:vAlign w:val="bottom"/>
            <w:gridSpan w:val="5"/>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(3,460,485)</w:t>
            </w: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2900" w:type="dxa"/>
            <w:vAlign w:val="bottom"/>
          </w:tcPr>
          <w:p>
            <w:pPr>
              <w:ind w:left="60"/>
              <w:spacing w:after="0"/>
              <w:rPr>
                <w:sz w:val="20"/>
                <w:szCs w:val="20"/>
                <w:color w:val="auto"/>
              </w:rPr>
            </w:pPr>
            <w:r>
              <w:rPr>
                <w:rFonts w:ascii="Arial" w:cs="Arial" w:eastAsia="Arial" w:hAnsi="Arial"/>
                <w:sz w:val="17"/>
                <w:szCs w:val="17"/>
                <w:color w:val="auto"/>
              </w:rPr>
              <w:t>Goodwill</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(47,185,855)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(42,580,026)</w:t>
            </w:r>
          </w:p>
        </w:tc>
        <w:tc>
          <w:tcPr>
            <w:tcW w:w="0" w:type="dxa"/>
            <w:vAlign w:val="bottom"/>
          </w:tcPr>
          <w:p>
            <w:pPr>
              <w:spacing w:after="0"/>
              <w:rPr>
                <w:sz w:val="1"/>
                <w:szCs w:val="1"/>
                <w:color w:val="auto"/>
              </w:rPr>
            </w:pPr>
          </w:p>
        </w:tc>
      </w:tr>
      <w:tr>
        <w:trPr>
          <w:trHeight w:val="214"/>
        </w:trPr>
        <w:tc>
          <w:tcPr>
            <w:tcW w:w="260" w:type="dxa"/>
            <w:vAlign w:val="bottom"/>
            <w:shd w:val="clear" w:color="auto" w:fill="CCEEFF"/>
          </w:tcPr>
          <w:p>
            <w:pPr>
              <w:spacing w:after="0"/>
              <w:rPr>
                <w:sz w:val="18"/>
                <w:szCs w:val="18"/>
                <w:color w:val="auto"/>
              </w:rPr>
            </w:pPr>
          </w:p>
        </w:tc>
        <w:tc>
          <w:tcPr>
            <w:tcW w:w="2900" w:type="dxa"/>
            <w:vAlign w:val="bottom"/>
            <w:shd w:val="clear" w:color="auto" w:fill="CCEEFF"/>
          </w:tcPr>
          <w:p>
            <w:pPr>
              <w:ind w:left="60"/>
              <w:spacing w:after="0"/>
              <w:rPr>
                <w:sz w:val="20"/>
                <w:szCs w:val="20"/>
                <w:color w:val="auto"/>
              </w:rPr>
            </w:pPr>
            <w:r>
              <w:rPr>
                <w:rFonts w:ascii="Arial" w:cs="Arial" w:eastAsia="Arial" w:hAnsi="Arial"/>
                <w:sz w:val="17"/>
                <w:szCs w:val="17"/>
                <w:color w:val="auto"/>
              </w:rPr>
              <w:t>Intangible assets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(15,235,639)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(13,268,772)</w:t>
            </w:r>
          </w:p>
        </w:tc>
        <w:tc>
          <w:tcPr>
            <w:tcW w:w="0" w:type="dxa"/>
            <w:vAlign w:val="bottom"/>
          </w:tcPr>
          <w:p>
            <w:pPr>
              <w:spacing w:after="0"/>
              <w:rPr>
                <w:sz w:val="1"/>
                <w:szCs w:val="1"/>
                <w:color w:val="auto"/>
              </w:rPr>
            </w:pPr>
          </w:p>
        </w:tc>
      </w:tr>
      <w:tr>
        <w:trPr>
          <w:trHeight w:val="214"/>
        </w:trPr>
        <w:tc>
          <w:tcPr>
            <w:tcW w:w="26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(4,329,062)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(2,834,196)</w:t>
            </w:r>
          </w:p>
        </w:tc>
        <w:tc>
          <w:tcPr>
            <w:tcW w:w="0" w:type="dxa"/>
            <w:vAlign w:val="bottom"/>
          </w:tcPr>
          <w:p>
            <w:pPr>
              <w:spacing w:after="0"/>
              <w:rPr>
                <w:sz w:val="1"/>
                <w:szCs w:val="1"/>
                <w:color w:val="auto"/>
              </w:rPr>
            </w:pPr>
          </w:p>
        </w:tc>
      </w:tr>
      <w:tr>
        <w:trPr>
          <w:trHeight w:val="20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deferred income tax liabilities</w:t>
            </w:r>
          </w:p>
        </w:tc>
        <w:tc>
          <w:tcPr>
            <w:tcW w:w="4360" w:type="dxa"/>
            <w:vAlign w:val="bottom"/>
            <w:gridSpan w:val="4"/>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(66,750,556)</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(62,143,479)</w:t>
            </w:r>
          </w:p>
        </w:tc>
        <w:tc>
          <w:tcPr>
            <w:tcW w:w="0" w:type="dxa"/>
            <w:vAlign w:val="bottom"/>
          </w:tcPr>
          <w:p>
            <w:pPr>
              <w:spacing w:after="0"/>
              <w:rPr>
                <w:sz w:val="1"/>
                <w:szCs w:val="1"/>
                <w:color w:val="auto"/>
              </w:rPr>
            </w:pPr>
          </w:p>
        </w:tc>
      </w:tr>
      <w:tr>
        <w:trPr>
          <w:trHeight w:val="206"/>
        </w:trPr>
        <w:tc>
          <w:tcPr>
            <w:tcW w:w="3160" w:type="dxa"/>
            <w:vAlign w:val="bottom"/>
            <w:gridSpan w:val="2"/>
          </w:tcPr>
          <w:p>
            <w:pPr>
              <w:ind w:left="20"/>
              <w:spacing w:after="0"/>
              <w:rPr>
                <w:sz w:val="20"/>
                <w:szCs w:val="20"/>
                <w:color w:val="auto"/>
              </w:rPr>
            </w:pPr>
            <w:r>
              <w:rPr>
                <w:rFonts w:ascii="Arial" w:cs="Arial" w:eastAsia="Arial" w:hAnsi="Arial"/>
                <w:sz w:val="17"/>
                <w:szCs w:val="17"/>
                <w:color w:val="auto"/>
              </w:rPr>
              <w:t>Net deferred income taxes</w:t>
            </w:r>
          </w:p>
        </w:tc>
        <w:tc>
          <w:tcPr>
            <w:tcW w:w="4360" w:type="dxa"/>
            <w:vAlign w:val="bottom"/>
            <w:gridSpan w:val="4"/>
          </w:tcPr>
          <w:p>
            <w:pPr>
              <w:spacing w:after="0"/>
              <w:rPr>
                <w:sz w:val="17"/>
                <w:szCs w:val="17"/>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41,113,759</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25,528,700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Net operating loss carryforwards with no expiration totaling $6.0 million are available to reduce future taxable earnings of certain domestic and foreign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Income taxes paid in cash were approximately $110.3 million, $35.2 million and $105.8 million in 2023, 2022 and 2021,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2021</w:t>
            </w:r>
          </w:p>
        </w:tc>
      </w:tr>
      <w:tr>
        <w:trPr>
          <w:trHeight w:val="20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of year</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4,630,000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5,275,000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4,864,000</w:t>
            </w:r>
          </w:p>
        </w:tc>
      </w:tr>
      <w:tr>
        <w:trPr>
          <w:trHeight w:val="214"/>
        </w:trPr>
        <w:tc>
          <w:tcPr>
            <w:tcW w:w="6360" w:type="dxa"/>
            <w:vAlign w:val="bottom"/>
          </w:tcPr>
          <w:p>
            <w:pPr>
              <w:ind w:left="20"/>
              <w:spacing w:after="0"/>
              <w:rPr>
                <w:sz w:val="20"/>
                <w:szCs w:val="20"/>
                <w:color w:val="auto"/>
              </w:rPr>
            </w:pPr>
            <w:r>
              <w:rPr>
                <w:rFonts w:ascii="Arial" w:cs="Arial" w:eastAsia="Arial" w:hAnsi="Arial"/>
                <w:sz w:val="17"/>
                <w:szCs w:val="17"/>
                <w:color w:val="auto"/>
              </w:rPr>
              <w:t>Additions based on tax positions related to the current year</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1,046,000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951,000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1,023,000</w:t>
            </w: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 for tax positions in prior years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364,000</w:t>
            </w:r>
          </w:p>
        </w:tc>
      </w:tr>
      <w:tr>
        <w:trPr>
          <w:trHeight w:val="214"/>
        </w:trPr>
        <w:tc>
          <w:tcPr>
            <w:tcW w:w="6360" w:type="dxa"/>
            <w:vAlign w:val="bottom"/>
          </w:tcPr>
          <w:p>
            <w:pPr>
              <w:ind w:left="20"/>
              <w:spacing w:after="0"/>
              <w:rPr>
                <w:sz w:val="20"/>
                <w:szCs w:val="20"/>
                <w:color w:val="auto"/>
              </w:rPr>
            </w:pPr>
            <w:r>
              <w:rPr>
                <w:rFonts w:ascii="Arial" w:cs="Arial" w:eastAsia="Arial" w:hAnsi="Arial"/>
                <w:sz w:val="17"/>
                <w:szCs w:val="17"/>
                <w:color w:val="auto"/>
              </w:rPr>
              <w:t>Reductions for tax positions in prior years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(51,000)</w:t>
            </w: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Reductions as a result of a lapse of the applicable statute of limitations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(1,538,000)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(1,923,000)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(925,000)</w:t>
            </w:r>
          </w:p>
        </w:tc>
      </w:tr>
      <w:tr>
        <w:trPr>
          <w:trHeight w:val="206"/>
        </w:trPr>
        <w:tc>
          <w:tcPr>
            <w:tcW w:w="6360" w:type="dxa"/>
            <w:vAlign w:val="bottom"/>
          </w:tcPr>
          <w:p>
            <w:pPr>
              <w:ind w:left="20"/>
              <w:spacing w:after="0"/>
              <w:rPr>
                <w:sz w:val="20"/>
                <w:szCs w:val="20"/>
                <w:color w:val="auto"/>
              </w:rPr>
            </w:pPr>
            <w:r>
              <w:rPr>
                <w:rFonts w:ascii="Arial" w:cs="Arial" w:eastAsia="Arial" w:hAnsi="Arial"/>
                <w:sz w:val="17"/>
                <w:szCs w:val="17"/>
                <w:color w:val="auto"/>
              </w:rPr>
              <w:t>End of year</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4,778,000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4,630,000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5,275,000</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If recognized, unrecognized tax benefits would affect the effective tax rate.</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recognizes interest and penalties related to unrecognized tax benefits through the provision for income taxes. The Company has accrued approximately $365,000</w:t>
      </w:r>
      <w:r>
        <w:rPr>
          <w:rFonts w:ascii="Arial" w:cs="Arial" w:eastAsia="Arial" w:hAnsi="Arial"/>
          <w:sz w:val="17"/>
          <w:szCs w:val="17"/>
          <w:color w:val="FAAC16"/>
        </w:rPr>
        <w:t>,</w:t>
      </w:r>
      <w:r>
        <w:rPr>
          <w:rFonts w:ascii="Arial" w:cs="Arial" w:eastAsia="Arial" w:hAnsi="Arial"/>
          <w:sz w:val="17"/>
          <w:szCs w:val="17"/>
          <w:color w:val="auto"/>
        </w:rPr>
        <w:t xml:space="preserve"> $379,000, and $605,000 for interest as of December 31, 2023, 2022, and 2021, respectively. Interest expensed during 2023, 2022 and 2021 was not considered significant.</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is also subject to periodic and routine audits in both domestic and foreign tax jurisdictions. It is reasonably possible that the amounts of unrecognized tax benefits could change as a result of an audit, new positions taken on income tax returns, settlement of tax positions and the closing of statute of limitations. It is not expected that any change will be material to the Company’s consolidated financial statements.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majority of tax jurisdictions, the Company is no longer subject to U.S. federal, state and local, or non-U.S. income tax examinations by tax authorities for years before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8" w:lineRule="exact"/>
        <w:rPr>
          <w:sz w:val="20"/>
          <w:szCs w:val="20"/>
          <w:color w:val="auto"/>
        </w:rPr>
      </w:pPr>
    </w:p>
    <w:p>
      <w:pPr>
        <w:ind w:left="600" w:hanging="599"/>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EMPLOYEE BENEFIT PLANS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2023, 2022 and 2021 the Company’s contributions were approximately $13.8 million, $12.9 million and $9.0 million, respectively. The increase in the Company's matching contributions in 2023 was due to increased employee participation in the plan. The increase in 2022 was due to changes, approved by the Company's Board of Directors, to the rate of Company match, as well as increased participation in the plan.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provide health care benefits to retired employees.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Gentex Corporation Non-Qualified Deferred Compensation Plan (the "Deferred Compensation Plan") is intended to enhance retirement savings among a select group of management or highly compensated employees who contribute significantly to the success of the Company. It is also intended to constitute an unfunded non-qualified deferred compensation plan described in Sections 201(2), 301(a)(3), and 401(a)(1) of the Employee Retirement Income Security Act of 1974, as amended ("ERISA"). Only select management and highly compensated employees, including executive officers, are eligible to participate. The Deferred Compensation Plan is administered by a committee who shall approve designation of any participants and may also remove participants.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Participants may elect, on a pre-tax basis, to defer receipt of compensation by making an election in accordance with the terms of the Deferred Compensation Plan. Participants are immediately vested in their own deferrals and related earnings. The Company may, but is not required, to match participant deferrals. Participants are generally vested in any such matching contributions 50% after two years, but before three years, of service and 100% after three years of service. A participant's vested credit balance under the Deferred Compensation Plan will generally be paid on the earliest to occur of: a separation from service; a fixed date or event; a change of control; or a plan termination. Subject to applicable rules, a participant can elect whether to receive his or her vested credit balance in a lump sum on the relevant payment date or in installments thereafter.</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deferrals are held in a separate irrevocable rabbi trust ("the Rabbi Trust"), which has been established pursuant to the Deferred Compensation Plan. The Rabbi Trust is intended to be used to hold funds, including matching contributions. The assets of the trust are subject to the claims of the Company's creditors in the event that the Company becomes insolvent. Consequently, the Rabbi Trust qualifies as a grantor trust for income tax purposes. The Company also makes periodic payments into Company-owned life insurance policies held in this Rabbi Trust to fund the expected obligations arising under this plan. At December 31, 2023, total assets held by the trustee were $8.9 million, which are recorded in Other Assets, with an associated liability of $9.0 million recorded in Other Non-Current Liabilities in the Company's consolidated balance sheets. The $8.9 million of assets held by the trustee is invested in Company-owned life insurance policies.</w:t>
      </w:r>
    </w:p>
    <w:p>
      <w:pPr>
        <w:spacing w:after="0" w:line="200" w:lineRule="exact"/>
        <w:rPr>
          <w:sz w:val="20"/>
          <w:szCs w:val="20"/>
          <w:color w:val="auto"/>
        </w:rPr>
      </w:pPr>
    </w:p>
    <w:p>
      <w:pPr>
        <w:spacing w:after="0" w:line="225" w:lineRule="exact"/>
        <w:rPr>
          <w:sz w:val="20"/>
          <w:szCs w:val="20"/>
          <w:color w:val="auto"/>
        </w:rPr>
      </w:pPr>
    </w:p>
    <w:p>
      <w:pPr>
        <w:ind w:left="600" w:hanging="599"/>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STOCK-BASED COMPENSATION PLANS</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At December 31, 2023, the Company had two equity incentive plans under which awards are made, which include the Gentex Corporation 2019 Omnibus Incentive Plan ("2019 Omnibus Plan"), and an employee stock purchase plan. Those plans and any material amendments thereto have previously been approved by shareholders.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Plans"), which were also approved by shareholders. Any existing awards previously granted under the Prior Plans remain outstanding in accordance with their terms and are governed by the Prior Plans as applicable.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Omnibus Incentive Plan</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2019 Omnibus Plan covers 45,000,000 shares of common stock. The purpose of the 2019 Omnibus Plan is to attract and retain employees, officers, and directors of the Company and its subsidiaries and to motivate and provide such persons incentives and rewards for performance. As of December 31, 2023, 25,611,657 shares (net of shares from canceled/expired options) have been issued under the 2019 Omnibus Plan, which includes stock options (at a set conversion rate), restricted shares, and performance share awards.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52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auto"/>
            </w:tcBorders>
            <w:vMerge w:val="restart"/>
            <w:shd w:val="clear" w:color="auto" w:fill="CCEEFF"/>
          </w:tcPr>
          <w:p>
            <w:pPr>
              <w:jc w:val="right"/>
              <w:ind w:right="480"/>
              <w:spacing w:after="0"/>
              <w:rPr>
                <w:sz w:val="20"/>
                <w:szCs w:val="20"/>
                <w:color w:val="auto"/>
              </w:rPr>
            </w:pPr>
            <w:r>
              <w:rPr>
                <w:rFonts w:ascii="Arial" w:cs="Arial" w:eastAsia="Arial" w:hAnsi="Arial"/>
                <w:sz w:val="13"/>
                <w:szCs w:val="13"/>
                <w:b w:val="1"/>
                <w:bCs w:val="1"/>
                <w:color w:val="auto"/>
              </w:rPr>
              <w:t>Shares Granted</w:t>
            </w:r>
          </w:p>
        </w:tc>
        <w:tc>
          <w:tcPr>
            <w:tcW w:w="22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auto"/>
            </w:tcBorders>
            <w:vMerge w:val="restart"/>
            <w:shd w:val="clear" w:color="auto" w:fill="CCEEFF"/>
          </w:tcPr>
          <w:p>
            <w:pPr>
              <w:jc w:val="right"/>
              <w:ind w:right="445"/>
              <w:spacing w:after="0"/>
              <w:rPr>
                <w:sz w:val="20"/>
                <w:szCs w:val="20"/>
                <w:color w:val="auto"/>
              </w:rPr>
            </w:pPr>
            <w:r>
              <w:rPr>
                <w:rFonts w:ascii="Arial" w:cs="Arial" w:eastAsia="Arial" w:hAnsi="Arial"/>
                <w:sz w:val="13"/>
                <w:szCs w:val="13"/>
                <w:b w:val="1"/>
                <w:bCs w:val="1"/>
                <w:color w:val="auto"/>
              </w:rPr>
              <w:t>Conversion Rate</w:t>
            </w:r>
          </w:p>
        </w:tc>
        <w:tc>
          <w:tcPr>
            <w:tcW w:w="200" w:type="dxa"/>
            <w:vAlign w:val="bottom"/>
            <w:tcBorders>
              <w:top w:val="single" w:sz="8" w:color="CCEEFF"/>
            </w:tcBorders>
            <w:vMerge w:val="restart"/>
            <w:shd w:val="clear" w:color="auto" w:fill="CCEEFF"/>
          </w:tcPr>
          <w:p>
            <w:pPr>
              <w:spacing w:after="0"/>
              <w:rPr>
                <w:sz w:val="13"/>
                <w:szCs w:val="13"/>
                <w:color w:val="auto"/>
              </w:rPr>
            </w:pPr>
          </w:p>
        </w:tc>
        <w:tc>
          <w:tcPr>
            <w:tcW w:w="210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3"/>
                <w:szCs w:val="13"/>
                <w:b w:val="1"/>
                <w:bCs w:val="1"/>
                <w:color w:val="auto"/>
              </w:rPr>
              <w:t>Total Shares Under 2019</w:t>
            </w:r>
          </w:p>
        </w:tc>
        <w:tc>
          <w:tcPr>
            <w:tcW w:w="0" w:type="dxa"/>
            <w:vAlign w:val="bottom"/>
          </w:tcPr>
          <w:p>
            <w:pPr>
              <w:spacing w:after="0"/>
              <w:rPr>
                <w:sz w:val="1"/>
                <w:szCs w:val="1"/>
                <w:color w:val="auto"/>
              </w:rPr>
            </w:pPr>
          </w:p>
        </w:tc>
      </w:tr>
      <w:tr>
        <w:trPr>
          <w:trHeight w:val="173"/>
        </w:trPr>
        <w:tc>
          <w:tcPr>
            <w:tcW w:w="4520" w:type="dxa"/>
            <w:vAlign w:val="bottom"/>
            <w:shd w:val="clear" w:color="auto" w:fill="CCEEFF"/>
          </w:tcPr>
          <w:p>
            <w:pPr>
              <w:spacing w:after="0"/>
              <w:rPr>
                <w:sz w:val="15"/>
                <w:szCs w:val="15"/>
                <w:color w:val="auto"/>
              </w:rPr>
            </w:pPr>
          </w:p>
        </w:tc>
        <w:tc>
          <w:tcPr>
            <w:tcW w:w="210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00" w:type="dxa"/>
            <w:vAlign w:val="bottom"/>
            <w:tcBorders>
              <w:bottom w:val="single" w:sz="8" w:color="auto"/>
            </w:tcBorders>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2100" w:type="dxa"/>
            <w:vAlign w:val="bottom"/>
            <w:tcBorders>
              <w:bottom w:val="single" w:sz="8" w:color="auto"/>
            </w:tcBorders>
            <w:shd w:val="clear" w:color="auto" w:fill="CCEEFF"/>
          </w:tcPr>
          <w:p>
            <w:pPr>
              <w:jc w:val="right"/>
              <w:ind w:right="522"/>
              <w:spacing w:after="0"/>
              <w:rPr>
                <w:sz w:val="20"/>
                <w:szCs w:val="20"/>
                <w:color w:val="auto"/>
              </w:rPr>
            </w:pPr>
            <w:r>
              <w:rPr>
                <w:rFonts w:ascii="Arial" w:cs="Arial" w:eastAsia="Arial" w:hAnsi="Arial"/>
                <w:sz w:val="13"/>
                <w:szCs w:val="13"/>
                <w:b w:val="1"/>
                <w:bCs w:val="1"/>
                <w:color w:val="auto"/>
              </w:rPr>
              <w:t>Omnibus Plan</w:t>
            </w:r>
          </w:p>
        </w:tc>
        <w:tc>
          <w:tcPr>
            <w:tcW w:w="0" w:type="dxa"/>
            <w:vAlign w:val="bottom"/>
          </w:tcPr>
          <w:p>
            <w:pPr>
              <w:spacing w:after="0"/>
              <w:rPr>
                <w:sz w:val="1"/>
                <w:szCs w:val="1"/>
                <w:color w:val="auto"/>
              </w:rPr>
            </w:pPr>
          </w:p>
        </w:tc>
      </w:tr>
      <w:tr>
        <w:trPr>
          <w:trHeight w:val="206"/>
        </w:trPr>
        <w:tc>
          <w:tcPr>
            <w:tcW w:w="4520" w:type="dxa"/>
            <w:vAlign w:val="bottom"/>
          </w:tcPr>
          <w:p>
            <w:pPr>
              <w:ind w:left="20"/>
              <w:spacing w:after="0"/>
              <w:rPr>
                <w:sz w:val="20"/>
                <w:szCs w:val="20"/>
                <w:color w:val="auto"/>
              </w:rPr>
            </w:pPr>
            <w:r>
              <w:rPr>
                <w:rFonts w:ascii="Arial" w:cs="Arial" w:eastAsia="Arial" w:hAnsi="Arial"/>
                <w:sz w:val="17"/>
                <w:szCs w:val="17"/>
                <w:color w:val="auto"/>
              </w:rPr>
              <w:t>Non-Qualified Stock Options</w:t>
            </w:r>
          </w:p>
        </w:tc>
        <w:tc>
          <w:tcPr>
            <w:tcW w:w="2100" w:type="dxa"/>
            <w:vAlign w:val="bottom"/>
          </w:tcPr>
          <w:p>
            <w:pPr>
              <w:jc w:val="right"/>
              <w:spacing w:after="0"/>
              <w:rPr>
                <w:sz w:val="20"/>
                <w:szCs w:val="20"/>
                <w:color w:val="auto"/>
              </w:rPr>
            </w:pPr>
            <w:r>
              <w:rPr>
                <w:rFonts w:ascii="Arial" w:cs="Arial" w:eastAsia="Arial" w:hAnsi="Arial"/>
                <w:sz w:val="17"/>
                <w:szCs w:val="17"/>
                <w:color w:val="auto"/>
              </w:rPr>
              <w:t>4,908,950</w:t>
            </w:r>
          </w:p>
        </w:tc>
        <w:tc>
          <w:tcPr>
            <w:tcW w:w="22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4,908,950</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4,231,194</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17,178,648</w:t>
            </w:r>
          </w:p>
        </w:tc>
        <w:tc>
          <w:tcPr>
            <w:tcW w:w="0" w:type="dxa"/>
            <w:vAlign w:val="bottom"/>
          </w:tcPr>
          <w:p>
            <w:pPr>
              <w:spacing w:after="0"/>
              <w:rPr>
                <w:sz w:val="1"/>
                <w:szCs w:val="1"/>
                <w:color w:val="auto"/>
              </w:rPr>
            </w:pPr>
          </w:p>
        </w:tc>
      </w:tr>
      <w:tr>
        <w:trPr>
          <w:trHeight w:val="214"/>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Performance Shares</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867,995</w:t>
            </w:r>
          </w:p>
        </w:tc>
        <w:tc>
          <w:tcPr>
            <w:tcW w:w="2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4.06</w:t>
            </w:r>
          </w:p>
        </w:tc>
        <w:tc>
          <w:tcPr>
            <w:tcW w:w="20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3,524,059</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10,008,139</w:t>
            </w:r>
          </w:p>
        </w:tc>
        <w:tc>
          <w:tcPr>
            <w:tcW w:w="2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25,611,657</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Employee Stock Options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Employee Stock Option Plan allowed the Company to grant up to 24,000,000 shares of common stock under the plan, prior to its replacement by the 2019 Omnibus Plan.</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granted options on 4,908,950 shares (net of shares from canceled/expired options) under the 2019 Omnibus Plan and 12,674,639 shares (net of shares from canceled/expired options) under the prior plan (prior to its replacement) through December 31, 2023. Under each of such plans, the option exercise price equals the stock’s market price on date of grant. The options vest after one to five years, and expire after five to ten years.</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fair value of each option grant was estimated on the date of grant using the Black-Scholes option pricing model with the following weighted-average assumptions for the indicated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2021</w:t>
            </w:r>
          </w:p>
        </w:tc>
      </w:tr>
      <w:tr>
        <w:trPr>
          <w:trHeight w:val="207"/>
        </w:trPr>
        <w:tc>
          <w:tcPr>
            <w:tcW w:w="6100" w:type="dxa"/>
            <w:vAlign w:val="bottom"/>
            <w:shd w:val="clear" w:color="auto" w:fill="CCEEFF"/>
          </w:tcPr>
          <w:p>
            <w:pPr>
              <w:ind w:left="20"/>
              <w:spacing w:after="0" w:line="207" w:lineRule="exact"/>
              <w:rPr>
                <w:sz w:val="20"/>
                <w:szCs w:val="20"/>
                <w:color w:val="auto"/>
              </w:rPr>
            </w:pPr>
            <w:r>
              <w:rPr>
                <w:rFonts w:ascii="Arial" w:cs="Arial" w:eastAsia="Arial" w:hAnsi="Arial"/>
                <w:sz w:val="17"/>
                <w:szCs w:val="17"/>
                <w:color w:val="auto"/>
              </w:rPr>
              <w:t xml:space="preserve">Dividend yield </w:t>
            </w:r>
            <w:r>
              <w:rPr>
                <w:rFonts w:ascii="Arial" w:cs="Arial" w:eastAsia="Arial" w:hAnsi="Arial"/>
                <w:sz w:val="21"/>
                <w:szCs w:val="21"/>
                <w:color w:val="auto"/>
                <w:vertAlign w:val="superscript"/>
              </w:rPr>
              <w:t>(1)</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r>
      <w:tr>
        <w:trPr>
          <w:trHeight w:val="214"/>
        </w:trPr>
        <w:tc>
          <w:tcPr>
            <w:tcW w:w="6100" w:type="dxa"/>
            <w:vAlign w:val="bottom"/>
          </w:tcPr>
          <w:p>
            <w:pPr>
              <w:ind w:left="20"/>
              <w:spacing w:after="0" w:line="214" w:lineRule="exact"/>
              <w:rPr>
                <w:sz w:val="20"/>
                <w:szCs w:val="20"/>
                <w:color w:val="auto"/>
              </w:rPr>
            </w:pPr>
            <w:r>
              <w:rPr>
                <w:rFonts w:ascii="Arial" w:cs="Arial" w:eastAsia="Arial" w:hAnsi="Arial"/>
                <w:sz w:val="17"/>
                <w:szCs w:val="17"/>
                <w:color w:val="auto"/>
              </w:rPr>
              <w:t xml:space="preserve">Expected volatility </w:t>
            </w:r>
            <w:r>
              <w:rPr>
                <w:rFonts w:ascii="Arial" w:cs="Arial" w:eastAsia="Arial" w:hAnsi="Arial"/>
                <w:sz w:val="21"/>
                <w:szCs w:val="21"/>
                <w:color w:val="auto"/>
                <w:vertAlign w:val="superscript"/>
              </w:rPr>
              <w:t>(2)</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28.8 %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28.8 %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27.6 %</w:t>
            </w:r>
          </w:p>
        </w:tc>
      </w:tr>
      <w:tr>
        <w:trPr>
          <w:trHeight w:val="214"/>
        </w:trPr>
        <w:tc>
          <w:tcPr>
            <w:tcW w:w="6100" w:type="dxa"/>
            <w:vAlign w:val="bottom"/>
            <w:shd w:val="clear" w:color="auto" w:fill="CCEEFF"/>
          </w:tcPr>
          <w:p>
            <w:pPr>
              <w:ind w:left="20"/>
              <w:spacing w:after="0" w:line="214" w:lineRule="exact"/>
              <w:rPr>
                <w:sz w:val="20"/>
                <w:szCs w:val="20"/>
                <w:color w:val="auto"/>
              </w:rPr>
            </w:pPr>
            <w:r>
              <w:rPr>
                <w:rFonts w:ascii="Arial" w:cs="Arial" w:eastAsia="Arial" w:hAnsi="Arial"/>
                <w:sz w:val="17"/>
                <w:szCs w:val="17"/>
                <w:color w:val="auto"/>
              </w:rPr>
              <w:t xml:space="preserve">Risk-free interest rate </w:t>
            </w:r>
            <w:r>
              <w:rPr>
                <w:rFonts w:ascii="Arial" w:cs="Arial" w:eastAsia="Arial" w:hAnsi="Arial"/>
                <w:sz w:val="21"/>
                <w:szCs w:val="21"/>
                <w:color w:val="auto"/>
                <w:vertAlign w:val="superscript"/>
              </w:rPr>
              <w:t>(3)</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r>
      <w:tr>
        <w:trPr>
          <w:trHeight w:val="214"/>
        </w:trPr>
        <w:tc>
          <w:tcPr>
            <w:tcW w:w="6100" w:type="dxa"/>
            <w:vAlign w:val="bottom"/>
          </w:tcPr>
          <w:p>
            <w:pPr>
              <w:ind w:left="20"/>
              <w:spacing w:after="0" w:line="214" w:lineRule="exact"/>
              <w:rPr>
                <w:sz w:val="20"/>
                <w:szCs w:val="20"/>
                <w:color w:val="auto"/>
              </w:rPr>
            </w:pPr>
            <w:r>
              <w:rPr>
                <w:rFonts w:ascii="Arial" w:cs="Arial" w:eastAsia="Arial" w:hAnsi="Arial"/>
                <w:sz w:val="17"/>
                <w:szCs w:val="17"/>
                <w:color w:val="auto"/>
              </w:rPr>
              <w:t xml:space="preserve">Expected term of options (in years) </w:t>
            </w:r>
            <w:r>
              <w:rPr>
                <w:rFonts w:ascii="Arial" w:cs="Arial" w:eastAsia="Arial" w:hAnsi="Arial"/>
                <w:sz w:val="21"/>
                <w:szCs w:val="21"/>
                <w:color w:val="auto"/>
                <w:vertAlign w:val="superscript"/>
              </w:rPr>
              <w:t>(4)</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4"/>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grant-date fair value</w:t>
            </w:r>
          </w:p>
        </w:tc>
        <w:tc>
          <w:tcPr>
            <w:tcW w:w="1020" w:type="dxa"/>
            <w:vAlign w:val="bottom"/>
            <w:shd w:val="clear" w:color="auto" w:fill="CCEEFF"/>
          </w:tcPr>
          <w:p>
            <w:pPr>
              <w:jc w:val="right"/>
              <w:ind w:right="82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7.66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6.42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6.59</w:t>
            </w:r>
          </w:p>
        </w:tc>
      </w:tr>
    </w:tbl>
    <w:p>
      <w:pPr>
        <w:spacing w:after="0" w:line="60" w:lineRule="exact"/>
        <w:rPr>
          <w:sz w:val="20"/>
          <w:szCs w:val="20"/>
          <w:color w:val="auto"/>
        </w:rPr>
      </w:pPr>
    </w:p>
    <w:p>
      <w:pPr>
        <w:ind w:left="280" w:hanging="279"/>
        <w:spacing w:after="0"/>
        <w:tabs>
          <w:tab w:leader="none" w:pos="2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Represents the Company's estimated cash dividend yield over the expected term of option grant.</w:t>
      </w:r>
    </w:p>
    <w:p>
      <w:pPr>
        <w:spacing w:after="0" w:line="10" w:lineRule="exact"/>
        <w:rPr>
          <w:rFonts w:ascii="Arial" w:cs="Arial" w:eastAsia="Arial" w:hAnsi="Arial"/>
          <w:sz w:val="12"/>
          <w:szCs w:val="12"/>
          <w:color w:val="auto"/>
        </w:rPr>
      </w:pPr>
    </w:p>
    <w:p>
      <w:pPr>
        <w:ind w:left="180" w:hanging="179"/>
        <w:spacing w:after="0"/>
        <w:tabs>
          <w:tab w:leader="none" w:pos="180" w:val="left"/>
        </w:tabs>
        <w:numPr>
          <w:ilvl w:val="0"/>
          <w:numId w:val="30"/>
        </w:numPr>
        <w:rPr>
          <w:rFonts w:ascii="Arial" w:cs="Arial" w:eastAsia="Arial" w:hAnsi="Arial"/>
          <w:sz w:val="11"/>
          <w:szCs w:val="11"/>
          <w:color w:val="auto"/>
        </w:rPr>
      </w:pPr>
      <w:r>
        <w:rPr>
          <w:rFonts w:ascii="Arial" w:cs="Arial" w:eastAsia="Arial" w:hAnsi="Arial"/>
          <w:sz w:val="11"/>
          <w:szCs w:val="11"/>
          <w:color w:val="auto"/>
        </w:rPr>
        <w:t>Amount is determined based on analysis of historical price volatility of the Company's common stock. The expected volatility is based on the daily percentage change in the price of the stock over a period equal to</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the expected term of the option grant.</w:t>
      </w:r>
    </w:p>
    <w:p>
      <w:pPr>
        <w:spacing w:after="0" w:line="7" w:lineRule="exact"/>
        <w:rPr>
          <w:sz w:val="20"/>
          <w:szCs w:val="20"/>
          <w:color w:val="auto"/>
        </w:rPr>
      </w:pPr>
    </w:p>
    <w:p>
      <w:pPr>
        <w:ind w:left="280" w:hanging="279"/>
        <w:spacing w:after="0"/>
        <w:tabs>
          <w:tab w:leader="none" w:pos="2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the U.S. Treasury yield over the expected term of the option grant.</w:t>
      </w:r>
    </w:p>
    <w:p>
      <w:pPr>
        <w:ind w:firstLine="1"/>
        <w:spacing w:after="0" w:line="251" w:lineRule="auto"/>
        <w:tabs>
          <w:tab w:leader="none" w:pos="176"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of December 31, 2023, there was $7,993,783 of unrecognized compensation cost related to stock option awards which is expected to be recognized over the remaining vesting periods, with a weighted-average period of 2.09 years. Stock option expense for the years ended December 31, 2023, 2022 and 2021 was $6,095,854, $6,302,581, and $5,780,959 respectively.</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summary of the status of the Company’s stock option plans at December 31, 2023, 2022 and 2021, and changes during the same periods are presented in the tables below.</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6"/>
          </w:tcPr>
          <w:p>
            <w:pPr>
              <w:ind w:left="1080"/>
              <w:spacing w:after="0"/>
              <w:rPr>
                <w:sz w:val="20"/>
                <w:szCs w:val="20"/>
                <w:color w:val="auto"/>
              </w:rPr>
            </w:pPr>
            <w:r>
              <w:rPr>
                <w:rFonts w:ascii="Arial" w:cs="Arial" w:eastAsia="Arial" w:hAnsi="Arial"/>
                <w:sz w:val="13"/>
                <w:szCs w:val="13"/>
                <w:b w:val="1"/>
                <w:bCs w:val="1"/>
                <w:color w:val="auto"/>
              </w:rPr>
              <w:t>2023</w:t>
            </w: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5"/>
            <w:vMerge w:val="restart"/>
          </w:tcPr>
          <w:p>
            <w:pPr>
              <w:jc w:val="center"/>
              <w:ind w:right="380"/>
              <w:spacing w:after="0"/>
              <w:rPr>
                <w:sz w:val="20"/>
                <w:szCs w:val="20"/>
                <w:color w:val="auto"/>
              </w:rPr>
            </w:pPr>
            <w:r>
              <w:rPr>
                <w:rFonts w:ascii="Arial" w:cs="Arial" w:eastAsia="Arial" w:hAnsi="Arial"/>
                <w:sz w:val="13"/>
                <w:szCs w:val="13"/>
                <w:b w:val="1"/>
                <w:bCs w:val="1"/>
                <w:color w:val="auto"/>
              </w:rPr>
              <w:t>Wtd. Avg.</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86"/>
              <w:spacing w:after="0" w:line="131" w:lineRule="exact"/>
              <w:rPr>
                <w:sz w:val="20"/>
                <w:szCs w:val="20"/>
                <w:color w:val="auto"/>
              </w:rPr>
            </w:pPr>
            <w:r>
              <w:rPr>
                <w:rFonts w:ascii="Arial" w:cs="Arial" w:eastAsia="Arial" w:hAnsi="Arial"/>
                <w:sz w:val="13"/>
                <w:szCs w:val="13"/>
                <w:b w:val="1"/>
                <w:bCs w:val="1"/>
                <w:color w:val="auto"/>
              </w:rPr>
              <w:t>Aggregate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vMerge w:val="restart"/>
          </w:tcPr>
          <w:p>
            <w:pPr>
              <w:jc w:val="center"/>
              <w:ind w:right="18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6"/>
            <w:vMerge w:val="restart"/>
          </w:tcPr>
          <w:p>
            <w:pPr>
              <w:ind w:left="120"/>
              <w:spacing w:after="0"/>
              <w:rPr>
                <w:sz w:val="20"/>
                <w:szCs w:val="20"/>
                <w:color w:val="auto"/>
              </w:rPr>
            </w:pPr>
            <w:r>
              <w:rPr>
                <w:rFonts w:ascii="Arial" w:cs="Arial" w:eastAsia="Arial" w:hAnsi="Arial"/>
                <w:sz w:val="13"/>
                <w:szCs w:val="13"/>
                <w:b w:val="1"/>
                <w:bCs w:val="1"/>
                <w:color w:val="auto"/>
              </w:rPr>
              <w:t>Wtd. Avg.</w:t>
            </w:r>
          </w:p>
        </w:tc>
        <w:tc>
          <w:tcPr>
            <w:tcW w:w="130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226"/>
              <w:spacing w:after="0" w:line="139" w:lineRule="exact"/>
              <w:rPr>
                <w:sz w:val="20"/>
                <w:szCs w:val="20"/>
                <w:color w:val="auto"/>
              </w:rPr>
            </w:pPr>
            <w:r>
              <w:rPr>
                <w:rFonts w:ascii="Arial" w:cs="Arial" w:eastAsia="Arial" w:hAnsi="Arial"/>
                <w:sz w:val="13"/>
                <w:szCs w:val="13"/>
                <w:b w:val="1"/>
                <w:bCs w:val="1"/>
                <w:color w:val="auto"/>
              </w:rPr>
              <w:t>Intrinsic</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6"/>
            <w:vMerge w:val="continue"/>
          </w:tcPr>
          <w:p>
            <w:pPr>
              <w:spacing w:after="0"/>
              <w:rPr>
                <w:sz w:val="12"/>
                <w:szCs w:val="12"/>
                <w:color w:val="auto"/>
              </w:rPr>
            </w:pPr>
          </w:p>
        </w:tc>
        <w:tc>
          <w:tcPr>
            <w:tcW w:w="1300" w:type="dxa"/>
            <w:vAlign w:val="bottom"/>
            <w:gridSpan w:val="5"/>
          </w:tcPr>
          <w:p>
            <w:pPr>
              <w:jc w:val="center"/>
              <w:ind w:right="340"/>
              <w:spacing w:after="0" w:line="139" w:lineRule="exact"/>
              <w:rPr>
                <w:sz w:val="20"/>
                <w:szCs w:val="20"/>
                <w:color w:val="auto"/>
              </w:rPr>
            </w:pPr>
            <w:r>
              <w:rPr>
                <w:rFonts w:ascii="Arial" w:cs="Arial" w:eastAsia="Arial" w:hAnsi="Arial"/>
                <w:sz w:val="13"/>
                <w:szCs w:val="13"/>
                <w:b w:val="1"/>
                <w:bCs w:val="1"/>
                <w:color w:val="auto"/>
              </w:rPr>
              <w:t>Remaining</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86"/>
              <w:spacing w:after="0" w:line="139" w:lineRule="exact"/>
              <w:rPr>
                <w:sz w:val="20"/>
                <w:szCs w:val="20"/>
                <w:color w:val="auto"/>
              </w:rPr>
            </w:pPr>
            <w:r>
              <w:rPr>
                <w:rFonts w:ascii="Arial" w:cs="Arial" w:eastAsia="Arial" w:hAnsi="Arial"/>
                <w:sz w:val="13"/>
                <w:szCs w:val="13"/>
                <w:b w:val="1"/>
                <w:bCs w:val="1"/>
                <w:color w:val="auto"/>
              </w:rPr>
              <w:t>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6"/>
          </w:tcPr>
          <w:p>
            <w:pPr>
              <w:ind w:left="140"/>
              <w:spacing w:after="0"/>
              <w:rPr>
                <w:sz w:val="20"/>
                <w:szCs w:val="20"/>
                <w:color w:val="auto"/>
              </w:rPr>
            </w:pPr>
            <w:r>
              <w:rPr>
                <w:rFonts w:ascii="Arial" w:cs="Arial" w:eastAsia="Arial" w:hAnsi="Arial"/>
                <w:sz w:val="13"/>
                <w:szCs w:val="13"/>
                <w:b w:val="1"/>
                <w:bCs w:val="1"/>
                <w:color w:val="auto"/>
              </w:rPr>
              <w:t>Ex. Price</w:t>
            </w:r>
          </w:p>
        </w:tc>
        <w:tc>
          <w:tcPr>
            <w:tcW w:w="130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rPr>
              <w:t>Contract Life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86"/>
              <w:spacing w:after="0"/>
              <w:rPr>
                <w:sz w:val="20"/>
                <w:szCs w:val="20"/>
                <w:color w:val="auto"/>
              </w:rPr>
            </w:pPr>
            <w:r>
              <w:rPr>
                <w:rFonts w:ascii="Arial" w:cs="Arial" w:eastAsia="Arial" w:hAnsi="Arial"/>
                <w:sz w:val="13"/>
                <w:szCs w:val="13"/>
                <w:b w:val="1"/>
                <w:bCs w:val="1"/>
                <w:color w:val="auto"/>
              </w:rPr>
              <w:t>(000)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Beginning of Year</w:t>
            </w: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4,872</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768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7,847</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Forfeited</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(230)</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4,387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5"/>
            <w:shd w:val="clear" w:color="auto" w:fill="CCEEFF"/>
          </w:tcPr>
          <w:p>
            <w:pPr>
              <w:ind w:left="480"/>
              <w:spacing w:after="0"/>
              <w:rPr>
                <w:sz w:val="20"/>
                <w:szCs w:val="20"/>
                <w:color w:val="auto"/>
              </w:rPr>
            </w:pPr>
            <w:r>
              <w:rPr>
                <w:rFonts w:ascii="Arial" w:cs="Arial" w:eastAsia="Arial" w:hAnsi="Arial"/>
                <w:sz w:val="17"/>
                <w:szCs w:val="17"/>
                <w:color w:val="auto"/>
              </w:rPr>
              <w:t>2.9 years</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17,491</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Exercisable at End of Year</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1,942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76"/>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5"/>
          </w:tcPr>
          <w:p>
            <w:pPr>
              <w:ind w:left="480"/>
              <w:spacing w:after="0"/>
              <w:rPr>
                <w:sz w:val="20"/>
                <w:szCs w:val="20"/>
                <w:color w:val="auto"/>
              </w:rPr>
            </w:pPr>
            <w:r>
              <w:rPr>
                <w:rFonts w:ascii="Arial" w:cs="Arial" w:eastAsia="Arial" w:hAnsi="Arial"/>
                <w:sz w:val="17"/>
                <w:szCs w:val="17"/>
                <w:color w:val="auto"/>
              </w:rPr>
              <w:t>2.3 years</w:t>
            </w: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8,916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5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ind w:left="1080"/>
              <w:spacing w:after="0"/>
              <w:rPr>
                <w:sz w:val="20"/>
                <w:szCs w:val="20"/>
                <w:color w:val="auto"/>
              </w:rPr>
            </w:pPr>
            <w:r>
              <w:rPr>
                <w:rFonts w:ascii="Arial" w:cs="Arial" w:eastAsia="Arial" w:hAnsi="Arial"/>
                <w:sz w:val="13"/>
                <w:szCs w:val="13"/>
                <w:b w:val="1"/>
                <w:bCs w:val="1"/>
                <w:color w:val="auto"/>
              </w:rPr>
              <w:t>2022</w:t>
            </w: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5"/>
            <w:vMerge w:val="restart"/>
          </w:tcPr>
          <w:p>
            <w:pPr>
              <w:jc w:val="center"/>
              <w:ind w:right="400"/>
              <w:spacing w:after="0"/>
              <w:rPr>
                <w:sz w:val="20"/>
                <w:szCs w:val="20"/>
                <w:color w:val="auto"/>
              </w:rPr>
            </w:pPr>
            <w:r>
              <w:rPr>
                <w:rFonts w:ascii="Arial" w:cs="Arial" w:eastAsia="Arial" w:hAnsi="Arial"/>
                <w:sz w:val="13"/>
                <w:szCs w:val="13"/>
                <w:b w:val="1"/>
                <w:bCs w:val="1"/>
                <w:color w:val="auto"/>
              </w:rPr>
              <w:t>Wtd. Avg.</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206"/>
              <w:spacing w:after="0" w:line="134" w:lineRule="exact"/>
              <w:rPr>
                <w:sz w:val="20"/>
                <w:szCs w:val="20"/>
                <w:color w:val="auto"/>
              </w:rPr>
            </w:pPr>
            <w:r>
              <w:rPr>
                <w:rFonts w:ascii="Arial" w:cs="Arial" w:eastAsia="Arial" w:hAnsi="Arial"/>
                <w:sz w:val="13"/>
                <w:szCs w:val="13"/>
                <w:b w:val="1"/>
                <w:bCs w:val="1"/>
                <w:color w:val="auto"/>
              </w:rPr>
              <w:t>Aggregate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vMerge w:val="restart"/>
          </w:tcPr>
          <w:p>
            <w:pPr>
              <w:jc w:val="center"/>
              <w:ind w:right="22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6"/>
            <w:vMerge w:val="restart"/>
          </w:tcPr>
          <w:p>
            <w:pPr>
              <w:ind w:left="120"/>
              <w:spacing w:after="0"/>
              <w:rPr>
                <w:sz w:val="20"/>
                <w:szCs w:val="20"/>
                <w:color w:val="auto"/>
              </w:rPr>
            </w:pPr>
            <w:r>
              <w:rPr>
                <w:rFonts w:ascii="Arial" w:cs="Arial" w:eastAsia="Arial" w:hAnsi="Arial"/>
                <w:sz w:val="13"/>
                <w:szCs w:val="13"/>
                <w:b w:val="1"/>
                <w:bCs w:val="1"/>
                <w:color w:val="auto"/>
              </w:rPr>
              <w:t>Wtd. Avg.</w:t>
            </w:r>
          </w:p>
        </w:tc>
        <w:tc>
          <w:tcPr>
            <w:tcW w:w="130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406"/>
              <w:spacing w:after="0" w:line="139" w:lineRule="exact"/>
              <w:rPr>
                <w:sz w:val="20"/>
                <w:szCs w:val="20"/>
                <w:color w:val="auto"/>
              </w:rPr>
            </w:pPr>
            <w:r>
              <w:rPr>
                <w:rFonts w:ascii="Arial" w:cs="Arial" w:eastAsia="Arial" w:hAnsi="Arial"/>
                <w:sz w:val="13"/>
                <w:szCs w:val="13"/>
                <w:b w:val="1"/>
                <w:bCs w:val="1"/>
                <w:color w:val="auto"/>
              </w:rPr>
              <w:t>Intrinsic</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6"/>
            <w:vMerge w:val="continue"/>
          </w:tcPr>
          <w:p>
            <w:pPr>
              <w:spacing w:after="0"/>
              <w:rPr>
                <w:sz w:val="11"/>
                <w:szCs w:val="11"/>
                <w:color w:val="auto"/>
              </w:rPr>
            </w:pPr>
          </w:p>
        </w:tc>
        <w:tc>
          <w:tcPr>
            <w:tcW w:w="1300" w:type="dxa"/>
            <w:vAlign w:val="bottom"/>
            <w:gridSpan w:val="5"/>
          </w:tcPr>
          <w:p>
            <w:pPr>
              <w:jc w:val="center"/>
              <w:ind w:right="360"/>
              <w:spacing w:after="0" w:line="136" w:lineRule="exact"/>
              <w:rPr>
                <w:sz w:val="20"/>
                <w:szCs w:val="20"/>
                <w:color w:val="auto"/>
              </w:rPr>
            </w:pPr>
            <w:r>
              <w:rPr>
                <w:rFonts w:ascii="Arial" w:cs="Arial" w:eastAsia="Arial" w:hAnsi="Arial"/>
                <w:sz w:val="13"/>
                <w:szCs w:val="13"/>
                <w:b w:val="1"/>
                <w:bCs w:val="1"/>
                <w:color w:val="auto"/>
              </w:rPr>
              <w:t>Remaining</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206"/>
              <w:spacing w:after="0" w:line="136" w:lineRule="exact"/>
              <w:rPr>
                <w:sz w:val="20"/>
                <w:szCs w:val="20"/>
                <w:color w:val="auto"/>
              </w:rPr>
            </w:pPr>
            <w:r>
              <w:rPr>
                <w:rFonts w:ascii="Arial" w:cs="Arial" w:eastAsia="Arial" w:hAnsi="Arial"/>
                <w:sz w:val="13"/>
                <w:szCs w:val="13"/>
                <w:b w:val="1"/>
                <w:bCs w:val="1"/>
                <w:color w:val="auto"/>
                <w:w w:val="97"/>
              </w:rPr>
              <w:t>Value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6"/>
          </w:tcPr>
          <w:p>
            <w:pPr>
              <w:ind w:left="140"/>
              <w:spacing w:after="0"/>
              <w:rPr>
                <w:sz w:val="20"/>
                <w:szCs w:val="20"/>
                <w:color w:val="auto"/>
              </w:rPr>
            </w:pPr>
            <w:r>
              <w:rPr>
                <w:rFonts w:ascii="Arial" w:cs="Arial" w:eastAsia="Arial" w:hAnsi="Arial"/>
                <w:sz w:val="13"/>
                <w:szCs w:val="13"/>
                <w:b w:val="1"/>
                <w:bCs w:val="1"/>
                <w:color w:val="auto"/>
              </w:rPr>
              <w:t>Ex. Price</w:t>
            </w:r>
          </w:p>
        </w:tc>
        <w:tc>
          <w:tcPr>
            <w:tcW w:w="130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rPr>
              <w:t>Contract Life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226"/>
              <w:spacing w:after="0"/>
              <w:rPr>
                <w:sz w:val="20"/>
                <w:szCs w:val="20"/>
                <w:color w:val="auto"/>
              </w:rPr>
            </w:pPr>
            <w:r>
              <w:rPr>
                <w:rFonts w:ascii="Arial" w:cs="Arial" w:eastAsia="Arial" w:hAnsi="Arial"/>
                <w:sz w:val="13"/>
                <w:szCs w:val="13"/>
                <w:b w:val="1"/>
                <w:bCs w:val="1"/>
                <w:color w:val="auto"/>
              </w:rPr>
              <w:t>(000)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Beginning of Year</w:t>
            </w:r>
          </w:p>
        </w:tc>
        <w:tc>
          <w:tcPr>
            <w:tcW w:w="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gridSpan w:val="2"/>
            <w:shd w:val="clear" w:color="auto" w:fill="CCEEFF"/>
          </w:tcPr>
          <w:p>
            <w:pPr>
              <w:jc w:val="right"/>
              <w:ind w:right="6"/>
              <w:spacing w:after="0"/>
              <w:rPr>
                <w:sz w:val="20"/>
                <w:szCs w:val="20"/>
                <w:color w:val="auto"/>
              </w:rPr>
            </w:pPr>
            <w:r>
              <w:rPr>
                <w:rFonts w:ascii="Arial" w:cs="Arial" w:eastAsia="Arial" w:hAnsi="Arial"/>
                <w:sz w:val="17"/>
                <w:szCs w:val="17"/>
                <w:color w:val="auto"/>
              </w:rPr>
              <w:t>4,535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9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27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320" w:type="dxa"/>
            <w:vAlign w:val="bottom"/>
            <w:gridSpan w:val="2"/>
          </w:tcPr>
          <w:p>
            <w:pPr>
              <w:jc w:val="right"/>
              <w:ind w:right="6"/>
              <w:spacing w:after="0"/>
              <w:rPr>
                <w:sz w:val="20"/>
                <w:szCs w:val="20"/>
                <w:color w:val="auto"/>
              </w:rPr>
            </w:pPr>
            <w:r>
              <w:rPr>
                <w:rFonts w:ascii="Arial" w:cs="Arial" w:eastAsia="Arial" w:hAnsi="Arial"/>
                <w:sz w:val="17"/>
                <w:szCs w:val="17"/>
                <w:color w:val="auto"/>
              </w:rPr>
              <w:t>1,219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(530)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center"/>
              <w:ind w:left="526"/>
              <w:spacing w:after="0"/>
              <w:rPr>
                <w:sz w:val="20"/>
                <w:szCs w:val="20"/>
                <w:color w:val="auto"/>
              </w:rPr>
            </w:pPr>
            <w:r>
              <w:rPr>
                <w:rFonts w:ascii="Arial" w:cs="Arial" w:eastAsia="Arial" w:hAnsi="Arial"/>
                <w:sz w:val="17"/>
                <w:szCs w:val="17"/>
                <w:color w:val="auto"/>
                <w:w w:val="98"/>
              </w:rPr>
              <w:t>4,065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Forfeited</w:t>
            </w:r>
          </w:p>
        </w:tc>
        <w:tc>
          <w:tcPr>
            <w:tcW w:w="1320" w:type="dxa"/>
            <w:vAlign w:val="bottom"/>
            <w:gridSpan w:val="2"/>
          </w:tcPr>
          <w:p>
            <w:pPr>
              <w:ind w:left="900"/>
              <w:spacing w:after="0"/>
              <w:rPr>
                <w:sz w:val="20"/>
                <w:szCs w:val="20"/>
                <w:color w:val="auto"/>
              </w:rPr>
            </w:pPr>
            <w:r>
              <w:rPr>
                <w:rFonts w:ascii="Arial" w:cs="Arial" w:eastAsia="Arial" w:hAnsi="Arial"/>
                <w:sz w:val="17"/>
                <w:szCs w:val="17"/>
                <w:color w:val="auto"/>
              </w:rPr>
              <w:t>(352)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gridSpan w:val="2"/>
            <w:shd w:val="clear" w:color="auto" w:fill="CCEEFF"/>
          </w:tcPr>
          <w:p>
            <w:pPr>
              <w:jc w:val="right"/>
              <w:ind w:right="6"/>
              <w:spacing w:after="0"/>
              <w:rPr>
                <w:sz w:val="20"/>
                <w:szCs w:val="20"/>
                <w:color w:val="auto"/>
              </w:rPr>
            </w:pPr>
            <w:r>
              <w:rPr>
                <w:rFonts w:ascii="Arial" w:cs="Arial" w:eastAsia="Arial" w:hAnsi="Arial"/>
                <w:sz w:val="17"/>
                <w:szCs w:val="17"/>
                <w:color w:val="auto"/>
              </w:rPr>
              <w:t>4,872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28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gridSpan w:val="5"/>
            <w:shd w:val="clear" w:color="auto" w:fill="CCEEFF"/>
          </w:tcPr>
          <w:p>
            <w:pPr>
              <w:ind w:left="460"/>
              <w:spacing w:after="0"/>
              <w:rPr>
                <w:sz w:val="20"/>
                <w:szCs w:val="20"/>
                <w:color w:val="auto"/>
              </w:rPr>
            </w:pPr>
            <w:r>
              <w:rPr>
                <w:rFonts w:ascii="Arial" w:cs="Arial" w:eastAsia="Arial" w:hAnsi="Arial"/>
                <w:sz w:val="17"/>
                <w:szCs w:val="17"/>
                <w:color w:val="auto"/>
              </w:rPr>
              <w:t>3.1 years</w:t>
            </w:r>
          </w:p>
        </w:tc>
        <w:tc>
          <w:tcPr>
            <w:tcW w:w="28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CCEEFF"/>
            </w:tcBorders>
            <w:shd w:val="clear" w:color="auto" w:fill="CCEEFF"/>
          </w:tcPr>
          <w:p>
            <w:pPr>
              <w:jc w:val="center"/>
              <w:ind w:left="526"/>
              <w:spacing w:after="0"/>
              <w:rPr>
                <w:sz w:val="20"/>
                <w:szCs w:val="20"/>
                <w:color w:val="auto"/>
              </w:rPr>
            </w:pPr>
            <w:r>
              <w:rPr>
                <w:rFonts w:ascii="Arial" w:cs="Arial" w:eastAsia="Arial" w:hAnsi="Arial"/>
                <w:sz w:val="17"/>
                <w:szCs w:val="17"/>
                <w:color w:val="auto"/>
                <w:w w:val="98"/>
              </w:rPr>
              <w:t>8,928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Exercisable at End of Year</w:t>
            </w:r>
          </w:p>
        </w:tc>
        <w:tc>
          <w:tcPr>
            <w:tcW w:w="1320" w:type="dxa"/>
            <w:vAlign w:val="bottom"/>
            <w:gridSpan w:val="2"/>
          </w:tcPr>
          <w:p>
            <w:pPr>
              <w:jc w:val="right"/>
              <w:ind w:right="6"/>
              <w:spacing w:after="0"/>
              <w:rPr>
                <w:sz w:val="20"/>
                <w:szCs w:val="20"/>
                <w:color w:val="auto"/>
              </w:rPr>
            </w:pPr>
            <w:r>
              <w:rPr>
                <w:rFonts w:ascii="Arial" w:cs="Arial" w:eastAsia="Arial" w:hAnsi="Arial"/>
                <w:sz w:val="17"/>
                <w:szCs w:val="17"/>
                <w:color w:val="auto"/>
              </w:rPr>
              <w:t>1,960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96"/>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5"/>
          </w:tcPr>
          <w:p>
            <w:pPr>
              <w:ind w:left="460"/>
              <w:spacing w:after="0"/>
              <w:rPr>
                <w:sz w:val="20"/>
                <w:szCs w:val="20"/>
                <w:color w:val="auto"/>
              </w:rPr>
            </w:pPr>
            <w:r>
              <w:rPr>
                <w:rFonts w:ascii="Arial" w:cs="Arial" w:eastAsia="Arial" w:hAnsi="Arial"/>
                <w:sz w:val="17"/>
                <w:szCs w:val="17"/>
                <w:color w:val="auto"/>
              </w:rPr>
              <w:t>2.4 years</w:t>
            </w: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1140" w:type="dxa"/>
            <w:vAlign w:val="bottom"/>
          </w:tcPr>
          <w:p>
            <w:pPr>
              <w:jc w:val="center"/>
              <w:ind w:left="526"/>
              <w:spacing w:after="0"/>
              <w:rPr>
                <w:sz w:val="20"/>
                <w:szCs w:val="20"/>
                <w:color w:val="auto"/>
              </w:rPr>
            </w:pPr>
            <w:r>
              <w:rPr>
                <w:rFonts w:ascii="Arial" w:cs="Arial" w:eastAsia="Arial" w:hAnsi="Arial"/>
                <w:sz w:val="17"/>
                <w:szCs w:val="17"/>
                <w:color w:val="auto"/>
                <w:w w:val="98"/>
              </w:rPr>
              <w:t>5,864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8"/>
        </w:trPr>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ind w:left="1120"/>
              <w:spacing w:after="0"/>
              <w:rPr>
                <w:sz w:val="20"/>
                <w:szCs w:val="20"/>
                <w:color w:val="auto"/>
              </w:rPr>
            </w:pPr>
            <w:r>
              <w:rPr>
                <w:rFonts w:ascii="Arial" w:cs="Arial" w:eastAsia="Arial" w:hAnsi="Arial"/>
                <w:sz w:val="13"/>
                <w:szCs w:val="13"/>
                <w:b w:val="1"/>
                <w:bCs w:val="1"/>
                <w:color w:val="auto"/>
              </w:rPr>
              <w:t>2021</w:t>
            </w: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5"/>
            <w:vMerge w:val="restart"/>
          </w:tcPr>
          <w:p>
            <w:pPr>
              <w:jc w:val="center"/>
              <w:ind w:right="240"/>
              <w:spacing w:after="0"/>
              <w:rPr>
                <w:sz w:val="20"/>
                <w:szCs w:val="20"/>
                <w:color w:val="auto"/>
              </w:rPr>
            </w:pPr>
            <w:r>
              <w:rPr>
                <w:rFonts w:ascii="Arial" w:cs="Arial" w:eastAsia="Arial" w:hAnsi="Arial"/>
                <w:sz w:val="13"/>
                <w:szCs w:val="13"/>
                <w:b w:val="1"/>
                <w:bCs w:val="1"/>
                <w:color w:val="auto"/>
              </w:rPr>
              <w:t>Wtd. Avg.</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86"/>
              <w:spacing w:after="0" w:line="131" w:lineRule="exact"/>
              <w:rPr>
                <w:sz w:val="20"/>
                <w:szCs w:val="20"/>
                <w:color w:val="auto"/>
              </w:rPr>
            </w:pPr>
            <w:r>
              <w:rPr>
                <w:rFonts w:ascii="Arial" w:cs="Arial" w:eastAsia="Arial" w:hAnsi="Arial"/>
                <w:sz w:val="13"/>
                <w:szCs w:val="13"/>
                <w:b w:val="1"/>
                <w:bCs w:val="1"/>
                <w:color w:val="auto"/>
              </w:rPr>
              <w:t>Aggregate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vMerge w:val="restart"/>
          </w:tcPr>
          <w:p>
            <w:pPr>
              <w:ind w:left="46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6"/>
            <w:vMerge w:val="restart"/>
          </w:tcPr>
          <w:p>
            <w:pPr>
              <w:ind w:left="180"/>
              <w:spacing w:after="0"/>
              <w:rPr>
                <w:sz w:val="20"/>
                <w:szCs w:val="20"/>
                <w:color w:val="auto"/>
              </w:rPr>
            </w:pPr>
            <w:r>
              <w:rPr>
                <w:rFonts w:ascii="Arial" w:cs="Arial" w:eastAsia="Arial" w:hAnsi="Arial"/>
                <w:sz w:val="13"/>
                <w:szCs w:val="13"/>
                <w:b w:val="1"/>
                <w:bCs w:val="1"/>
                <w:color w:val="auto"/>
              </w:rPr>
              <w:t>Wtd. Avg.</w:t>
            </w:r>
          </w:p>
        </w:tc>
        <w:tc>
          <w:tcPr>
            <w:tcW w:w="130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46"/>
              <w:spacing w:after="0" w:line="139" w:lineRule="exact"/>
              <w:rPr>
                <w:sz w:val="20"/>
                <w:szCs w:val="20"/>
                <w:color w:val="auto"/>
              </w:rPr>
            </w:pPr>
            <w:r>
              <w:rPr>
                <w:rFonts w:ascii="Arial" w:cs="Arial" w:eastAsia="Arial" w:hAnsi="Arial"/>
                <w:sz w:val="13"/>
                <w:szCs w:val="13"/>
                <w:b w:val="1"/>
                <w:bCs w:val="1"/>
                <w:color w:val="auto"/>
              </w:rPr>
              <w:t>Intrinsic</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6"/>
            <w:vMerge w:val="continue"/>
          </w:tcPr>
          <w:p>
            <w:pPr>
              <w:spacing w:after="0"/>
              <w:rPr>
                <w:sz w:val="12"/>
                <w:szCs w:val="12"/>
                <w:color w:val="auto"/>
              </w:rPr>
            </w:pPr>
          </w:p>
        </w:tc>
        <w:tc>
          <w:tcPr>
            <w:tcW w:w="1300" w:type="dxa"/>
            <w:vAlign w:val="bottom"/>
            <w:gridSpan w:val="5"/>
          </w:tcPr>
          <w:p>
            <w:pPr>
              <w:jc w:val="center"/>
              <w:ind w:right="220"/>
              <w:spacing w:after="0" w:line="139" w:lineRule="exact"/>
              <w:rPr>
                <w:sz w:val="20"/>
                <w:szCs w:val="20"/>
                <w:color w:val="auto"/>
              </w:rPr>
            </w:pPr>
            <w:r>
              <w:rPr>
                <w:rFonts w:ascii="Arial" w:cs="Arial" w:eastAsia="Arial" w:hAnsi="Arial"/>
                <w:sz w:val="13"/>
                <w:szCs w:val="13"/>
                <w:b w:val="1"/>
                <w:bCs w:val="1"/>
                <w:color w:val="auto"/>
              </w:rPr>
              <w:t>Remaining</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06"/>
              <w:spacing w:after="0" w:line="139" w:lineRule="exact"/>
              <w:rPr>
                <w:sz w:val="20"/>
                <w:szCs w:val="20"/>
                <w:color w:val="auto"/>
              </w:rPr>
            </w:pPr>
            <w:r>
              <w:rPr>
                <w:rFonts w:ascii="Arial" w:cs="Arial" w:eastAsia="Arial" w:hAnsi="Arial"/>
                <w:sz w:val="13"/>
                <w:szCs w:val="13"/>
                <w:b w:val="1"/>
                <w:bCs w:val="1"/>
                <w:color w:val="auto"/>
              </w:rPr>
              <w:t>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2"/>
          </w:tcPr>
          <w:p>
            <w:pPr>
              <w:jc w:val="right"/>
              <w:ind w:right="366"/>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6"/>
          </w:tcPr>
          <w:p>
            <w:pPr>
              <w:ind w:left="200"/>
              <w:spacing w:after="0"/>
              <w:rPr>
                <w:sz w:val="20"/>
                <w:szCs w:val="20"/>
                <w:color w:val="auto"/>
              </w:rPr>
            </w:pPr>
            <w:r>
              <w:rPr>
                <w:rFonts w:ascii="Arial" w:cs="Arial" w:eastAsia="Arial" w:hAnsi="Arial"/>
                <w:sz w:val="13"/>
                <w:szCs w:val="13"/>
                <w:b w:val="1"/>
                <w:bCs w:val="1"/>
                <w:color w:val="auto"/>
              </w:rPr>
              <w:t>Ex. Price</w:t>
            </w:r>
          </w:p>
        </w:tc>
        <w:tc>
          <w:tcPr>
            <w:tcW w:w="13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rPr>
              <w:t>Contract Life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06"/>
              <w:spacing w:after="0"/>
              <w:rPr>
                <w:sz w:val="20"/>
                <w:szCs w:val="20"/>
                <w:color w:val="auto"/>
              </w:rPr>
            </w:pPr>
            <w:r>
              <w:rPr>
                <w:rFonts w:ascii="Arial" w:cs="Arial" w:eastAsia="Arial" w:hAnsi="Arial"/>
                <w:sz w:val="13"/>
                <w:szCs w:val="13"/>
                <w:b w:val="1"/>
                <w:bCs w:val="1"/>
                <w:color w:val="auto"/>
              </w:rPr>
              <w:t>(000)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Beginning of Year</w:t>
            </w:r>
          </w:p>
        </w:tc>
        <w:tc>
          <w:tcPr>
            <w:tcW w:w="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gridSpan w:val="2"/>
            <w:shd w:val="clear" w:color="auto" w:fill="CCEEFF"/>
          </w:tcPr>
          <w:p>
            <w:pPr>
              <w:ind w:left="860"/>
              <w:spacing w:after="0"/>
              <w:rPr>
                <w:sz w:val="20"/>
                <w:szCs w:val="20"/>
                <w:color w:val="auto"/>
              </w:rPr>
            </w:pPr>
            <w:r>
              <w:rPr>
                <w:rFonts w:ascii="Arial" w:cs="Arial" w:eastAsia="Arial" w:hAnsi="Arial"/>
                <w:sz w:val="17"/>
                <w:szCs w:val="17"/>
                <w:color w:val="auto"/>
                <w:w w:val="98"/>
              </w:rPr>
              <w:t>4,533</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340" w:type="dxa"/>
            <w:vAlign w:val="bottom"/>
            <w:gridSpan w:val="3"/>
          </w:tcPr>
          <w:p>
            <w:pPr>
              <w:ind w:left="900"/>
              <w:spacing w:after="0"/>
              <w:rPr>
                <w:sz w:val="20"/>
                <w:szCs w:val="20"/>
                <w:color w:val="auto"/>
              </w:rPr>
            </w:pPr>
            <w:r>
              <w:rPr>
                <w:rFonts w:ascii="Arial" w:cs="Arial" w:eastAsia="Arial" w:hAnsi="Arial"/>
                <w:sz w:val="17"/>
                <w:szCs w:val="17"/>
                <w:color w:val="auto"/>
                <w:w w:val="98"/>
              </w:rPr>
              <w:t>1,434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34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(1,184)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center"/>
              <w:ind w:left="506"/>
              <w:spacing w:after="0"/>
              <w:rPr>
                <w:sz w:val="20"/>
                <w:szCs w:val="20"/>
                <w:color w:val="auto"/>
              </w:rPr>
            </w:pPr>
            <w:r>
              <w:rPr>
                <w:rFonts w:ascii="Arial" w:cs="Arial" w:eastAsia="Arial" w:hAnsi="Arial"/>
                <w:sz w:val="17"/>
                <w:szCs w:val="17"/>
                <w:color w:val="auto"/>
                <w:w w:val="99"/>
              </w:rPr>
              <w:t>17,289</w:t>
            </w:r>
          </w:p>
        </w:tc>
        <w:tc>
          <w:tcPr>
            <w:tcW w:w="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Forfeited</w:t>
            </w:r>
          </w:p>
        </w:tc>
        <w:tc>
          <w:tcPr>
            <w:tcW w:w="1400" w:type="dxa"/>
            <w:vAlign w:val="bottom"/>
            <w:gridSpan w:val="4"/>
          </w:tcPr>
          <w:p>
            <w:pPr>
              <w:jc w:val="right"/>
              <w:ind w:right="40"/>
              <w:spacing w:after="0"/>
              <w:rPr>
                <w:sz w:val="20"/>
                <w:szCs w:val="20"/>
                <w:color w:val="auto"/>
              </w:rPr>
            </w:pPr>
            <w:r>
              <w:rPr>
                <w:rFonts w:ascii="Arial" w:cs="Arial" w:eastAsia="Arial" w:hAnsi="Arial"/>
                <w:sz w:val="17"/>
                <w:szCs w:val="17"/>
                <w:color w:val="auto"/>
              </w:rPr>
              <w:t>(248)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27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End of Year</w:t>
            </w:r>
          </w:p>
        </w:tc>
        <w:tc>
          <w:tcPr>
            <w:tcW w:w="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gridSpan w:val="2"/>
            <w:shd w:val="clear" w:color="auto" w:fill="CCEEFF"/>
          </w:tcPr>
          <w:p>
            <w:pPr>
              <w:ind w:left="860"/>
              <w:spacing w:after="0"/>
              <w:rPr>
                <w:sz w:val="20"/>
                <w:szCs w:val="20"/>
                <w:color w:val="auto"/>
              </w:rPr>
            </w:pPr>
            <w:r>
              <w:rPr>
                <w:rFonts w:ascii="Arial" w:cs="Arial" w:eastAsia="Arial" w:hAnsi="Arial"/>
                <w:sz w:val="17"/>
                <w:szCs w:val="17"/>
                <w:color w:val="auto"/>
                <w:w w:val="98"/>
              </w:rPr>
              <w:t>4,535</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w:t>
            </w: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gridSpan w:val="5"/>
            <w:shd w:val="clear" w:color="auto" w:fill="CCEEFF"/>
          </w:tcPr>
          <w:p>
            <w:pPr>
              <w:ind w:left="540"/>
              <w:spacing w:after="0"/>
              <w:rPr>
                <w:sz w:val="20"/>
                <w:szCs w:val="20"/>
                <w:color w:val="auto"/>
              </w:rPr>
            </w:pPr>
            <w:r>
              <w:rPr>
                <w:rFonts w:ascii="Arial" w:cs="Arial" w:eastAsia="Arial" w:hAnsi="Arial"/>
                <w:sz w:val="17"/>
                <w:szCs w:val="17"/>
                <w:color w:val="auto"/>
              </w:rPr>
              <w:t>3.4 years</w:t>
            </w:r>
          </w:p>
        </w:tc>
        <w:tc>
          <w:tcPr>
            <w:tcW w:w="2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shd w:val="clear" w:color="auto" w:fill="CCEEFF"/>
          </w:tcPr>
          <w:p>
            <w:pPr>
              <w:jc w:val="center"/>
              <w:ind w:left="506"/>
              <w:spacing w:after="0"/>
              <w:rPr>
                <w:sz w:val="20"/>
                <w:szCs w:val="20"/>
                <w:color w:val="auto"/>
              </w:rPr>
            </w:pPr>
            <w:r>
              <w:rPr>
                <w:rFonts w:ascii="Arial" w:cs="Arial" w:eastAsia="Arial" w:hAnsi="Arial"/>
                <w:sz w:val="17"/>
                <w:szCs w:val="17"/>
                <w:color w:val="auto"/>
                <w:w w:val="99"/>
              </w:rPr>
              <w:t>35,283</w:t>
            </w: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Exercisable at End of Year</w:t>
            </w:r>
          </w:p>
        </w:tc>
        <w:tc>
          <w:tcPr>
            <w:tcW w:w="1340" w:type="dxa"/>
            <w:vAlign w:val="bottom"/>
            <w:gridSpan w:val="3"/>
          </w:tcPr>
          <w:p>
            <w:pPr>
              <w:ind w:left="900"/>
              <w:spacing w:after="0"/>
              <w:rPr>
                <w:sz w:val="20"/>
                <w:szCs w:val="20"/>
                <w:color w:val="auto"/>
              </w:rPr>
            </w:pPr>
            <w:r>
              <w:rPr>
                <w:rFonts w:ascii="Arial" w:cs="Arial" w:eastAsia="Arial" w:hAnsi="Arial"/>
                <w:sz w:val="17"/>
                <w:szCs w:val="17"/>
                <w:color w:val="auto"/>
                <w:w w:val="98"/>
              </w:rPr>
              <w:t>1,380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5"/>
          </w:tcPr>
          <w:p>
            <w:pPr>
              <w:ind w:left="540"/>
              <w:spacing w:after="0"/>
              <w:rPr>
                <w:sz w:val="20"/>
                <w:szCs w:val="20"/>
                <w:color w:val="auto"/>
              </w:rPr>
            </w:pPr>
            <w:r>
              <w:rPr>
                <w:rFonts w:ascii="Arial" w:cs="Arial" w:eastAsia="Arial" w:hAnsi="Arial"/>
                <w:sz w:val="17"/>
                <w:szCs w:val="17"/>
                <w:color w:val="auto"/>
              </w:rPr>
              <w:t>2.5 years</w:t>
            </w: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tcPr>
          <w:p>
            <w:pPr>
              <w:jc w:val="center"/>
              <w:ind w:left="506"/>
              <w:spacing w:after="0"/>
              <w:rPr>
                <w:sz w:val="20"/>
                <w:szCs w:val="20"/>
                <w:color w:val="auto"/>
              </w:rPr>
            </w:pPr>
            <w:r>
              <w:rPr>
                <w:rFonts w:ascii="Arial" w:cs="Arial" w:eastAsia="Arial" w:hAnsi="Arial"/>
                <w:sz w:val="17"/>
                <w:szCs w:val="17"/>
                <w:color w:val="auto"/>
                <w:w w:val="99"/>
              </w:rPr>
              <w:t>16,433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summary of the status of the Company’s non-vested employee stock option activity for the years ended December 31, 2023, 2022, and 2021, are presented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2000" w:type="dxa"/>
            <w:vAlign w:val="bottom"/>
            <w:tcBorders>
              <w:bottom w:val="single" w:sz="8" w:color="auto"/>
            </w:tcBorders>
            <w:gridSpan w:val="3"/>
          </w:tcPr>
          <w:p>
            <w:pPr>
              <w:jc w:val="right"/>
              <w:ind w:right="687"/>
              <w:spacing w:after="0"/>
              <w:rPr>
                <w:sz w:val="20"/>
                <w:szCs w:val="20"/>
                <w:color w:val="auto"/>
              </w:rPr>
            </w:pPr>
            <w:r>
              <w:rPr>
                <w:rFonts w:ascii="Arial" w:cs="Arial" w:eastAsia="Arial" w:hAnsi="Arial"/>
                <w:sz w:val="13"/>
                <w:szCs w:val="13"/>
                <w:b w:val="1"/>
                <w:bCs w:val="1"/>
                <w:color w:val="auto"/>
              </w:rPr>
              <w:t>2023</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Borders>
              <w:bottom w:val="single" w:sz="8" w:color="auto"/>
            </w:tcBorders>
            <w:gridSpan w:val="3"/>
          </w:tcPr>
          <w:p>
            <w:pPr>
              <w:jc w:val="right"/>
              <w:ind w:right="667"/>
              <w:spacing w:after="0"/>
              <w:rPr>
                <w:sz w:val="20"/>
                <w:szCs w:val="20"/>
                <w:color w:val="auto"/>
              </w:rPr>
            </w:pPr>
            <w:r>
              <w:rPr>
                <w:rFonts w:ascii="Arial" w:cs="Arial" w:eastAsia="Arial" w:hAnsi="Arial"/>
                <w:sz w:val="13"/>
                <w:szCs w:val="13"/>
                <w:b w:val="1"/>
                <w:bCs w:val="1"/>
                <w:color w:val="auto"/>
              </w:rPr>
              <w:t>2022</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left="107"/>
              <w:spacing w:after="0" w:line="134" w:lineRule="exact"/>
              <w:rPr>
                <w:sz w:val="20"/>
                <w:szCs w:val="20"/>
                <w:color w:val="auto"/>
              </w:rPr>
            </w:pPr>
            <w:r>
              <w:rPr>
                <w:rFonts w:ascii="Arial" w:cs="Arial" w:eastAsia="Arial" w:hAnsi="Arial"/>
                <w:sz w:val="13"/>
                <w:szCs w:val="13"/>
                <w:b w:val="1"/>
                <w:bCs w:val="1"/>
                <w:color w:val="auto"/>
              </w:rPr>
              <w:t>Wtd. Avg</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left="107"/>
              <w:spacing w:after="0" w:line="134" w:lineRule="exact"/>
              <w:rPr>
                <w:sz w:val="20"/>
                <w:szCs w:val="20"/>
                <w:color w:val="auto"/>
              </w:rPr>
            </w:pPr>
            <w:r>
              <w:rPr>
                <w:rFonts w:ascii="Arial" w:cs="Arial" w:eastAsia="Arial" w:hAnsi="Arial"/>
                <w:sz w:val="13"/>
                <w:szCs w:val="13"/>
                <w:b w:val="1"/>
                <w:bCs w:val="1"/>
                <w:color w:val="auto"/>
                <w:w w:val="99"/>
              </w:rPr>
              <w:t>Wtd. Avg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84"/>
              <w:spacing w:after="0" w:line="134" w:lineRule="exact"/>
              <w:rPr>
                <w:sz w:val="20"/>
                <w:szCs w:val="20"/>
                <w:color w:val="auto"/>
              </w:rPr>
            </w:pPr>
            <w:r>
              <w:rPr>
                <w:rFonts w:ascii="Arial" w:cs="Arial" w:eastAsia="Arial" w:hAnsi="Arial"/>
                <w:sz w:val="13"/>
                <w:szCs w:val="13"/>
                <w:b w:val="1"/>
                <w:bCs w:val="1"/>
                <w:color w:val="auto"/>
              </w:rPr>
              <w:t>Wtd. Avg</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880" w:type="dxa"/>
            <w:vAlign w:val="bottom"/>
          </w:tcPr>
          <w:p>
            <w:pPr>
              <w:jc w:val="center"/>
              <w:ind w:left="127"/>
              <w:spacing w:after="0" w:line="136" w:lineRule="exact"/>
              <w:rPr>
                <w:sz w:val="20"/>
                <w:szCs w:val="20"/>
                <w:color w:val="auto"/>
              </w:rPr>
            </w:pPr>
            <w:r>
              <w:rPr>
                <w:rFonts w:ascii="Arial" w:cs="Arial" w:eastAsia="Arial" w:hAnsi="Arial"/>
                <w:sz w:val="13"/>
                <w:szCs w:val="13"/>
                <w:b w:val="1"/>
                <w:bCs w:val="1"/>
                <w:color w:val="auto"/>
              </w:rPr>
              <w:t>Grant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p>
        </w:tc>
        <w:tc>
          <w:tcPr>
            <w:tcW w:w="860" w:type="dxa"/>
            <w:vAlign w:val="bottom"/>
          </w:tcPr>
          <w:p>
            <w:pPr>
              <w:jc w:val="center"/>
              <w:ind w:left="107"/>
              <w:spacing w:after="0" w:line="136" w:lineRule="exact"/>
              <w:rPr>
                <w:sz w:val="20"/>
                <w:szCs w:val="20"/>
                <w:color w:val="auto"/>
              </w:rPr>
            </w:pPr>
            <w:r>
              <w:rPr>
                <w:rFonts w:ascii="Arial" w:cs="Arial" w:eastAsia="Arial" w:hAnsi="Arial"/>
                <w:sz w:val="13"/>
                <w:szCs w:val="13"/>
                <w:b w:val="1"/>
                <w:bCs w:val="1"/>
                <w:color w:val="auto"/>
              </w:rPr>
              <w:t>Grant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1"/>
                <w:szCs w:val="11"/>
                <w:color w:val="auto"/>
              </w:rPr>
            </w:pPr>
          </w:p>
        </w:tc>
        <w:tc>
          <w:tcPr>
            <w:tcW w:w="900" w:type="dxa"/>
            <w:vAlign w:val="bottom"/>
          </w:tcPr>
          <w:p>
            <w:pPr>
              <w:jc w:val="center"/>
              <w:ind w:right="84"/>
              <w:spacing w:after="0" w:line="136"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38"/>
        </w:trPr>
        <w:tc>
          <w:tcPr>
            <w:tcW w:w="43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80" w:type="dxa"/>
            <w:vAlign w:val="bottom"/>
          </w:tcPr>
          <w:p>
            <w:pPr>
              <w:jc w:val="center"/>
              <w:ind w:left="107"/>
              <w:spacing w:after="0" w:line="139" w:lineRule="exact"/>
              <w:rPr>
                <w:sz w:val="20"/>
                <w:szCs w:val="20"/>
                <w:color w:val="auto"/>
              </w:rPr>
            </w:pPr>
            <w:r>
              <w:rPr>
                <w:rFonts w:ascii="Arial" w:cs="Arial" w:eastAsia="Arial" w:hAnsi="Arial"/>
                <w:sz w:val="13"/>
                <w:szCs w:val="13"/>
                <w:b w:val="1"/>
                <w:bCs w:val="1"/>
                <w:color w:val="auto"/>
              </w:rPr>
              <w:t>Date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tcPr>
          <w:p>
            <w:pPr>
              <w:jc w:val="center"/>
              <w:ind w:left="107"/>
              <w:spacing w:after="0" w:line="139" w:lineRule="exact"/>
              <w:rPr>
                <w:sz w:val="20"/>
                <w:szCs w:val="20"/>
                <w:color w:val="auto"/>
              </w:rPr>
            </w:pPr>
            <w:r>
              <w:rPr>
                <w:rFonts w:ascii="Arial" w:cs="Arial" w:eastAsia="Arial" w:hAnsi="Arial"/>
                <w:sz w:val="13"/>
                <w:szCs w:val="13"/>
                <w:b w:val="1"/>
                <w:bCs w:val="1"/>
                <w:color w:val="auto"/>
                <w:w w:val="99"/>
              </w:rPr>
              <w:t>Date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84"/>
              <w:spacing w:after="0" w:line="139" w:lineRule="exact"/>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176"/>
        </w:trPr>
        <w:tc>
          <w:tcPr>
            <w:tcW w:w="43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(000)</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ind w:left="107"/>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(000)</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ind w:left="107"/>
              <w:spacing w:after="0"/>
              <w:rPr>
                <w:sz w:val="20"/>
                <w:szCs w:val="20"/>
                <w:color w:val="auto"/>
              </w:rPr>
            </w:pPr>
            <w:r>
              <w:rPr>
                <w:rFonts w:ascii="Arial" w:cs="Arial" w:eastAsia="Arial" w:hAnsi="Arial"/>
                <w:sz w:val="13"/>
                <w:szCs w:val="13"/>
                <w:b w:val="1"/>
                <w:bCs w:val="1"/>
                <w:color w:val="auto"/>
              </w:rPr>
              <w:t>Fair Value</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(000)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206"/>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Nonvested Stock Options at Beginning of Year</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7"/>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3,156</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3,175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Arial" w:cs="Arial" w:eastAsia="Arial" w:hAnsi="Arial"/>
                <w:sz w:val="15"/>
                <w:szCs w:val="15"/>
                <w:color w:val="auto"/>
              </w:rPr>
              <w:t>Granted</w:t>
            </w:r>
          </w:p>
        </w:tc>
        <w:tc>
          <w:tcPr>
            <w:tcW w:w="1000" w:type="dxa"/>
            <w:vAlign w:val="bottom"/>
          </w:tcPr>
          <w:p>
            <w:pPr>
              <w:jc w:val="right"/>
              <w:spacing w:after="0"/>
              <w:rPr>
                <w:sz w:val="20"/>
                <w:szCs w:val="20"/>
                <w:color w:val="auto"/>
              </w:rPr>
            </w:pPr>
            <w:r>
              <w:rPr>
                <w:rFonts w:ascii="Arial" w:cs="Arial" w:eastAsia="Arial" w:hAnsi="Arial"/>
                <w:sz w:val="17"/>
                <w:szCs w:val="17"/>
                <w:color w:val="auto"/>
              </w:rPr>
              <w:t>768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1,219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7"/>
                <w:szCs w:val="17"/>
                <w:color w:val="auto"/>
              </w:rPr>
              <w:t>1,434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Vested</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6"/>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Nonvested Stock Options at End of Year</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2,445</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7"/>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2,913</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3,156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Shares</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Second Restricted Stock Plan provided for a maximum number of shares that may be subject to awards of 9,000,000 shares, prior to its replacement by the 2019 Omnibus Plan.</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Restricted shares awarded under either that plan or the 2019 Omnibus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The Company has issued 4,231,194 shares under the 2019 Omnibus Plan and 5,630,019 shares under the prior plan (prior to its replacement) as of December 31, 2023, and has 3,377,863 shares outstanding under such plans.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745"/>
              <w:spacing w:after="0"/>
              <w:rPr>
                <w:sz w:val="20"/>
                <w:szCs w:val="20"/>
                <w:color w:val="auto"/>
              </w:rPr>
            </w:pPr>
            <w:r>
              <w:rPr>
                <w:rFonts w:ascii="Arial" w:cs="Arial" w:eastAsia="Arial" w:hAnsi="Arial"/>
                <w:sz w:val="13"/>
                <w:szCs w:val="13"/>
                <w:b w:val="1"/>
                <w:bCs w:val="1"/>
                <w:color w:val="auto"/>
              </w:rPr>
              <w:t>2023</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765"/>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765"/>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Vesting Period</w:t>
            </w:r>
            <w:r>
              <w:rPr>
                <w:rFonts w:ascii="Arial" w:cs="Arial" w:eastAsia="Arial" w:hAnsi="Arial"/>
                <w:sz w:val="17"/>
                <w:szCs w:val="17"/>
                <w:b w:val="1"/>
                <w:bCs w:val="1"/>
                <w:color w:val="auto"/>
                <w:vertAlign w:val="superscript"/>
              </w:rPr>
              <w:t>(1)</w:t>
            </w:r>
          </w:p>
        </w:tc>
        <w:tc>
          <w:tcPr>
            <w:tcW w:w="126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auto"/>
              </w:rPr>
              <w:t>Shares Granted</w:t>
            </w:r>
          </w:p>
        </w:tc>
        <w:tc>
          <w:tcPr>
            <w:tcW w:w="140" w:type="dxa"/>
            <w:vAlign w:val="bottom"/>
          </w:tcPr>
          <w:p>
            <w:pPr>
              <w:spacing w:after="0"/>
              <w:rPr>
                <w:sz w:val="11"/>
                <w:szCs w:val="11"/>
                <w:color w:val="auto"/>
              </w:rPr>
            </w:pPr>
          </w:p>
        </w:tc>
        <w:tc>
          <w:tcPr>
            <w:tcW w:w="1820" w:type="dxa"/>
            <w:vAlign w:val="bottom"/>
            <w:gridSpan w:val="3"/>
          </w:tcPr>
          <w:p>
            <w:pPr>
              <w:ind w:left="160"/>
              <w:spacing w:after="0" w:line="131" w:lineRule="exact"/>
              <w:rPr>
                <w:sz w:val="20"/>
                <w:szCs w:val="20"/>
                <w:color w:val="auto"/>
              </w:rPr>
            </w:pPr>
            <w:r>
              <w:rPr>
                <w:rFonts w:ascii="Arial" w:cs="Arial" w:eastAsia="Arial" w:hAnsi="Arial"/>
                <w:sz w:val="13"/>
                <w:szCs w:val="13"/>
                <w:b w:val="1"/>
                <w:bCs w:val="1"/>
                <w:color w:val="auto"/>
              </w:rPr>
              <w:t>Market Price at Grant</w:t>
            </w:r>
          </w:p>
        </w:tc>
        <w:tc>
          <w:tcPr>
            <w:tcW w:w="126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auto"/>
              </w:rPr>
              <w:t>Shares Granted</w:t>
            </w:r>
          </w:p>
        </w:tc>
        <w:tc>
          <w:tcPr>
            <w:tcW w:w="140" w:type="dxa"/>
            <w:vAlign w:val="bottom"/>
          </w:tcPr>
          <w:p>
            <w:pPr>
              <w:spacing w:after="0"/>
              <w:rPr>
                <w:sz w:val="11"/>
                <w:szCs w:val="11"/>
                <w:color w:val="auto"/>
              </w:rPr>
            </w:pPr>
          </w:p>
        </w:tc>
        <w:tc>
          <w:tcPr>
            <w:tcW w:w="1840" w:type="dxa"/>
            <w:vAlign w:val="bottom"/>
            <w:gridSpan w:val="3"/>
          </w:tcPr>
          <w:p>
            <w:pPr>
              <w:ind w:left="180"/>
              <w:spacing w:after="0" w:line="131" w:lineRule="exact"/>
              <w:rPr>
                <w:sz w:val="20"/>
                <w:szCs w:val="20"/>
                <w:color w:val="auto"/>
              </w:rPr>
            </w:pPr>
            <w:r>
              <w:rPr>
                <w:rFonts w:ascii="Arial" w:cs="Arial" w:eastAsia="Arial" w:hAnsi="Arial"/>
                <w:sz w:val="13"/>
                <w:szCs w:val="13"/>
                <w:b w:val="1"/>
                <w:bCs w:val="1"/>
                <w:color w:val="auto"/>
              </w:rPr>
              <w:t>Market Price at Grant</w:t>
            </w:r>
          </w:p>
        </w:tc>
        <w:tc>
          <w:tcPr>
            <w:tcW w:w="126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auto"/>
              </w:rPr>
              <w:t>Shares Granted</w:t>
            </w:r>
          </w:p>
        </w:tc>
        <w:tc>
          <w:tcPr>
            <w:tcW w:w="160" w:type="dxa"/>
            <w:vAlign w:val="bottom"/>
          </w:tcPr>
          <w:p>
            <w:pPr>
              <w:spacing w:after="0"/>
              <w:rPr>
                <w:sz w:val="11"/>
                <w:szCs w:val="11"/>
                <w:color w:val="auto"/>
              </w:rPr>
            </w:pPr>
          </w:p>
        </w:tc>
        <w:tc>
          <w:tcPr>
            <w:tcW w:w="1660" w:type="dxa"/>
            <w:vAlign w:val="bottom"/>
            <w:gridSpan w:val="2"/>
          </w:tcPr>
          <w:p>
            <w:pPr>
              <w:jc w:val="right"/>
              <w:ind w:right="76"/>
              <w:spacing w:after="0" w:line="131" w:lineRule="exact"/>
              <w:rPr>
                <w:sz w:val="20"/>
                <w:szCs w:val="20"/>
                <w:color w:val="auto"/>
              </w:rPr>
            </w:pPr>
            <w:r>
              <w:rPr>
                <w:rFonts w:ascii="Arial" w:cs="Arial" w:eastAsia="Arial" w:hAnsi="Arial"/>
                <w:sz w:val="13"/>
                <w:szCs w:val="13"/>
                <w:b w:val="1"/>
                <w:bCs w:val="1"/>
                <w:color w:val="auto"/>
              </w:rPr>
              <w:t>Market Price at Grant</w:t>
            </w:r>
          </w:p>
        </w:tc>
        <w:tc>
          <w:tcPr>
            <w:tcW w:w="0" w:type="dxa"/>
            <w:vAlign w:val="bottom"/>
          </w:tcPr>
          <w:p>
            <w:pPr>
              <w:spacing w:after="0"/>
              <w:rPr>
                <w:sz w:val="1"/>
                <w:szCs w:val="1"/>
                <w:color w:val="auto"/>
              </w:rPr>
            </w:pPr>
          </w:p>
        </w:tc>
      </w:tr>
      <w:tr>
        <w:trPr>
          <w:trHeight w:val="176"/>
        </w:trPr>
        <w:tc>
          <w:tcPr>
            <w:tcW w:w="1700" w:type="dxa"/>
            <w:vAlign w:val="bottom"/>
            <w:tcBorders>
              <w:bottom w:val="single" w:sz="8" w:color="CCEEFF"/>
            </w:tcBorders>
            <w:gridSpan w:val="2"/>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Date</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Date</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Date</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1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142,314</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- 32.66</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119,849</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23.84</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- 29.89</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24,634</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- 34.37</w:t>
            </w:r>
          </w:p>
        </w:tc>
        <w:tc>
          <w:tcPr>
            <w:tcW w:w="0" w:type="dxa"/>
            <w:vAlign w:val="bottom"/>
          </w:tcPr>
          <w:p>
            <w:pPr>
              <w:spacing w:after="0"/>
              <w:rPr>
                <w:sz w:val="1"/>
                <w:szCs w:val="1"/>
                <w:color w:val="auto"/>
              </w:rPr>
            </w:pPr>
          </w:p>
        </w:tc>
      </w:tr>
      <w:tr>
        <w:trPr>
          <w:trHeight w:val="214"/>
        </w:trPr>
        <w:tc>
          <w:tcPr>
            <w:tcW w:w="140" w:type="dxa"/>
            <w:vAlign w:val="bottom"/>
          </w:tcPr>
          <w:p>
            <w:pPr>
              <w:ind w:left="20"/>
              <w:spacing w:after="0"/>
              <w:rPr>
                <w:sz w:val="20"/>
                <w:szCs w:val="20"/>
                <w:color w:val="auto"/>
              </w:rPr>
            </w:pPr>
            <w:r>
              <w:rPr>
                <w:rFonts w:ascii="Arial" w:cs="Arial" w:eastAsia="Arial" w:hAnsi="Arial"/>
                <w:sz w:val="17"/>
                <w:szCs w:val="17"/>
                <w:color w:val="auto"/>
              </w:rPr>
              <w:t>2</w:t>
            </w:r>
          </w:p>
        </w:tc>
        <w:tc>
          <w:tcPr>
            <w:tcW w:w="1560" w:type="dxa"/>
            <w:vAlign w:val="bottom"/>
          </w:tcPr>
          <w:p>
            <w:pPr>
              <w:ind w:left="20"/>
              <w:spacing w:after="0"/>
              <w:rPr>
                <w:sz w:val="20"/>
                <w:szCs w:val="20"/>
                <w:color w:val="auto"/>
              </w:rPr>
            </w:pPr>
            <w:r>
              <w:rPr>
                <w:rFonts w:ascii="Arial" w:cs="Arial" w:eastAsia="Arial" w:hAnsi="Arial"/>
                <w:sz w:val="17"/>
                <w:szCs w:val="17"/>
                <w:color w:val="auto"/>
              </w:rPr>
              <w:t>Year</w:t>
            </w:r>
          </w:p>
        </w:tc>
        <w:tc>
          <w:tcPr>
            <w:tcW w:w="1260" w:type="dxa"/>
            <w:vAlign w:val="bottom"/>
          </w:tcPr>
          <w:p>
            <w:pPr>
              <w:jc w:val="right"/>
              <w:spacing w:after="0"/>
              <w:rPr>
                <w:sz w:val="20"/>
                <w:szCs w:val="20"/>
                <w:color w:val="auto"/>
              </w:rPr>
            </w:pPr>
            <w:r>
              <w:rPr>
                <w:rFonts w:ascii="Arial" w:cs="Arial" w:eastAsia="Arial" w:hAnsi="Arial"/>
                <w:sz w:val="17"/>
                <w:szCs w:val="17"/>
                <w:color w:val="auto"/>
              </w:rPr>
              <w:t>104,562</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28.03</w:t>
            </w:r>
          </w:p>
        </w:tc>
        <w:tc>
          <w:tcPr>
            <w:tcW w:w="560" w:type="dxa"/>
            <w:vAlign w:val="bottom"/>
          </w:tcPr>
          <w:p>
            <w:pPr>
              <w:jc w:val="right"/>
              <w:spacing w:after="0"/>
              <w:rPr>
                <w:sz w:val="20"/>
                <w:szCs w:val="20"/>
                <w:color w:val="auto"/>
              </w:rPr>
            </w:pPr>
            <w:r>
              <w:rPr>
                <w:rFonts w:ascii="Arial" w:cs="Arial" w:eastAsia="Arial" w:hAnsi="Arial"/>
                <w:sz w:val="17"/>
                <w:szCs w:val="17"/>
                <w:color w:val="auto"/>
              </w:rPr>
              <w:t>- 32.66</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82,538</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23.84</w:t>
            </w:r>
          </w:p>
        </w:tc>
        <w:tc>
          <w:tcPr>
            <w:tcW w:w="560" w:type="dxa"/>
            <w:vAlign w:val="bottom"/>
          </w:tcPr>
          <w:p>
            <w:pPr>
              <w:jc w:val="right"/>
              <w:spacing w:after="0"/>
              <w:rPr>
                <w:sz w:val="20"/>
                <w:szCs w:val="20"/>
                <w:color w:val="auto"/>
              </w:rPr>
            </w:pPr>
            <w:r>
              <w:rPr>
                <w:rFonts w:ascii="Arial" w:cs="Arial" w:eastAsia="Arial" w:hAnsi="Arial"/>
                <w:sz w:val="17"/>
                <w:szCs w:val="17"/>
                <w:color w:val="auto"/>
                <w:w w:val="98"/>
              </w:rPr>
              <w:t>- 29.17</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3</w:t>
            </w:r>
          </w:p>
        </w:tc>
        <w:tc>
          <w:tcPr>
            <w:tcW w:w="1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Years</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302,569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28.03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- 32.66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261,493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23.84</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- 30.85</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606,853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- 35.67</w:t>
            </w:r>
          </w:p>
        </w:tc>
        <w:tc>
          <w:tcPr>
            <w:tcW w:w="0" w:type="dxa"/>
            <w:vAlign w:val="bottom"/>
          </w:tcPr>
          <w:p>
            <w:pPr>
              <w:spacing w:after="0"/>
              <w:rPr>
                <w:sz w:val="1"/>
                <w:szCs w:val="1"/>
                <w:color w:val="auto"/>
              </w:rPr>
            </w:pPr>
          </w:p>
        </w:tc>
      </w:tr>
      <w:tr>
        <w:trPr>
          <w:trHeight w:val="214"/>
        </w:trPr>
        <w:tc>
          <w:tcPr>
            <w:tcW w:w="140" w:type="dxa"/>
            <w:vAlign w:val="bottom"/>
          </w:tcPr>
          <w:p>
            <w:pPr>
              <w:ind w:left="20"/>
              <w:spacing w:after="0"/>
              <w:rPr>
                <w:sz w:val="20"/>
                <w:szCs w:val="20"/>
                <w:color w:val="auto"/>
              </w:rPr>
            </w:pPr>
            <w:r>
              <w:rPr>
                <w:rFonts w:ascii="Arial" w:cs="Arial" w:eastAsia="Arial" w:hAnsi="Arial"/>
                <w:sz w:val="17"/>
                <w:szCs w:val="17"/>
                <w:color w:val="auto"/>
              </w:rPr>
              <w:t>4</w:t>
            </w:r>
          </w:p>
        </w:tc>
        <w:tc>
          <w:tcPr>
            <w:tcW w:w="1560" w:type="dxa"/>
            <w:vAlign w:val="bottom"/>
          </w:tcPr>
          <w:p>
            <w:pPr>
              <w:ind w:left="20"/>
              <w:spacing w:after="0"/>
              <w:rPr>
                <w:sz w:val="20"/>
                <w:szCs w:val="20"/>
                <w:color w:val="auto"/>
              </w:rPr>
            </w:pPr>
            <w:r>
              <w:rPr>
                <w:rFonts w:ascii="Arial" w:cs="Arial" w:eastAsia="Arial" w:hAnsi="Arial"/>
                <w:sz w:val="17"/>
                <w:szCs w:val="17"/>
                <w:color w:val="auto"/>
              </w:rPr>
              <w:t>Years</w:t>
            </w:r>
          </w:p>
        </w:tc>
        <w:tc>
          <w:tcPr>
            <w:tcW w:w="1260" w:type="dxa"/>
            <w:vAlign w:val="bottom"/>
          </w:tcPr>
          <w:p>
            <w:pPr>
              <w:jc w:val="right"/>
              <w:spacing w:after="0"/>
              <w:rPr>
                <w:sz w:val="20"/>
                <w:szCs w:val="20"/>
                <w:color w:val="auto"/>
              </w:rPr>
            </w:pPr>
            <w:r>
              <w:rPr>
                <w:rFonts w:ascii="Arial" w:cs="Arial" w:eastAsia="Arial" w:hAnsi="Arial"/>
                <w:sz w:val="17"/>
                <w:szCs w:val="17"/>
                <w:color w:val="auto"/>
              </w:rPr>
              <w:t>265,719</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28.03</w:t>
            </w:r>
          </w:p>
        </w:tc>
        <w:tc>
          <w:tcPr>
            <w:tcW w:w="560" w:type="dxa"/>
            <w:vAlign w:val="bottom"/>
          </w:tcPr>
          <w:p>
            <w:pPr>
              <w:jc w:val="right"/>
              <w:spacing w:after="0"/>
              <w:rPr>
                <w:sz w:val="20"/>
                <w:szCs w:val="20"/>
                <w:color w:val="auto"/>
              </w:rPr>
            </w:pPr>
            <w:r>
              <w:rPr>
                <w:rFonts w:ascii="Arial" w:cs="Arial" w:eastAsia="Arial" w:hAnsi="Arial"/>
                <w:sz w:val="17"/>
                <w:szCs w:val="17"/>
                <w:color w:val="auto"/>
              </w:rPr>
              <w:t>- 32.66</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260,149</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23.84</w:t>
            </w:r>
          </w:p>
        </w:tc>
        <w:tc>
          <w:tcPr>
            <w:tcW w:w="560" w:type="dxa"/>
            <w:vAlign w:val="bottom"/>
          </w:tcPr>
          <w:p>
            <w:pPr>
              <w:jc w:val="right"/>
              <w:spacing w:after="0"/>
              <w:rPr>
                <w:sz w:val="20"/>
                <w:szCs w:val="20"/>
                <w:color w:val="auto"/>
              </w:rPr>
            </w:pPr>
            <w:r>
              <w:rPr>
                <w:rFonts w:ascii="Arial" w:cs="Arial" w:eastAsia="Arial" w:hAnsi="Arial"/>
                <w:sz w:val="17"/>
                <w:szCs w:val="17"/>
                <w:color w:val="auto"/>
                <w:w w:val="98"/>
              </w:rPr>
              <w:t>- 29.17</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309,955</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32.98</w:t>
            </w:r>
          </w:p>
        </w:tc>
        <w:tc>
          <w:tcPr>
            <w:tcW w:w="560" w:type="dxa"/>
            <w:vAlign w:val="bottom"/>
          </w:tcPr>
          <w:p>
            <w:pPr>
              <w:jc w:val="right"/>
              <w:spacing w:after="0"/>
              <w:rPr>
                <w:sz w:val="20"/>
                <w:szCs w:val="20"/>
                <w:color w:val="auto"/>
              </w:rPr>
            </w:pPr>
            <w:r>
              <w:rPr>
                <w:rFonts w:ascii="Arial" w:cs="Arial" w:eastAsia="Arial" w:hAnsi="Arial"/>
                <w:sz w:val="17"/>
                <w:szCs w:val="17"/>
                <w:color w:val="auto"/>
              </w:rPr>
              <w:t>- 35.67</w:t>
            </w:r>
          </w:p>
        </w:tc>
        <w:tc>
          <w:tcPr>
            <w:tcW w:w="0" w:type="dxa"/>
            <w:vAlign w:val="bottom"/>
          </w:tcPr>
          <w:p>
            <w:pPr>
              <w:spacing w:after="0"/>
              <w:rPr>
                <w:sz w:val="1"/>
                <w:szCs w:val="1"/>
                <w:color w:val="auto"/>
              </w:rPr>
            </w:pPr>
          </w:p>
        </w:tc>
      </w:tr>
      <w:tr>
        <w:trPr>
          <w:trHeight w:val="214"/>
        </w:trPr>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5</w:t>
            </w:r>
          </w:p>
        </w:tc>
        <w:tc>
          <w:tcPr>
            <w:tcW w:w="1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Years</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184,900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28.03</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- 32.66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23.84</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- 29.17</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157,169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- 35.67</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1,000,064</w:t>
            </w:r>
          </w:p>
        </w:tc>
        <w:tc>
          <w:tcPr>
            <w:tcW w:w="140" w:type="dxa"/>
            <w:vAlign w:val="bottom"/>
          </w:tcPr>
          <w:p>
            <w:pPr>
              <w:spacing w:after="0"/>
              <w:rPr>
                <w:sz w:val="18"/>
                <w:szCs w:val="18"/>
                <w:color w:val="auto"/>
              </w:rPr>
            </w:pPr>
          </w:p>
        </w:tc>
        <w:tc>
          <w:tcPr>
            <w:tcW w:w="16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$28.03 - 32.66</w:t>
            </w:r>
          </w:p>
        </w:tc>
        <w:tc>
          <w:tcPr>
            <w:tcW w:w="16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949,089</w:t>
            </w:r>
          </w:p>
        </w:tc>
        <w:tc>
          <w:tcPr>
            <w:tcW w:w="140" w:type="dxa"/>
            <w:vAlign w:val="bottom"/>
          </w:tcPr>
          <w:p>
            <w:pPr>
              <w:spacing w:after="0"/>
              <w:rPr>
                <w:sz w:val="18"/>
                <w:szCs w:val="18"/>
                <w:color w:val="auto"/>
              </w:rPr>
            </w:pPr>
          </w:p>
        </w:tc>
        <w:tc>
          <w:tcPr>
            <w:tcW w:w="16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$23.84 - 30.85</w:t>
            </w:r>
          </w:p>
        </w:tc>
        <w:tc>
          <w:tcPr>
            <w:tcW w:w="16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1,098,611</w:t>
            </w:r>
          </w:p>
        </w:tc>
        <w:tc>
          <w:tcPr>
            <w:tcW w:w="160" w:type="dxa"/>
            <w:vAlign w:val="bottom"/>
          </w:tcPr>
          <w:p>
            <w:pPr>
              <w:spacing w:after="0"/>
              <w:rPr>
                <w:sz w:val="18"/>
                <w:szCs w:val="18"/>
                <w:color w:val="auto"/>
              </w:rPr>
            </w:pPr>
          </w:p>
        </w:tc>
        <w:tc>
          <w:tcPr>
            <w:tcW w:w="16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$32.98 - 35.67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845"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845" cy="120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(1) Each of these awards cliff vest after the restriction period with no additional restrictions.</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summary of restricted share award activity, including award grants, vesting, and forfeitures for the years ended December 31, 2023, 2022, and 2021, are presented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gridSpan w:val="2"/>
          </w:tcPr>
          <w:p>
            <w:pPr>
              <w:ind w:left="5460"/>
              <w:spacing w:after="0"/>
              <w:rPr>
                <w:sz w:val="20"/>
                <w:szCs w:val="20"/>
                <w:color w:val="auto"/>
              </w:rPr>
            </w:pPr>
            <w:r>
              <w:rPr>
                <w:rFonts w:ascii="Arial" w:cs="Arial" w:eastAsia="Arial" w:hAnsi="Arial"/>
                <w:sz w:val="13"/>
                <w:szCs w:val="13"/>
                <w:b w:val="1"/>
                <w:bCs w:val="1"/>
                <w:color w:val="auto"/>
              </w:rPr>
              <w:t>2023</w:t>
            </w:r>
          </w:p>
        </w:tc>
        <w:tc>
          <w:tcPr>
            <w:tcW w:w="2320" w:type="dxa"/>
            <w:vAlign w:val="bottom"/>
            <w:gridSpan w:val="3"/>
          </w:tcPr>
          <w:p>
            <w:pPr>
              <w:jc w:val="right"/>
              <w:ind w:right="133"/>
              <w:spacing w:after="0"/>
              <w:rPr>
                <w:sz w:val="20"/>
                <w:szCs w:val="20"/>
                <w:color w:val="auto"/>
              </w:rPr>
            </w:pPr>
            <w:r>
              <w:rPr>
                <w:rFonts w:ascii="Arial" w:cs="Arial" w:eastAsia="Arial" w:hAnsi="Arial"/>
                <w:sz w:val="13"/>
                <w:szCs w:val="13"/>
                <w:b w:val="1"/>
                <w:bCs w:val="1"/>
                <w:color w:val="auto"/>
              </w:rPr>
              <w:t>2022</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jc w:val="right"/>
              <w:ind w:right="842"/>
              <w:spacing w:after="0"/>
              <w:rPr>
                <w:sz w:val="20"/>
                <w:szCs w:val="20"/>
                <w:color w:val="auto"/>
              </w:rPr>
            </w:pPr>
            <w:r>
              <w:rPr>
                <w:rFonts w:ascii="Arial" w:cs="Arial" w:eastAsia="Arial" w:hAnsi="Arial"/>
                <w:sz w:val="13"/>
                <w:szCs w:val="13"/>
                <w:b w:val="1"/>
                <w:bCs w:val="1"/>
                <w:color w:val="auto"/>
              </w:rPr>
              <w:t>2021</w:t>
            </w:r>
          </w:p>
        </w:tc>
      </w:tr>
      <w:tr>
        <w:trPr>
          <w:trHeight w:val="134"/>
        </w:trPr>
        <w:tc>
          <w:tcPr>
            <w:tcW w:w="4460" w:type="dxa"/>
            <w:vAlign w:val="bottom"/>
          </w:tcPr>
          <w:p>
            <w:pPr>
              <w:spacing w:after="0"/>
              <w:rPr>
                <w:sz w:val="11"/>
                <w:szCs w:val="11"/>
                <w:color w:val="auto"/>
              </w:rPr>
            </w:pPr>
          </w:p>
        </w:tc>
        <w:tc>
          <w:tcPr>
            <w:tcW w:w="1460" w:type="dxa"/>
            <w:vAlign w:val="bottom"/>
            <w:tcBorders>
              <w:top w:val="single" w:sz="8" w:color="auto"/>
            </w:tcBorders>
          </w:tcPr>
          <w:p>
            <w:pPr>
              <w:ind w:left="860"/>
              <w:spacing w:after="0" w:line="134" w:lineRule="exact"/>
              <w:rPr>
                <w:sz w:val="20"/>
                <w:szCs w:val="20"/>
                <w:color w:val="auto"/>
              </w:rPr>
            </w:pPr>
            <w:r>
              <w:rPr>
                <w:rFonts w:ascii="Arial" w:cs="Arial" w:eastAsia="Arial" w:hAnsi="Arial"/>
                <w:sz w:val="13"/>
                <w:szCs w:val="13"/>
                <w:b w:val="1"/>
                <w:bCs w:val="1"/>
                <w:color w:val="auto"/>
              </w:rPr>
              <w:t>Shares</w:t>
            </w: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left="613"/>
              <w:spacing w:after="0" w:line="134" w:lineRule="exact"/>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160" w:type="dxa"/>
            <w:vAlign w:val="bottom"/>
            <w:tcBorders>
              <w:top w:val="single" w:sz="8" w:color="auto"/>
            </w:tcBorders>
          </w:tcPr>
          <w:p>
            <w:pPr>
              <w:jc w:val="right"/>
              <w:ind w:right="782"/>
              <w:spacing w:after="0" w:line="134" w:lineRule="exact"/>
              <w:rPr>
                <w:sz w:val="20"/>
                <w:szCs w:val="20"/>
                <w:color w:val="auto"/>
              </w:rPr>
            </w:pPr>
            <w:r>
              <w:rPr>
                <w:rFonts w:ascii="Arial" w:cs="Arial" w:eastAsia="Arial" w:hAnsi="Arial"/>
                <w:sz w:val="13"/>
                <w:szCs w:val="13"/>
                <w:b w:val="1"/>
                <w:bCs w:val="1"/>
                <w:color w:val="auto"/>
              </w:rPr>
              <w:t>Shares</w:t>
            </w:r>
          </w:p>
        </w:tc>
      </w:tr>
      <w:tr>
        <w:trPr>
          <w:trHeight w:val="173"/>
        </w:trPr>
        <w:tc>
          <w:tcPr>
            <w:tcW w:w="5920" w:type="dxa"/>
            <w:vAlign w:val="bottom"/>
            <w:gridSpan w:val="2"/>
          </w:tcPr>
          <w:p>
            <w:pPr>
              <w:ind w:left="5400"/>
              <w:spacing w:after="0"/>
              <w:rPr>
                <w:sz w:val="20"/>
                <w:szCs w:val="20"/>
                <w:color w:val="auto"/>
              </w:rPr>
            </w:pPr>
            <w:r>
              <w:rPr>
                <w:rFonts w:ascii="Arial" w:cs="Arial" w:eastAsia="Arial" w:hAnsi="Arial"/>
                <w:sz w:val="13"/>
                <w:szCs w:val="13"/>
                <w:b w:val="1"/>
                <w:bCs w:val="1"/>
                <w:color w:val="auto"/>
              </w:rPr>
              <w:t>(000)</w:t>
            </w:r>
          </w:p>
        </w:tc>
        <w:tc>
          <w:tcPr>
            <w:tcW w:w="2320" w:type="dxa"/>
            <w:vAlign w:val="bottom"/>
            <w:gridSpan w:val="3"/>
          </w:tcPr>
          <w:p>
            <w:pPr>
              <w:jc w:val="right"/>
              <w:ind w:right="193"/>
              <w:spacing w:after="0"/>
              <w:rPr>
                <w:sz w:val="20"/>
                <w:szCs w:val="20"/>
                <w:color w:val="auto"/>
              </w:rPr>
            </w:pPr>
            <w:r>
              <w:rPr>
                <w:rFonts w:ascii="Arial" w:cs="Arial" w:eastAsia="Arial" w:hAnsi="Arial"/>
                <w:sz w:val="13"/>
                <w:szCs w:val="13"/>
                <w:b w:val="1"/>
                <w:bCs w:val="1"/>
                <w:color w:val="auto"/>
              </w:rPr>
              <w:t>(000)</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jc w:val="right"/>
              <w:ind w:right="842"/>
              <w:spacing w:after="0"/>
              <w:rPr>
                <w:sz w:val="20"/>
                <w:szCs w:val="20"/>
                <w:color w:val="auto"/>
              </w:rPr>
            </w:pPr>
            <w:r>
              <w:rPr>
                <w:rFonts w:ascii="Arial" w:cs="Arial" w:eastAsia="Arial" w:hAnsi="Arial"/>
                <w:sz w:val="13"/>
                <w:szCs w:val="13"/>
                <w:b w:val="1"/>
                <w:bCs w:val="1"/>
                <w:color w:val="auto"/>
              </w:rPr>
              <w:t>(000)</w:t>
            </w:r>
          </w:p>
        </w:tc>
      </w:tr>
      <w:tr>
        <w:trPr>
          <w:trHeight w:val="206"/>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Nonvested, Beginning of Year</w:t>
            </w:r>
          </w:p>
        </w:tc>
        <w:tc>
          <w:tcPr>
            <w:tcW w:w="14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3,553</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3,760</w:t>
            </w: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3,599</w:t>
            </w:r>
          </w:p>
        </w:tc>
      </w:tr>
      <w:tr>
        <w:trPr>
          <w:trHeight w:val="214"/>
        </w:trPr>
        <w:tc>
          <w:tcPr>
            <w:tcW w:w="5920" w:type="dxa"/>
            <w:vAlign w:val="bottom"/>
            <w:gridSpan w:val="2"/>
          </w:tcPr>
          <w:p>
            <w:pPr>
              <w:ind w:left="20"/>
              <w:spacing w:after="0"/>
              <w:rPr>
                <w:sz w:val="20"/>
                <w:szCs w:val="20"/>
                <w:color w:val="auto"/>
              </w:rPr>
            </w:pPr>
            <w:r>
              <w:rPr>
                <w:rFonts w:ascii="Arial" w:cs="Arial" w:eastAsia="Arial" w:hAnsi="Arial"/>
                <w:sz w:val="15"/>
                <w:szCs w:val="15"/>
                <w:color w:val="auto"/>
              </w:rPr>
              <w:t>Granted</w:t>
            </w:r>
          </w:p>
        </w:tc>
        <w:tc>
          <w:tcPr>
            <w:tcW w:w="720" w:type="dxa"/>
            <w:vAlign w:val="bottom"/>
          </w:tcPr>
          <w:p>
            <w:pPr>
              <w:jc w:val="right"/>
              <w:ind w:right="1"/>
              <w:spacing w:after="0"/>
              <w:rPr>
                <w:sz w:val="20"/>
                <w:szCs w:val="20"/>
                <w:color w:val="auto"/>
              </w:rPr>
            </w:pPr>
            <w:r>
              <w:rPr>
                <w:rFonts w:ascii="Arial" w:cs="Arial" w:eastAsia="Arial" w:hAnsi="Arial"/>
                <w:sz w:val="17"/>
                <w:szCs w:val="17"/>
                <w:color w:val="auto"/>
              </w:rPr>
              <w:t>1,027</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949</w:t>
            </w:r>
          </w:p>
        </w:tc>
        <w:tc>
          <w:tcPr>
            <w:tcW w:w="1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1,099</w:t>
            </w:r>
          </w:p>
        </w:tc>
      </w:tr>
      <w:tr>
        <w:trPr>
          <w:trHeight w:val="214"/>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Vested</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r>
      <w:tr>
        <w:trPr>
          <w:trHeight w:val="214"/>
        </w:trPr>
        <w:tc>
          <w:tcPr>
            <w:tcW w:w="5920" w:type="dxa"/>
            <w:vAlign w:val="bottom"/>
            <w:gridSpan w:val="2"/>
          </w:tcPr>
          <w:p>
            <w:pPr>
              <w:ind w:left="20"/>
              <w:spacing w:after="0"/>
              <w:rPr>
                <w:sz w:val="20"/>
                <w:szCs w:val="20"/>
                <w:color w:val="auto"/>
              </w:rPr>
            </w:pPr>
            <w:r>
              <w:rPr>
                <w:rFonts w:ascii="Arial" w:cs="Arial" w:eastAsia="Arial" w:hAnsi="Arial"/>
                <w:sz w:val="15"/>
                <w:szCs w:val="15"/>
                <w:color w:val="auto"/>
              </w:rPr>
              <w:t>Forfeited</w:t>
            </w:r>
          </w:p>
        </w:tc>
        <w:tc>
          <w:tcPr>
            <w:tcW w:w="72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(221)</w:t>
            </w:r>
          </w:p>
        </w:tc>
        <w:tc>
          <w:tcPr>
            <w:tcW w:w="1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(179)</w:t>
            </w:r>
          </w:p>
        </w:tc>
      </w:tr>
      <w:tr>
        <w:trPr>
          <w:trHeight w:val="206"/>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Nonvested, End of Year</w:t>
            </w:r>
          </w:p>
        </w:tc>
        <w:tc>
          <w:tcPr>
            <w:tcW w:w="14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3,378</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3,553</w:t>
            </w: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3,760</w:t>
            </w: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December 31, 2023, there was unearned stock-based compensation of $45,797,227 associated with these restricted stock grants. The unearned stock-based compensation related to these grants is being amortized to compensation expense over the applicable restriction periods. Compensation expense related to restricted stock for the years ended December 31, 2023, 2022 and 2021 was $24,809,834, $21,773,179, and $19,304,013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Performance Shares</w:t>
      </w:r>
    </w:p>
    <w:p>
      <w:pPr>
        <w:spacing w:after="0" w:line="1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closing stock price on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 As of December 31, 2023, the Company had unearned stock-based compensation of $ 16,118,617 associated with these performance share grants. The unearned stock-based compensation related to these grants is being amortized to compensation expense over the applicable performance periods. Compensation expense related to performance share grants for the years ended December 31, 2023, 2022, and 2021 was $5,882,458, $1,246,369, and $1,573,831, respectively.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part of its objective of attracting and retaining management to fulfill the Company's strategic goals, the Compensation Committee recommended and the Board approved on February 16, 2023, a retention grant of performance share awards ("PSAs"). In addition to the retention of management, the PSAs have been granted to further align management goals with those of the Company's shareholders. For that reason, the PSAs have been granted with performance criteria and will be based upon achievement of the Company's relative total shareholder return ("TSR") over a four year period (2023-2026), against a predetermined peer group. The grant date fair value of PSAs with TSR targets was determined using a Monte Carlo simulation. Compensation expense related to these retention grants for the year ended December 31, 2023 was $1,526,983.</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Employee Stock Purchase Plan</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Prior to July 1, 2022, the Company had in place an employee stock purchase plan covering 2,000,000 shares of common stock, which was approved by shareholders including amendments thereto. In May 2022, the 2022 Gentex Corporation Employee Stock Purchase Plan covering 2,000,000 shares of common stock was approved by shareholders, replacing the above referenced prior plan effective July 1, 2022. Under such plans, the Company sold or sells shares at 85% of the stock’s market price at the date of purchase. In accordance with ASC 718, the 15% discounted value is recognized as compensation expense.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Compensation expense related to the employee stock purchase plans for the years ended December 31, 2023, 2022, and 2021 was $882,294,</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$906,478, and $713,912, respectively. The following table summarizes shares sold to employees under the 2022 and prior plan in the years ended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2023, 2022 and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Plan</w:t>
            </w:r>
          </w:p>
        </w:tc>
        <w:tc>
          <w:tcPr>
            <w:tcW w:w="1060" w:type="dxa"/>
            <w:vAlign w:val="bottom"/>
            <w:vMerge w:val="restart"/>
          </w:tcPr>
          <w:p>
            <w:pPr>
              <w:jc w:val="right"/>
              <w:ind w:right="302"/>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3"/>
                <w:szCs w:val="13"/>
                <w:color w:val="auto"/>
              </w:rPr>
            </w:pPr>
          </w:p>
        </w:tc>
        <w:tc>
          <w:tcPr>
            <w:tcW w:w="1060" w:type="dxa"/>
            <w:vAlign w:val="bottom"/>
            <w:vMerge w:val="restart"/>
          </w:tcPr>
          <w:p>
            <w:pPr>
              <w:jc w:val="right"/>
              <w:ind w:right="302"/>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3"/>
                <w:szCs w:val="13"/>
                <w:color w:val="auto"/>
              </w:rPr>
            </w:pPr>
          </w:p>
        </w:tc>
        <w:tc>
          <w:tcPr>
            <w:tcW w:w="1180" w:type="dxa"/>
            <w:vAlign w:val="bottom"/>
            <w:vMerge w:val="restart"/>
          </w:tcPr>
          <w:p>
            <w:pPr>
              <w:jc w:val="right"/>
              <w:ind w:right="362"/>
              <w:spacing w:after="0"/>
              <w:rPr>
                <w:sz w:val="20"/>
                <w:szCs w:val="20"/>
                <w:color w:val="auto"/>
              </w:rPr>
            </w:pPr>
            <w:r>
              <w:rPr>
                <w:rFonts w:ascii="Arial" w:cs="Arial" w:eastAsia="Arial" w:hAnsi="Arial"/>
                <w:sz w:val="13"/>
                <w:szCs w:val="13"/>
                <w:b w:val="1"/>
                <w:bCs w:val="1"/>
                <w:color w:val="auto"/>
              </w:rPr>
              <w:t>2021</w:t>
            </w:r>
          </w:p>
        </w:tc>
        <w:tc>
          <w:tcPr>
            <w:tcW w:w="1680" w:type="dxa"/>
            <w:vAlign w:val="bottom"/>
          </w:tcPr>
          <w:p>
            <w:pPr>
              <w:jc w:val="right"/>
              <w:ind w:right="145"/>
              <w:spacing w:after="0"/>
              <w:rPr>
                <w:sz w:val="20"/>
                <w:szCs w:val="20"/>
                <w:color w:val="auto"/>
              </w:rPr>
            </w:pPr>
            <w:r>
              <w:rPr>
                <w:rFonts w:ascii="Arial" w:cs="Arial" w:eastAsia="Arial" w:hAnsi="Arial"/>
                <w:sz w:val="13"/>
                <w:szCs w:val="13"/>
                <w:b w:val="1"/>
                <w:bCs w:val="1"/>
                <w:color w:val="auto"/>
              </w:rPr>
              <w:t>Cumulative Shares</w:t>
            </w:r>
          </w:p>
        </w:tc>
        <w:tc>
          <w:tcPr>
            <w:tcW w:w="1300" w:type="dxa"/>
            <w:vAlign w:val="bottom"/>
            <w:gridSpan w:val="2"/>
          </w:tcPr>
          <w:p>
            <w:pPr>
              <w:jc w:val="right"/>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76"/>
        </w:trPr>
        <w:tc>
          <w:tcPr>
            <w:tcW w:w="456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Issued</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Fair Value 2023</w:t>
            </w: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 Employee Stock Purchase Plan</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194,241</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94,111</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288,352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30.29</w:t>
            </w:r>
          </w:p>
        </w:tc>
        <w:tc>
          <w:tcPr>
            <w:tcW w:w="0" w:type="dxa"/>
            <w:vAlign w:val="bottom"/>
          </w:tcPr>
          <w:p>
            <w:pPr>
              <w:spacing w:after="0"/>
              <w:rPr>
                <w:sz w:val="1"/>
                <w:szCs w:val="1"/>
                <w:color w:val="auto"/>
              </w:rPr>
            </w:pPr>
          </w:p>
        </w:tc>
      </w:tr>
      <w:tr>
        <w:trPr>
          <w:trHeight w:val="214"/>
        </w:trPr>
        <w:tc>
          <w:tcPr>
            <w:tcW w:w="4560" w:type="dxa"/>
            <w:vAlign w:val="bottom"/>
          </w:tcPr>
          <w:p>
            <w:pPr>
              <w:ind w:left="20"/>
              <w:spacing w:after="0"/>
              <w:rPr>
                <w:sz w:val="20"/>
                <w:szCs w:val="20"/>
                <w:color w:val="auto"/>
              </w:rPr>
            </w:pPr>
            <w:r>
              <w:rPr>
                <w:rFonts w:ascii="Arial" w:cs="Arial" w:eastAsia="Arial" w:hAnsi="Arial"/>
                <w:sz w:val="17"/>
                <w:szCs w:val="17"/>
                <w:color w:val="auto"/>
              </w:rPr>
              <w:t>Prior Employee Stock Purchase Plan</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126,101</w:t>
            </w: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143,892</w:t>
            </w:r>
          </w:p>
        </w:tc>
        <w:tc>
          <w:tcPr>
            <w:tcW w:w="1680" w:type="dxa"/>
            <w:vAlign w:val="bottom"/>
          </w:tcPr>
          <w:p>
            <w:pPr>
              <w:jc w:val="right"/>
              <w:spacing w:after="0"/>
              <w:rPr>
                <w:sz w:val="20"/>
                <w:szCs w:val="20"/>
                <w:color w:val="auto"/>
              </w:rPr>
            </w:pPr>
            <w:r>
              <w:rPr>
                <w:rFonts w:ascii="Arial" w:cs="Arial" w:eastAsia="Arial" w:hAnsi="Arial"/>
                <w:sz w:val="17"/>
                <w:szCs w:val="17"/>
                <w:color w:val="auto"/>
              </w:rPr>
              <w:t>1,624,122</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COMMITMENTS AND CONTINGENCIES</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October 4, 2023, the Company entered into a Stock Purchase Agreement to acquire up to 3,137,500 shares of VOXX Class A Common Stock. As part of this agreement, the Company agreed to purchase 1,568,750 shares of Class A Common Stock at a price of $10 per share on January 5, 2024.</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matters that constitute material pending legal proceedings that will have a material adverse effect on the financial position, future results of operations, or cash flows of the Company.</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SEGMENT REPORTING</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requires that a public enterprise report financial and descriptive information about its reportable operating segments subject to certain aggregation criteria and quantitative thresholds. Operating segments are defined by ASC 280 as components of an enterprise about which separate financial information is available that is evaluated regularly by the chief operating decision-makers in deciding how to allocate resources and in assessing performance.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(Continued)</w:t>
      </w:r>
    </w:p>
    <w:p>
      <w:pPr>
        <w:spacing w:after="0" w:line="6" w:lineRule="exact"/>
        <w:rPr>
          <w:sz w:val="20"/>
          <w:szCs w:val="20"/>
          <w:color w:val="auto"/>
        </w:rPr>
      </w:pPr>
    </w:p>
    <w:p>
      <w:pPr>
        <w:ind w:left="400" w:hanging="399"/>
        <w:spacing w:after="0"/>
        <w:tabs>
          <w:tab w:leader="none" w:pos="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5"/>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5"/>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5"/>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1"/>
        </w:trPr>
        <w:tc>
          <w:tcPr>
            <w:tcW w:w="53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Revenue:</w:t>
            </w: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300" w:type="dxa"/>
            <w:vAlign w:val="bottom"/>
          </w:tcPr>
          <w:p>
            <w:pPr>
              <w:ind w:left="320"/>
              <w:spacing w:after="0"/>
              <w:rPr>
                <w:sz w:val="20"/>
                <w:szCs w:val="20"/>
                <w:color w:val="auto"/>
              </w:rPr>
            </w:pPr>
            <w:r>
              <w:rPr>
                <w:rFonts w:ascii="Arial" w:cs="Arial" w:eastAsia="Arial" w:hAnsi="Arial"/>
                <w:sz w:val="15"/>
                <w:szCs w:val="15"/>
                <w:color w:val="auto"/>
              </w:rPr>
              <w:t>Automotive Products</w:t>
            </w: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United States</w:t>
            </w:r>
          </w:p>
        </w:tc>
        <w:tc>
          <w:tcPr>
            <w:tcW w:w="44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688,164,335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579,531,611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542,690,346</w:t>
            </w:r>
          </w:p>
        </w:tc>
        <w:tc>
          <w:tcPr>
            <w:tcW w:w="0" w:type="dxa"/>
            <w:vAlign w:val="bottom"/>
          </w:tcPr>
          <w:p>
            <w:pPr>
              <w:spacing w:after="0"/>
              <w:rPr>
                <w:sz w:val="1"/>
                <w:szCs w:val="1"/>
                <w:color w:val="auto"/>
              </w:rPr>
            </w:pPr>
          </w:p>
        </w:tc>
      </w:tr>
      <w:tr>
        <w:trPr>
          <w:trHeight w:val="200"/>
        </w:trPr>
        <w:tc>
          <w:tcPr>
            <w:tcW w:w="5300" w:type="dxa"/>
            <w:vAlign w:val="bottom"/>
          </w:tcPr>
          <w:p>
            <w:pPr>
              <w:ind w:left="620"/>
              <w:spacing w:after="0"/>
              <w:rPr>
                <w:sz w:val="20"/>
                <w:szCs w:val="20"/>
                <w:color w:val="auto"/>
              </w:rPr>
            </w:pPr>
            <w:r>
              <w:rPr>
                <w:rFonts w:ascii="Arial" w:cs="Arial" w:eastAsia="Arial" w:hAnsi="Arial"/>
                <w:sz w:val="15"/>
                <w:szCs w:val="15"/>
                <w:color w:val="auto"/>
              </w:rPr>
              <w:t>Germany</w:t>
            </w:r>
          </w:p>
        </w:tc>
        <w:tc>
          <w:tcPr>
            <w:tcW w:w="440" w:type="dxa"/>
            <w:vAlign w:val="bottom"/>
          </w:tcPr>
          <w:p>
            <w:pPr>
              <w:spacing w:after="0"/>
              <w:rPr>
                <w:sz w:val="17"/>
                <w:szCs w:val="17"/>
                <w:color w:val="auto"/>
              </w:rPr>
            </w:pPr>
          </w:p>
        </w:tc>
        <w:tc>
          <w:tcPr>
            <w:tcW w:w="1460" w:type="dxa"/>
            <w:vAlign w:val="bottom"/>
          </w:tcPr>
          <w:p>
            <w:pPr>
              <w:jc w:val="right"/>
              <w:ind w:right="45"/>
              <w:spacing w:after="0"/>
              <w:rPr>
                <w:sz w:val="20"/>
                <w:szCs w:val="20"/>
                <w:color w:val="auto"/>
              </w:rPr>
            </w:pPr>
            <w:r>
              <w:rPr>
                <w:rFonts w:ascii="Arial" w:cs="Arial" w:eastAsia="Arial" w:hAnsi="Arial"/>
                <w:sz w:val="15"/>
                <w:szCs w:val="15"/>
                <w:color w:val="auto"/>
              </w:rPr>
              <w:t>294,529,611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25"/>
              <w:spacing w:after="0"/>
              <w:rPr>
                <w:sz w:val="20"/>
                <w:szCs w:val="20"/>
                <w:color w:val="auto"/>
              </w:rPr>
            </w:pPr>
            <w:r>
              <w:rPr>
                <w:rFonts w:ascii="Arial" w:cs="Arial" w:eastAsia="Arial" w:hAnsi="Arial"/>
                <w:sz w:val="15"/>
                <w:szCs w:val="15"/>
                <w:color w:val="auto"/>
              </w:rPr>
              <w:t>266,498,398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234,994,551</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Japan</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323,872,022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234,888,653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211,417,475</w:t>
            </w:r>
          </w:p>
        </w:tc>
        <w:tc>
          <w:tcPr>
            <w:tcW w:w="0" w:type="dxa"/>
            <w:vAlign w:val="bottom"/>
          </w:tcPr>
          <w:p>
            <w:pPr>
              <w:spacing w:after="0"/>
              <w:rPr>
                <w:sz w:val="1"/>
                <w:szCs w:val="1"/>
                <w:color w:val="auto"/>
              </w:rPr>
            </w:pPr>
          </w:p>
        </w:tc>
      </w:tr>
      <w:tr>
        <w:trPr>
          <w:trHeight w:val="200"/>
        </w:trPr>
        <w:tc>
          <w:tcPr>
            <w:tcW w:w="5300" w:type="dxa"/>
            <w:vAlign w:val="bottom"/>
          </w:tcPr>
          <w:p>
            <w:pPr>
              <w:ind w:left="620"/>
              <w:spacing w:after="0"/>
              <w:rPr>
                <w:sz w:val="20"/>
                <w:szCs w:val="20"/>
                <w:color w:val="auto"/>
              </w:rPr>
            </w:pPr>
            <w:r>
              <w:rPr>
                <w:rFonts w:ascii="Arial" w:cs="Arial" w:eastAsia="Arial" w:hAnsi="Arial"/>
                <w:sz w:val="15"/>
                <w:szCs w:val="15"/>
                <w:color w:val="auto"/>
              </w:rPr>
              <w:t>Mexico</w:t>
            </w:r>
          </w:p>
        </w:tc>
        <w:tc>
          <w:tcPr>
            <w:tcW w:w="440" w:type="dxa"/>
            <w:vAlign w:val="bottom"/>
          </w:tcPr>
          <w:p>
            <w:pPr>
              <w:spacing w:after="0"/>
              <w:rPr>
                <w:sz w:val="17"/>
                <w:szCs w:val="17"/>
                <w:color w:val="auto"/>
              </w:rPr>
            </w:pPr>
          </w:p>
        </w:tc>
        <w:tc>
          <w:tcPr>
            <w:tcW w:w="1460" w:type="dxa"/>
            <w:vAlign w:val="bottom"/>
          </w:tcPr>
          <w:p>
            <w:pPr>
              <w:jc w:val="right"/>
              <w:ind w:right="45"/>
              <w:spacing w:after="0"/>
              <w:rPr>
                <w:sz w:val="20"/>
                <w:szCs w:val="20"/>
                <w:color w:val="auto"/>
              </w:rPr>
            </w:pPr>
            <w:r>
              <w:rPr>
                <w:rFonts w:ascii="Arial" w:cs="Arial" w:eastAsia="Arial" w:hAnsi="Arial"/>
                <w:sz w:val="15"/>
                <w:szCs w:val="15"/>
                <w:color w:val="auto"/>
              </w:rPr>
              <w:t>142,082,011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25"/>
              <w:spacing w:after="0"/>
              <w:rPr>
                <w:sz w:val="20"/>
                <w:szCs w:val="20"/>
                <w:color w:val="auto"/>
              </w:rPr>
            </w:pPr>
            <w:r>
              <w:rPr>
                <w:rFonts w:ascii="Arial" w:cs="Arial" w:eastAsia="Arial" w:hAnsi="Arial"/>
                <w:sz w:val="15"/>
                <w:szCs w:val="15"/>
                <w:color w:val="auto"/>
              </w:rPr>
              <w:t>121,553,711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111,761,245</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620"/>
              <w:spacing w:after="0"/>
              <w:rPr>
                <w:sz w:val="20"/>
                <w:szCs w:val="20"/>
                <w:color w:val="auto"/>
              </w:rPr>
            </w:pPr>
            <w:r>
              <w:rPr>
                <w:rFonts w:ascii="Arial" w:cs="Arial" w:eastAsia="Arial" w:hAnsi="Arial"/>
                <w:sz w:val="15"/>
                <w:szCs w:val="15"/>
                <w:color w:val="auto"/>
              </w:rPr>
              <w:t>Republic of Korea</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149,554,788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95,395,479</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67,219,836</w:t>
            </w:r>
          </w:p>
        </w:tc>
        <w:tc>
          <w:tcPr>
            <w:tcW w:w="0" w:type="dxa"/>
            <w:vAlign w:val="bottom"/>
          </w:tcPr>
          <w:p>
            <w:pPr>
              <w:spacing w:after="0"/>
              <w:rPr>
                <w:sz w:val="1"/>
                <w:szCs w:val="1"/>
                <w:color w:val="auto"/>
              </w:rPr>
            </w:pPr>
          </w:p>
        </w:tc>
      </w:tr>
      <w:tr>
        <w:trPr>
          <w:trHeight w:val="200"/>
        </w:trPr>
        <w:tc>
          <w:tcPr>
            <w:tcW w:w="5300" w:type="dxa"/>
            <w:vAlign w:val="bottom"/>
          </w:tcPr>
          <w:p>
            <w:pPr>
              <w:ind w:left="620"/>
              <w:spacing w:after="0"/>
              <w:rPr>
                <w:sz w:val="20"/>
                <w:szCs w:val="20"/>
                <w:color w:val="auto"/>
              </w:rPr>
            </w:pPr>
            <w:r>
              <w:rPr>
                <w:rFonts w:ascii="Arial" w:cs="Arial" w:eastAsia="Arial" w:hAnsi="Arial"/>
                <w:sz w:val="15"/>
                <w:szCs w:val="15"/>
                <w:color w:val="auto"/>
              </w:rPr>
              <w:t>Other Countries</w:t>
            </w:r>
          </w:p>
        </w:tc>
        <w:tc>
          <w:tcPr>
            <w:tcW w:w="440" w:type="dxa"/>
            <w:vAlign w:val="bottom"/>
          </w:tcPr>
          <w:p>
            <w:pPr>
              <w:spacing w:after="0"/>
              <w:rPr>
                <w:sz w:val="17"/>
                <w:szCs w:val="17"/>
                <w:color w:val="auto"/>
              </w:rPr>
            </w:pPr>
          </w:p>
        </w:tc>
        <w:tc>
          <w:tcPr>
            <w:tcW w:w="1460" w:type="dxa"/>
            <w:vAlign w:val="bottom"/>
          </w:tcPr>
          <w:p>
            <w:pPr>
              <w:jc w:val="right"/>
              <w:ind w:right="5"/>
              <w:spacing w:after="0"/>
              <w:rPr>
                <w:sz w:val="20"/>
                <w:szCs w:val="20"/>
                <w:color w:val="auto"/>
              </w:rPr>
            </w:pPr>
            <w:r>
              <w:rPr>
                <w:rFonts w:ascii="Arial" w:cs="Arial" w:eastAsia="Arial" w:hAnsi="Arial"/>
                <w:sz w:val="15"/>
                <w:szCs w:val="15"/>
                <w:color w:val="auto"/>
              </w:rPr>
              <w:t>656,457,524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576,874,606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529,104,581</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44,554,753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44,215,585</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33,981,895</w:t>
            </w:r>
          </w:p>
        </w:tc>
        <w:tc>
          <w:tcPr>
            <w:tcW w:w="0" w:type="dxa"/>
            <w:vAlign w:val="bottom"/>
          </w:tcPr>
          <w:p>
            <w:pPr>
              <w:spacing w:after="0"/>
              <w:rPr>
                <w:sz w:val="1"/>
                <w:szCs w:val="1"/>
                <w:color w:val="auto"/>
              </w:rPr>
            </w:pPr>
          </w:p>
        </w:tc>
      </w:tr>
      <w:tr>
        <w:trPr>
          <w:trHeight w:val="193"/>
        </w:trPr>
        <w:tc>
          <w:tcPr>
            <w:tcW w:w="5300" w:type="dxa"/>
            <w:vAlign w:val="bottom"/>
          </w:tcPr>
          <w:p>
            <w:pPr>
              <w:ind w:left="6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2,299,215,044</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1,918,958,043</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1,731,169,929</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00" w:type="dxa"/>
            <w:vAlign w:val="bottom"/>
            <w:shd w:val="clear" w:color="auto" w:fill="CCEEFF"/>
          </w:tcPr>
          <w:p>
            <w:pPr>
              <w:ind w:left="120"/>
              <w:spacing w:after="0" w:line="168" w:lineRule="exact"/>
              <w:rPr>
                <w:sz w:val="20"/>
                <w:szCs w:val="20"/>
                <w:color w:val="auto"/>
              </w:rPr>
            </w:pPr>
            <w:r>
              <w:rPr>
                <w:rFonts w:ascii="Arial" w:cs="Arial" w:eastAsia="Arial" w:hAnsi="Arial"/>
                <w:sz w:val="15"/>
                <w:szCs w:val="15"/>
                <w:color w:val="auto"/>
              </w:rPr>
              <w:t>Income (Loss) from Operations:</w:t>
            </w: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300" w:type="dxa"/>
            <w:vAlign w:val="bottom"/>
          </w:tcPr>
          <w:p>
            <w:pPr>
              <w:ind w:left="320"/>
              <w:spacing w:after="0"/>
              <w:rPr>
                <w:sz w:val="20"/>
                <w:szCs w:val="20"/>
                <w:color w:val="auto"/>
              </w:rPr>
            </w:pPr>
            <w:r>
              <w:rPr>
                <w:rFonts w:ascii="Arial" w:cs="Arial" w:eastAsia="Arial" w:hAnsi="Arial"/>
                <w:sz w:val="15"/>
                <w:szCs w:val="15"/>
                <w:color w:val="auto"/>
              </w:rPr>
              <w:t>Automotive Products</w:t>
            </w: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45"/>
              <w:spacing w:after="0"/>
              <w:rPr>
                <w:sz w:val="20"/>
                <w:szCs w:val="20"/>
                <w:color w:val="auto"/>
              </w:rPr>
            </w:pPr>
            <w:r>
              <w:rPr>
                <w:rFonts w:ascii="Arial" w:cs="Arial" w:eastAsia="Arial" w:hAnsi="Arial"/>
                <w:sz w:val="15"/>
                <w:szCs w:val="15"/>
                <w:color w:val="auto"/>
              </w:rPr>
              <w:t>495,650,700</w:t>
            </w:r>
          </w:p>
        </w:tc>
        <w:tc>
          <w:tcPr>
            <w:tcW w:w="100" w:type="dxa"/>
            <w:vAlign w:val="bottom"/>
          </w:tcPr>
          <w:p>
            <w:pPr>
              <w:spacing w:after="0"/>
              <w:rPr>
                <w:sz w:val="17"/>
                <w:szCs w:val="17"/>
                <w:color w:val="auto"/>
              </w:rPr>
            </w:pPr>
          </w:p>
        </w:tc>
        <w:tc>
          <w:tcPr>
            <w:tcW w:w="46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25"/>
              <w:spacing w:after="0"/>
              <w:rPr>
                <w:sz w:val="20"/>
                <w:szCs w:val="20"/>
                <w:color w:val="auto"/>
              </w:rPr>
            </w:pPr>
            <w:r>
              <w:rPr>
                <w:rFonts w:ascii="Arial" w:cs="Arial" w:eastAsia="Arial" w:hAnsi="Arial"/>
                <w:sz w:val="15"/>
                <w:szCs w:val="15"/>
                <w:color w:val="auto"/>
              </w:rPr>
              <w:t>372,490,748</w:t>
            </w:r>
          </w:p>
        </w:tc>
        <w:tc>
          <w:tcPr>
            <w:tcW w:w="120" w:type="dxa"/>
            <w:vAlign w:val="bottom"/>
          </w:tcPr>
          <w:p>
            <w:pPr>
              <w:spacing w:after="0"/>
              <w:rPr>
                <w:sz w:val="17"/>
                <w:szCs w:val="17"/>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414,185,075</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80,353</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(2,484,622)</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(4,403,097)</w:t>
            </w:r>
          </w:p>
        </w:tc>
        <w:tc>
          <w:tcPr>
            <w:tcW w:w="0" w:type="dxa"/>
            <w:vAlign w:val="bottom"/>
          </w:tcPr>
          <w:p>
            <w:pPr>
              <w:spacing w:after="0"/>
              <w:rPr>
                <w:sz w:val="1"/>
                <w:szCs w:val="1"/>
                <w:color w:val="auto"/>
              </w:rPr>
            </w:pPr>
          </w:p>
        </w:tc>
      </w:tr>
      <w:tr>
        <w:trPr>
          <w:trHeight w:val="193"/>
        </w:trPr>
        <w:tc>
          <w:tcPr>
            <w:tcW w:w="5300" w:type="dxa"/>
            <w:vAlign w:val="bottom"/>
          </w:tcPr>
          <w:p>
            <w:pPr>
              <w:ind w:left="3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495,731,053</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370,006,126</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409,781,978</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00" w:type="dxa"/>
            <w:vAlign w:val="bottom"/>
            <w:shd w:val="clear" w:color="auto" w:fill="CCEEFF"/>
          </w:tcPr>
          <w:p>
            <w:pPr>
              <w:ind w:left="120"/>
              <w:spacing w:after="0" w:line="168" w:lineRule="exact"/>
              <w:rPr>
                <w:sz w:val="20"/>
                <w:szCs w:val="20"/>
                <w:color w:val="auto"/>
              </w:rPr>
            </w:pPr>
            <w:r>
              <w:rPr>
                <w:rFonts w:ascii="Arial" w:cs="Arial" w:eastAsia="Arial" w:hAnsi="Arial"/>
                <w:sz w:val="15"/>
                <w:szCs w:val="15"/>
                <w:color w:val="auto"/>
              </w:rPr>
              <w:t>Assets:</w:t>
            </w: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300" w:type="dxa"/>
            <w:vAlign w:val="bottom"/>
          </w:tcPr>
          <w:p>
            <w:pPr>
              <w:ind w:left="320"/>
              <w:spacing w:after="0"/>
              <w:rPr>
                <w:sz w:val="20"/>
                <w:szCs w:val="20"/>
                <w:color w:val="auto"/>
              </w:rPr>
            </w:pPr>
            <w:r>
              <w:rPr>
                <w:rFonts w:ascii="Arial" w:cs="Arial" w:eastAsia="Arial" w:hAnsi="Arial"/>
                <w:sz w:val="15"/>
                <w:szCs w:val="15"/>
                <w:color w:val="auto"/>
              </w:rPr>
              <w:t>Automotive Products</w:t>
            </w: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45"/>
              <w:spacing w:after="0"/>
              <w:rPr>
                <w:sz w:val="20"/>
                <w:szCs w:val="20"/>
                <w:color w:val="auto"/>
              </w:rPr>
            </w:pPr>
            <w:r>
              <w:rPr>
                <w:rFonts w:ascii="Arial" w:cs="Arial" w:eastAsia="Arial" w:hAnsi="Arial"/>
                <w:sz w:val="15"/>
                <w:szCs w:val="15"/>
                <w:color w:val="auto"/>
              </w:rPr>
              <w:t>1,782,342,705</w:t>
            </w:r>
          </w:p>
        </w:tc>
        <w:tc>
          <w:tcPr>
            <w:tcW w:w="100" w:type="dxa"/>
            <w:vAlign w:val="bottom"/>
          </w:tcPr>
          <w:p>
            <w:pPr>
              <w:spacing w:after="0"/>
              <w:rPr>
                <w:sz w:val="17"/>
                <w:szCs w:val="17"/>
                <w:color w:val="auto"/>
              </w:rPr>
            </w:pPr>
          </w:p>
        </w:tc>
        <w:tc>
          <w:tcPr>
            <w:tcW w:w="46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25"/>
              <w:spacing w:after="0"/>
              <w:rPr>
                <w:sz w:val="20"/>
                <w:szCs w:val="20"/>
                <w:color w:val="auto"/>
              </w:rPr>
            </w:pPr>
            <w:r>
              <w:rPr>
                <w:rFonts w:ascii="Arial" w:cs="Arial" w:eastAsia="Arial" w:hAnsi="Arial"/>
                <w:sz w:val="15"/>
                <w:szCs w:val="15"/>
                <w:color w:val="auto"/>
              </w:rPr>
              <w:t>1,670,634,277</w:t>
            </w:r>
          </w:p>
        </w:tc>
        <w:tc>
          <w:tcPr>
            <w:tcW w:w="120" w:type="dxa"/>
            <w:vAlign w:val="bottom"/>
          </w:tcPr>
          <w:p>
            <w:pPr>
              <w:spacing w:after="0"/>
              <w:rPr>
                <w:sz w:val="17"/>
                <w:szCs w:val="17"/>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1,495,298,453</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85,610,250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43,025,905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34,760,744</w:t>
            </w:r>
          </w:p>
        </w:tc>
        <w:tc>
          <w:tcPr>
            <w:tcW w:w="0" w:type="dxa"/>
            <w:vAlign w:val="bottom"/>
          </w:tcPr>
          <w:p>
            <w:pPr>
              <w:spacing w:after="0"/>
              <w:rPr>
                <w:sz w:val="1"/>
                <w:szCs w:val="1"/>
                <w:color w:val="auto"/>
              </w:rPr>
            </w:pPr>
          </w:p>
        </w:tc>
      </w:tr>
      <w:tr>
        <w:trPr>
          <w:trHeight w:val="200"/>
        </w:trPr>
        <w:tc>
          <w:tcPr>
            <w:tcW w:w="53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Corporate</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743,484,597</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613,569,742</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601,331,969</w:t>
            </w:r>
          </w:p>
        </w:tc>
        <w:tc>
          <w:tcPr>
            <w:tcW w:w="0" w:type="dxa"/>
            <w:vAlign w:val="bottom"/>
          </w:tcPr>
          <w:p>
            <w:pPr>
              <w:spacing w:after="0"/>
              <w:rPr>
                <w:sz w:val="1"/>
                <w:szCs w:val="1"/>
                <w:color w:val="auto"/>
              </w:rPr>
            </w:pPr>
          </w:p>
        </w:tc>
      </w:tr>
      <w:tr>
        <w:trPr>
          <w:trHeight w:val="219"/>
        </w:trPr>
        <w:tc>
          <w:tcPr>
            <w:tcW w:w="5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2,611,437,552</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2,327,229,924</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2,131,391,166</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5"/>
                <w:szCs w:val="15"/>
                <w:color w:val="auto"/>
              </w:rPr>
              <w:t>Depreciation &amp; Amortization: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3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Automotive Products</w:t>
            </w:r>
          </w:p>
        </w:tc>
        <w:tc>
          <w:tcPr>
            <w:tcW w:w="44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87,123,055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90,030,087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92,516,347</w:t>
            </w:r>
          </w:p>
        </w:tc>
        <w:tc>
          <w:tcPr>
            <w:tcW w:w="0" w:type="dxa"/>
            <w:vAlign w:val="bottom"/>
          </w:tcPr>
          <w:p>
            <w:pPr>
              <w:spacing w:after="0"/>
              <w:rPr>
                <w:sz w:val="1"/>
                <w:szCs w:val="1"/>
                <w:color w:val="auto"/>
              </w:rPr>
            </w:pPr>
          </w:p>
        </w:tc>
      </w:tr>
      <w:tr>
        <w:trPr>
          <w:trHeight w:val="200"/>
        </w:trPr>
        <w:tc>
          <w:tcPr>
            <w:tcW w:w="5300" w:type="dxa"/>
            <w:vAlign w:val="bottom"/>
          </w:tcPr>
          <w:p>
            <w:pPr>
              <w:ind w:left="320"/>
              <w:spacing w:after="0"/>
              <w:rPr>
                <w:sz w:val="20"/>
                <w:szCs w:val="20"/>
                <w:color w:val="auto"/>
              </w:rPr>
            </w:pPr>
            <w:r>
              <w:rPr>
                <w:rFonts w:ascii="Arial" w:cs="Arial" w:eastAsia="Arial" w:hAnsi="Arial"/>
                <w:sz w:val="15"/>
                <w:szCs w:val="15"/>
                <w:color w:val="auto"/>
              </w:rPr>
              <w:t>Other</w:t>
            </w:r>
          </w:p>
        </w:tc>
        <w:tc>
          <w:tcPr>
            <w:tcW w:w="440" w:type="dxa"/>
            <w:vAlign w:val="bottom"/>
          </w:tcPr>
          <w:p>
            <w:pPr>
              <w:spacing w:after="0"/>
              <w:rPr>
                <w:sz w:val="17"/>
                <w:szCs w:val="17"/>
                <w:color w:val="auto"/>
              </w:rPr>
            </w:pPr>
          </w:p>
        </w:tc>
        <w:tc>
          <w:tcPr>
            <w:tcW w:w="1460" w:type="dxa"/>
            <w:vAlign w:val="bottom"/>
          </w:tcPr>
          <w:p>
            <w:pPr>
              <w:jc w:val="right"/>
              <w:ind w:right="45"/>
              <w:spacing w:after="0"/>
              <w:rPr>
                <w:sz w:val="20"/>
                <w:szCs w:val="20"/>
                <w:color w:val="auto"/>
              </w:rPr>
            </w:pPr>
            <w:r>
              <w:rPr>
                <w:rFonts w:ascii="Arial" w:cs="Arial" w:eastAsia="Arial" w:hAnsi="Arial"/>
                <w:sz w:val="15"/>
                <w:szCs w:val="15"/>
                <w:color w:val="auto"/>
              </w:rPr>
              <w:t>1,231,061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25"/>
              <w:spacing w:after="0"/>
              <w:rPr>
                <w:sz w:val="20"/>
                <w:szCs w:val="20"/>
                <w:color w:val="auto"/>
              </w:rPr>
            </w:pPr>
            <w:r>
              <w:rPr>
                <w:rFonts w:ascii="Arial" w:cs="Arial" w:eastAsia="Arial" w:hAnsi="Arial"/>
                <w:sz w:val="15"/>
                <w:szCs w:val="15"/>
                <w:color w:val="auto"/>
              </w:rPr>
              <w:t>1,056,510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913,451</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Corporate</w:t>
            </w: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4,967,076</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5,481,846</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5,682,221</w:t>
            </w:r>
          </w:p>
        </w:tc>
        <w:tc>
          <w:tcPr>
            <w:tcW w:w="0" w:type="dxa"/>
            <w:vAlign w:val="bottom"/>
          </w:tcPr>
          <w:p>
            <w:pPr>
              <w:spacing w:after="0"/>
              <w:rPr>
                <w:sz w:val="1"/>
                <w:szCs w:val="1"/>
                <w:color w:val="auto"/>
              </w:rPr>
            </w:pPr>
          </w:p>
        </w:tc>
      </w:tr>
      <w:tr>
        <w:trPr>
          <w:trHeight w:val="193"/>
        </w:trPr>
        <w:tc>
          <w:tcPr>
            <w:tcW w:w="5300" w:type="dxa"/>
            <w:vAlign w:val="bottom"/>
          </w:tcPr>
          <w:p>
            <w:pPr>
              <w:ind w:left="3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93,321,192</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96,568,443</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99,112,019</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00" w:type="dxa"/>
            <w:vAlign w:val="bottom"/>
            <w:shd w:val="clear" w:color="auto" w:fill="CCEEFF"/>
          </w:tcPr>
          <w:p>
            <w:pPr>
              <w:ind w:left="120"/>
              <w:spacing w:after="0" w:line="168" w:lineRule="exact"/>
              <w:rPr>
                <w:sz w:val="20"/>
                <w:szCs w:val="20"/>
                <w:color w:val="auto"/>
              </w:rPr>
            </w:pPr>
            <w:r>
              <w:rPr>
                <w:rFonts w:ascii="Arial" w:cs="Arial" w:eastAsia="Arial" w:hAnsi="Arial"/>
                <w:sz w:val="15"/>
                <w:szCs w:val="15"/>
                <w:color w:val="auto"/>
              </w:rPr>
              <w:t>Capital Expenditures:</w:t>
            </w: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300" w:type="dxa"/>
            <w:vAlign w:val="bottom"/>
          </w:tcPr>
          <w:p>
            <w:pPr>
              <w:ind w:left="320"/>
              <w:spacing w:after="0"/>
              <w:rPr>
                <w:sz w:val="20"/>
                <w:szCs w:val="20"/>
                <w:color w:val="auto"/>
              </w:rPr>
            </w:pPr>
            <w:r>
              <w:rPr>
                <w:rFonts w:ascii="Arial" w:cs="Arial" w:eastAsia="Arial" w:hAnsi="Arial"/>
                <w:sz w:val="15"/>
                <w:szCs w:val="15"/>
                <w:color w:val="auto"/>
              </w:rPr>
              <w:t>Automotive Products</w:t>
            </w: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45"/>
              <w:spacing w:after="0"/>
              <w:rPr>
                <w:sz w:val="20"/>
                <w:szCs w:val="20"/>
                <w:color w:val="auto"/>
              </w:rPr>
            </w:pPr>
            <w:r>
              <w:rPr>
                <w:rFonts w:ascii="Arial" w:cs="Arial" w:eastAsia="Arial" w:hAnsi="Arial"/>
                <w:sz w:val="15"/>
                <w:szCs w:val="15"/>
                <w:color w:val="auto"/>
              </w:rPr>
              <w:t>163,070,404</w:t>
            </w:r>
          </w:p>
        </w:tc>
        <w:tc>
          <w:tcPr>
            <w:tcW w:w="100" w:type="dxa"/>
            <w:vAlign w:val="bottom"/>
          </w:tcPr>
          <w:p>
            <w:pPr>
              <w:spacing w:after="0"/>
              <w:rPr>
                <w:sz w:val="17"/>
                <w:szCs w:val="17"/>
                <w:color w:val="auto"/>
              </w:rPr>
            </w:pPr>
          </w:p>
        </w:tc>
        <w:tc>
          <w:tcPr>
            <w:tcW w:w="460" w:type="dxa"/>
            <w:vAlign w:val="bottom"/>
          </w:tcPr>
          <w:p>
            <w:pPr>
              <w:jc w:val="right"/>
              <w:ind w:right="265"/>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25"/>
              <w:spacing w:after="0"/>
              <w:rPr>
                <w:sz w:val="20"/>
                <w:szCs w:val="20"/>
                <w:color w:val="auto"/>
              </w:rPr>
            </w:pPr>
            <w:r>
              <w:rPr>
                <w:rFonts w:ascii="Arial" w:cs="Arial" w:eastAsia="Arial" w:hAnsi="Arial"/>
                <w:sz w:val="15"/>
                <w:szCs w:val="15"/>
                <w:color w:val="auto"/>
              </w:rPr>
              <w:t>141,166,506</w:t>
            </w:r>
          </w:p>
        </w:tc>
        <w:tc>
          <w:tcPr>
            <w:tcW w:w="120" w:type="dxa"/>
            <w:vAlign w:val="bottom"/>
          </w:tcPr>
          <w:p>
            <w:pPr>
              <w:spacing w:after="0"/>
              <w:rPr>
                <w:sz w:val="17"/>
                <w:szCs w:val="17"/>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45"/>
              <w:spacing w:after="0"/>
              <w:rPr>
                <w:sz w:val="20"/>
                <w:szCs w:val="20"/>
                <w:color w:val="auto"/>
              </w:rPr>
            </w:pPr>
            <w:r>
              <w:rPr>
                <w:rFonts w:ascii="Arial" w:cs="Arial" w:eastAsia="Arial" w:hAnsi="Arial"/>
                <w:sz w:val="15"/>
                <w:szCs w:val="15"/>
                <w:color w:val="auto"/>
              </w:rPr>
              <w:t>58,415,887</w:t>
            </w: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3,827,880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2,356,910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1,467,962</w:t>
            </w:r>
          </w:p>
        </w:tc>
        <w:tc>
          <w:tcPr>
            <w:tcW w:w="0" w:type="dxa"/>
            <w:vAlign w:val="bottom"/>
          </w:tcPr>
          <w:p>
            <w:pPr>
              <w:spacing w:after="0"/>
              <w:rPr>
                <w:sz w:val="1"/>
                <w:szCs w:val="1"/>
                <w:color w:val="auto"/>
              </w:rPr>
            </w:pPr>
          </w:p>
        </w:tc>
      </w:tr>
      <w:tr>
        <w:trPr>
          <w:trHeight w:val="200"/>
        </w:trPr>
        <w:tc>
          <w:tcPr>
            <w:tcW w:w="53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Corporate</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16,780,176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2,909,707</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8,951,198</w:t>
            </w:r>
          </w:p>
        </w:tc>
        <w:tc>
          <w:tcPr>
            <w:tcW w:w="0" w:type="dxa"/>
            <w:vAlign w:val="bottom"/>
          </w:tcPr>
          <w:p>
            <w:pPr>
              <w:spacing w:after="0"/>
              <w:rPr>
                <w:sz w:val="1"/>
                <w:szCs w:val="1"/>
                <w:color w:val="auto"/>
              </w:rPr>
            </w:pPr>
          </w:p>
        </w:tc>
      </w:tr>
      <w:tr>
        <w:trPr>
          <w:trHeight w:val="219"/>
        </w:trPr>
        <w:tc>
          <w:tcPr>
            <w:tcW w:w="5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183,678,460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rPr>
              <w:t>$</w:t>
            </w:r>
          </w:p>
        </w:tc>
        <w:tc>
          <w:tcPr>
            <w:tcW w:w="14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146,433,123</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68,835,047</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Other includes Dimmable Aircraft Windows, Fire Protection Products, Nanofiber, and Medical. Major product line revenues included within the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Automotive Products segment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6"/>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6"/>
              <w:spacing w:after="0"/>
              <w:rPr>
                <w:sz w:val="20"/>
                <w:szCs w:val="20"/>
                <w:color w:val="auto"/>
              </w:rPr>
            </w:pPr>
            <w:r>
              <w:rPr>
                <w:rFonts w:ascii="Arial" w:cs="Arial" w:eastAsia="Arial" w:hAnsi="Arial"/>
                <w:sz w:val="13"/>
                <w:szCs w:val="13"/>
                <w:b w:val="1"/>
                <w:bCs w:val="1"/>
                <w:color w:val="auto"/>
              </w:rPr>
              <w:t>2021</w:t>
            </w:r>
          </w:p>
        </w:tc>
      </w:tr>
      <w:tr>
        <w:trPr>
          <w:trHeight w:val="181"/>
        </w:trPr>
        <w:tc>
          <w:tcPr>
            <w:tcW w:w="5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Automotive Products</w:t>
            </w: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00"/>
        </w:trPr>
        <w:tc>
          <w:tcPr>
            <w:tcW w:w="5320" w:type="dxa"/>
            <w:vAlign w:val="bottom"/>
          </w:tcPr>
          <w:p>
            <w:pPr>
              <w:ind w:left="320"/>
              <w:spacing w:after="0"/>
              <w:rPr>
                <w:sz w:val="20"/>
                <w:szCs w:val="20"/>
                <w:color w:val="auto"/>
              </w:rPr>
            </w:pPr>
            <w:r>
              <w:rPr>
                <w:rFonts w:ascii="Arial" w:cs="Arial" w:eastAsia="Arial" w:hAnsi="Arial"/>
                <w:sz w:val="15"/>
                <w:szCs w:val="15"/>
                <w:color w:val="auto"/>
              </w:rPr>
              <w:t>Automotive Mirrors</w:t>
            </w: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2,128,473,563</w:t>
            </w:r>
          </w:p>
        </w:tc>
        <w:tc>
          <w:tcPr>
            <w:tcW w:w="12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6"/>
              <w:spacing w:after="0"/>
              <w:rPr>
                <w:sz w:val="20"/>
                <w:szCs w:val="20"/>
                <w:color w:val="auto"/>
              </w:rPr>
            </w:pPr>
            <w:r>
              <w:rPr>
                <w:rFonts w:ascii="Arial" w:cs="Arial" w:eastAsia="Arial" w:hAnsi="Arial"/>
                <w:sz w:val="15"/>
                <w:szCs w:val="15"/>
                <w:color w:val="auto"/>
              </w:rPr>
              <w:t>1,742,196,401</w:t>
            </w:r>
          </w:p>
        </w:tc>
        <w:tc>
          <w:tcPr>
            <w:tcW w:w="100" w:type="dxa"/>
            <w:vAlign w:val="bottom"/>
          </w:tcPr>
          <w:p>
            <w:pPr>
              <w:spacing w:after="0"/>
              <w:rPr>
                <w:sz w:val="17"/>
                <w:szCs w:val="17"/>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1,563,424,443</w:t>
            </w:r>
          </w:p>
        </w:tc>
      </w:tr>
      <w:tr>
        <w:trPr>
          <w:trHeight w:val="202"/>
        </w:trPr>
        <w:tc>
          <w:tcPr>
            <w:tcW w:w="5320" w:type="dxa"/>
            <w:vAlign w:val="bottom"/>
            <w:shd w:val="clear" w:color="auto" w:fill="CCEEFF"/>
          </w:tcPr>
          <w:p>
            <w:pPr>
              <w:ind w:left="320"/>
              <w:spacing w:after="0" w:line="203" w:lineRule="exact"/>
              <w:rPr>
                <w:sz w:val="20"/>
                <w:szCs w:val="20"/>
                <w:color w:val="auto"/>
              </w:rPr>
            </w:pPr>
            <w:r>
              <w:rPr>
                <w:rFonts w:ascii="Arial" w:cs="Arial" w:eastAsia="Arial" w:hAnsi="Arial"/>
                <w:sz w:val="15"/>
                <w:szCs w:val="15"/>
                <w:color w:val="auto"/>
              </w:rPr>
              <w:t>HomeLink</w:t>
            </w:r>
            <w:r>
              <w:rPr>
                <w:rFonts w:ascii="Arial" w:cs="Arial" w:eastAsia="Arial" w:hAnsi="Arial"/>
                <w:sz w:val="19"/>
                <w:szCs w:val="19"/>
                <w:color w:val="auto"/>
                <w:vertAlign w:val="superscript"/>
              </w:rPr>
              <w:t>®</w:t>
            </w:r>
            <w:r>
              <w:rPr>
                <w:rFonts w:ascii="Arial" w:cs="Arial" w:eastAsia="Arial" w:hAnsi="Arial"/>
                <w:sz w:val="15"/>
                <w:szCs w:val="15"/>
                <w:color w:val="auto"/>
              </w:rPr>
              <w:t xml:space="preserve"> Modules*</w:t>
            </w: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126,186,728</w:t>
            </w:r>
          </w:p>
        </w:tc>
        <w:tc>
          <w:tcPr>
            <w:tcW w:w="1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132,546,057</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133,763,591</w:t>
            </w:r>
          </w:p>
        </w:tc>
      </w:tr>
      <w:tr>
        <w:trPr>
          <w:trHeight w:val="193"/>
        </w:trPr>
        <w:tc>
          <w:tcPr>
            <w:tcW w:w="5320" w:type="dxa"/>
            <w:vAlign w:val="bottom"/>
          </w:tcPr>
          <w:p>
            <w:pPr>
              <w:ind w:left="140"/>
              <w:spacing w:after="0"/>
              <w:rPr>
                <w:sz w:val="20"/>
                <w:szCs w:val="20"/>
                <w:color w:val="auto"/>
              </w:rPr>
            </w:pPr>
            <w:r>
              <w:rPr>
                <w:rFonts w:ascii="Arial" w:cs="Arial" w:eastAsia="Arial" w:hAnsi="Arial"/>
                <w:sz w:val="15"/>
                <w:szCs w:val="15"/>
                <w:color w:val="auto"/>
              </w:rPr>
              <w:t>Total Automotive Products</w:t>
            </w: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2,254,660,291</w:t>
            </w:r>
          </w:p>
        </w:tc>
        <w:tc>
          <w:tcPr>
            <w:tcW w:w="120" w:type="dxa"/>
            <w:vAlign w:val="bottom"/>
          </w:tcPr>
          <w:p>
            <w:pPr>
              <w:spacing w:after="0"/>
              <w:rPr>
                <w:sz w:val="16"/>
                <w:szCs w:val="16"/>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6"/>
              <w:spacing w:after="0"/>
              <w:rPr>
                <w:sz w:val="20"/>
                <w:szCs w:val="20"/>
                <w:color w:val="auto"/>
              </w:rPr>
            </w:pPr>
            <w:r>
              <w:rPr>
                <w:rFonts w:ascii="Arial" w:cs="Arial" w:eastAsia="Arial" w:hAnsi="Arial"/>
                <w:sz w:val="15"/>
                <w:szCs w:val="15"/>
                <w:color w:val="auto"/>
              </w:rPr>
              <w:t>1,874,742,458</w:t>
            </w:r>
          </w:p>
        </w:tc>
        <w:tc>
          <w:tcPr>
            <w:tcW w:w="100" w:type="dxa"/>
            <w:vAlign w:val="bottom"/>
          </w:tcPr>
          <w:p>
            <w:pPr>
              <w:spacing w:after="0"/>
              <w:rPr>
                <w:sz w:val="16"/>
                <w:szCs w:val="16"/>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1,697,188,034</w:t>
            </w:r>
          </w:p>
        </w:tc>
      </w:tr>
      <w:tr>
        <w:trPr>
          <w:trHeight w:val="240"/>
        </w:trPr>
        <w:tc>
          <w:tcPr>
            <w:tcW w:w="5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00"/>
        </w:trPr>
        <w:tc>
          <w:tcPr>
            <w:tcW w:w="5320" w:type="dxa"/>
            <w:vAlign w:val="bottom"/>
          </w:tcPr>
          <w:p>
            <w:pPr>
              <w:ind w:left="140"/>
              <w:spacing w:after="0"/>
              <w:rPr>
                <w:sz w:val="20"/>
                <w:szCs w:val="20"/>
                <w:color w:val="auto"/>
              </w:rPr>
            </w:pPr>
            <w:r>
              <w:rPr>
                <w:rFonts w:ascii="Arial" w:cs="Arial" w:eastAsia="Arial" w:hAnsi="Arial"/>
                <w:sz w:val="15"/>
                <w:szCs w:val="15"/>
                <w:color w:val="auto"/>
              </w:rPr>
              <w:t>Other Products Revenue</w:t>
            </w: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44,554,753</w:t>
            </w:r>
          </w:p>
        </w:tc>
        <w:tc>
          <w:tcPr>
            <w:tcW w:w="120" w:type="dxa"/>
            <w:vAlign w:val="bottom"/>
          </w:tcPr>
          <w:p>
            <w:pPr>
              <w:spacing w:after="0"/>
              <w:rPr>
                <w:sz w:val="17"/>
                <w:szCs w:val="17"/>
                <w:color w:val="auto"/>
              </w:rPr>
            </w:pPr>
          </w:p>
        </w:tc>
        <w:tc>
          <w:tcPr>
            <w:tcW w:w="440" w:type="dxa"/>
            <w:vAlign w:val="bottom"/>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6"/>
              <w:spacing w:after="0"/>
              <w:rPr>
                <w:sz w:val="20"/>
                <w:szCs w:val="20"/>
                <w:color w:val="auto"/>
              </w:rPr>
            </w:pPr>
            <w:r>
              <w:rPr>
                <w:rFonts w:ascii="Arial" w:cs="Arial" w:eastAsia="Arial" w:hAnsi="Arial"/>
                <w:sz w:val="15"/>
                <w:szCs w:val="15"/>
                <w:color w:val="auto"/>
              </w:rPr>
              <w:t>44,215,585</w:t>
            </w:r>
          </w:p>
        </w:tc>
        <w:tc>
          <w:tcPr>
            <w:tcW w:w="100" w:type="dxa"/>
            <w:vAlign w:val="bottom"/>
          </w:tcPr>
          <w:p>
            <w:pPr>
              <w:spacing w:after="0"/>
              <w:rPr>
                <w:sz w:val="17"/>
                <w:szCs w:val="17"/>
                <w:color w:val="auto"/>
              </w:rPr>
            </w:pPr>
          </w:p>
        </w:tc>
        <w:tc>
          <w:tcPr>
            <w:tcW w:w="460" w:type="dxa"/>
            <w:vAlign w:val="bottom"/>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33,981,895</w:t>
            </w:r>
          </w:p>
        </w:tc>
      </w:tr>
      <w:tr>
        <w:trPr>
          <w:trHeight w:val="240"/>
        </w:trPr>
        <w:tc>
          <w:tcPr>
            <w:tcW w:w="53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r>
      <w:tr>
        <w:trPr>
          <w:trHeight w:val="193"/>
        </w:trPr>
        <w:tc>
          <w:tcPr>
            <w:tcW w:w="5320" w:type="dxa"/>
            <w:vAlign w:val="bottom"/>
          </w:tcPr>
          <w:p>
            <w:pPr>
              <w:ind w:left="20"/>
              <w:spacing w:after="0"/>
              <w:rPr>
                <w:sz w:val="20"/>
                <w:szCs w:val="20"/>
                <w:color w:val="auto"/>
              </w:rPr>
            </w:pPr>
            <w:r>
              <w:rPr>
                <w:rFonts w:ascii="Arial" w:cs="Arial" w:eastAsia="Arial" w:hAnsi="Arial"/>
                <w:sz w:val="15"/>
                <w:szCs w:val="15"/>
                <w:color w:val="auto"/>
              </w:rPr>
              <w:t>Total Revenue</w:t>
            </w:r>
          </w:p>
        </w:tc>
        <w:tc>
          <w:tcPr>
            <w:tcW w:w="4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2,299,215,044</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1,918,958,043</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1,731,169,929</w:t>
            </w:r>
          </w:p>
        </w:tc>
      </w:tr>
      <w:tr>
        <w:trPr>
          <w:trHeight w:val="20"/>
        </w:trPr>
        <w:tc>
          <w:tcPr>
            <w:tcW w:w="5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600"/>
        <w:spacing w:after="0"/>
        <w:rPr>
          <w:sz w:val="20"/>
          <w:szCs w:val="20"/>
          <w:color w:val="auto"/>
        </w:rPr>
      </w:pPr>
      <w:r>
        <w:rPr>
          <w:rFonts w:ascii="Arial" w:cs="Arial" w:eastAsia="Arial" w:hAnsi="Arial"/>
          <w:sz w:val="13"/>
          <w:szCs w:val="13"/>
          <w:color w:val="auto"/>
        </w:rPr>
        <w:t>*Excludes HomeLink</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revenue integrated into automotive mirrors.</w:t>
      </w:r>
    </w:p>
    <w:p>
      <w:pPr>
        <w:spacing w:after="0" w:line="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Corporate assets are principally cash and cash equivalents, investments, deferred income taxes and corporate fixed assets. Depreciation &amp; Amortization on corporate fixed assets are allocated as appropriate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(Continued)</w:t>
      </w:r>
    </w:p>
    <w:p>
      <w:pPr>
        <w:spacing w:after="0" w:line="6" w:lineRule="exact"/>
        <w:rPr>
          <w:sz w:val="20"/>
          <w:szCs w:val="20"/>
          <w:color w:val="auto"/>
        </w:rPr>
      </w:pPr>
    </w:p>
    <w:p>
      <w:pPr>
        <w:ind w:left="400" w:hanging="399"/>
        <w:spacing w:after="0"/>
        <w:tabs>
          <w:tab w:leader="none" w:pos="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to the Automotive and Other segments when reviewing operating results. Substantially all long-lived assets are located in the U.S.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Automotive Products revenues in the “Other countries” category are sales to customer automotive manufacturing plants in Korea, Canada, Hungary, China, and the United Kingdom, as well as other foreign automotive customers. Most of the Company’s non-U.S. sales are invoiced and paid in U.S. dollars. During the years ended December 31, 2023, 2022 and 2021, approximately 8%, 7% and 8% of the Company’s net sales were invoiced and paid in foreign currencies, respectively.</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2023, the Company had three automotive customers (including direct sales to original equipment manufacturer ("OEM") customers and sales through their Tier 1 suppliers), which individually accounted for 10% or more of net sales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34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9"/>
              </w:rPr>
              <w:t>Toyota Motor Company</w:t>
            </w:r>
          </w:p>
        </w:tc>
        <w:tc>
          <w:tcPr>
            <w:tcW w:w="10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rPr>
              <w:t>Volkswagen Group</w:t>
            </w:r>
          </w:p>
        </w:tc>
        <w:tc>
          <w:tcPr>
            <w:tcW w:w="10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9"/>
              </w:rPr>
              <w:t>General Motors</w:t>
            </w:r>
          </w:p>
        </w:tc>
      </w:tr>
      <w:tr>
        <w:trPr>
          <w:trHeight w:val="206"/>
        </w:trPr>
        <w:tc>
          <w:tcPr>
            <w:tcW w:w="3340" w:type="dxa"/>
            <w:vAlign w:val="bottom"/>
          </w:tcPr>
          <w:p>
            <w:pPr>
              <w:jc w:val="right"/>
              <w:ind w:right="2856"/>
              <w:spacing w:after="0"/>
              <w:rPr>
                <w:sz w:val="20"/>
                <w:szCs w:val="20"/>
                <w:color w:val="auto"/>
              </w:rPr>
            </w:pPr>
            <w:r>
              <w:rPr>
                <w:rFonts w:ascii="Arial" w:cs="Arial" w:eastAsia="Arial" w:hAnsi="Arial"/>
                <w:sz w:val="17"/>
                <w:szCs w:val="17"/>
                <w:color w:val="auto"/>
              </w:rPr>
              <w:t>2023</w:t>
            </w:r>
          </w:p>
        </w:tc>
        <w:tc>
          <w:tcPr>
            <w:tcW w:w="2540" w:type="dxa"/>
            <w:vAlign w:val="bottom"/>
          </w:tcPr>
          <w:p>
            <w:pPr>
              <w:jc w:val="center"/>
              <w:spacing w:after="0"/>
              <w:rPr>
                <w:sz w:val="20"/>
                <w:szCs w:val="20"/>
                <w:color w:val="auto"/>
              </w:rPr>
            </w:pPr>
            <w:r>
              <w:rPr>
                <w:rFonts w:ascii="Arial" w:cs="Arial" w:eastAsia="Arial" w:hAnsi="Arial"/>
                <w:sz w:val="17"/>
                <w:szCs w:val="17"/>
                <w:color w:val="auto"/>
                <w:w w:val="99"/>
              </w:rPr>
              <w:t>18%</w:t>
            </w:r>
          </w:p>
        </w:tc>
        <w:tc>
          <w:tcPr>
            <w:tcW w:w="100" w:type="dxa"/>
            <w:vAlign w:val="bottom"/>
          </w:tcPr>
          <w:p>
            <w:pPr>
              <w:spacing w:after="0"/>
              <w:rPr>
                <w:sz w:val="17"/>
                <w:szCs w:val="17"/>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w w:val="93"/>
              </w:rPr>
              <w:t>14%</w:t>
            </w:r>
          </w:p>
        </w:tc>
        <w:tc>
          <w:tcPr>
            <w:tcW w:w="10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7"/>
                <w:szCs w:val="17"/>
                <w:color w:val="auto"/>
                <w:w w:val="99"/>
              </w:rPr>
              <w:t>10%</w:t>
            </w:r>
          </w:p>
        </w:tc>
      </w:tr>
      <w:tr>
        <w:trPr>
          <w:trHeight w:val="214"/>
        </w:trPr>
        <w:tc>
          <w:tcPr>
            <w:tcW w:w="3340" w:type="dxa"/>
            <w:vAlign w:val="bottom"/>
            <w:shd w:val="clear" w:color="auto" w:fill="CCEEFF"/>
          </w:tcPr>
          <w:p>
            <w:pPr>
              <w:jc w:val="right"/>
              <w:ind w:right="2856"/>
              <w:spacing w:after="0"/>
              <w:rPr>
                <w:sz w:val="20"/>
                <w:szCs w:val="20"/>
                <w:color w:val="auto"/>
              </w:rPr>
            </w:pPr>
            <w:r>
              <w:rPr>
                <w:rFonts w:ascii="Arial" w:cs="Arial" w:eastAsia="Arial" w:hAnsi="Arial"/>
                <w:sz w:val="17"/>
                <w:szCs w:val="17"/>
                <w:color w:val="auto"/>
              </w:rPr>
              <w:t>2022</w:t>
            </w:r>
          </w:p>
        </w:tc>
        <w:tc>
          <w:tcPr>
            <w:tcW w:w="2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16%</w:t>
            </w: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13%</w:t>
            </w:r>
          </w:p>
        </w:tc>
        <w:tc>
          <w:tcPr>
            <w:tcW w:w="10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10%</w:t>
            </w:r>
          </w:p>
        </w:tc>
      </w:tr>
      <w:tr>
        <w:trPr>
          <w:trHeight w:val="222"/>
        </w:trPr>
        <w:tc>
          <w:tcPr>
            <w:tcW w:w="3340" w:type="dxa"/>
            <w:vAlign w:val="bottom"/>
          </w:tcPr>
          <w:p>
            <w:pPr>
              <w:jc w:val="right"/>
              <w:ind w:right="2856"/>
              <w:spacing w:after="0"/>
              <w:rPr>
                <w:sz w:val="20"/>
                <w:szCs w:val="20"/>
                <w:color w:val="auto"/>
              </w:rPr>
            </w:pPr>
            <w:r>
              <w:rPr>
                <w:rFonts w:ascii="Arial" w:cs="Arial" w:eastAsia="Arial" w:hAnsi="Arial"/>
                <w:sz w:val="17"/>
                <w:szCs w:val="17"/>
                <w:color w:val="auto"/>
              </w:rPr>
              <w:t>2021</w:t>
            </w:r>
          </w:p>
        </w:tc>
        <w:tc>
          <w:tcPr>
            <w:tcW w:w="2540" w:type="dxa"/>
            <w:vAlign w:val="bottom"/>
          </w:tcPr>
          <w:p>
            <w:pPr>
              <w:jc w:val="center"/>
              <w:spacing w:after="0"/>
              <w:rPr>
                <w:sz w:val="20"/>
                <w:szCs w:val="20"/>
                <w:color w:val="auto"/>
              </w:rPr>
            </w:pPr>
            <w:r>
              <w:rPr>
                <w:rFonts w:ascii="Arial" w:cs="Arial" w:eastAsia="Arial" w:hAnsi="Arial"/>
                <w:sz w:val="17"/>
                <w:szCs w:val="17"/>
                <w:color w:val="auto"/>
                <w:w w:val="99"/>
              </w:rPr>
              <w:t>15%</w:t>
            </w:r>
          </w:p>
        </w:tc>
        <w:tc>
          <w:tcPr>
            <w:tcW w:w="10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7"/>
                <w:szCs w:val="17"/>
                <w:color w:val="auto"/>
                <w:w w:val="93"/>
              </w:rPr>
              <w:t>13%</w:t>
            </w:r>
          </w:p>
        </w:tc>
        <w:tc>
          <w:tcPr>
            <w:tcW w:w="10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7"/>
                <w:szCs w:val="17"/>
                <w:color w:val="auto"/>
                <w:w w:val="93"/>
              </w:rPr>
              <w:t>11%</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382"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(8)</w:t>
      </w:r>
      <w:r>
        <w:rPr>
          <w:sz w:val="20"/>
          <w:szCs w:val="20"/>
          <w:color w:val="auto"/>
        </w:rPr>
        <w:tab/>
      </w:r>
      <w:r>
        <w:rPr>
          <w:rFonts w:ascii="Arial" w:cs="Arial" w:eastAsia="Arial" w:hAnsi="Arial"/>
          <w:sz w:val="16"/>
          <w:szCs w:val="16"/>
          <w:color w:val="auto"/>
        </w:rPr>
        <w:t>QUARTERLY FINANCIAL INFORMATION (UNAUDITED)</w:t>
      </w:r>
    </w:p>
    <w:p>
      <w:pPr>
        <w:spacing w:after="0" w:line="23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 sets forth selected financial information for all of the quarters during the years ended December 31, 2023 and 2022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6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3"/>
          </w:tcPr>
          <w:p>
            <w:pPr>
              <w:jc w:val="right"/>
              <w:ind w:right="93"/>
              <w:spacing w:after="0"/>
              <w:rPr>
                <w:sz w:val="20"/>
                <w:szCs w:val="20"/>
                <w:color w:val="auto"/>
              </w:rPr>
            </w:pPr>
            <w:r>
              <w:rPr>
                <w:rFonts w:ascii="Arial" w:cs="Arial" w:eastAsia="Arial" w:hAnsi="Arial"/>
                <w:sz w:val="13"/>
                <w:szCs w:val="13"/>
                <w:b w:val="1"/>
                <w:bCs w:val="1"/>
                <w:color w:val="auto"/>
              </w:rPr>
              <w:t>First</w:t>
            </w:r>
          </w:p>
        </w:tc>
        <w:tc>
          <w:tcPr>
            <w:tcW w:w="7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Second</w:t>
            </w:r>
          </w:p>
        </w:tc>
        <w:tc>
          <w:tcPr>
            <w:tcW w:w="7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53"/>
              <w:spacing w:after="0"/>
              <w:rPr>
                <w:sz w:val="20"/>
                <w:szCs w:val="20"/>
                <w:color w:val="auto"/>
              </w:rPr>
            </w:pPr>
            <w:r>
              <w:rPr>
                <w:rFonts w:ascii="Arial" w:cs="Arial" w:eastAsia="Arial" w:hAnsi="Arial"/>
                <w:sz w:val="13"/>
                <w:szCs w:val="13"/>
                <w:b w:val="1"/>
                <w:bCs w:val="1"/>
                <w:color w:val="auto"/>
              </w:rPr>
              <w:t>Third</w:t>
            </w:r>
          </w:p>
        </w:tc>
        <w:tc>
          <w:tcPr>
            <w:tcW w:w="7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33"/>
              <w:spacing w:after="0"/>
              <w:rPr>
                <w:sz w:val="20"/>
                <w:szCs w:val="20"/>
                <w:color w:val="auto"/>
              </w:rPr>
            </w:pPr>
            <w:r>
              <w:rPr>
                <w:rFonts w:ascii="Arial" w:cs="Arial" w:eastAsia="Arial" w:hAnsi="Arial"/>
                <w:sz w:val="13"/>
                <w:szCs w:val="13"/>
                <w:b w:val="1"/>
                <w:bCs w:val="1"/>
                <w:color w:val="auto"/>
              </w:rPr>
              <w:t>Fourth</w:t>
            </w:r>
          </w:p>
        </w:tc>
        <w:tc>
          <w:tcPr>
            <w:tcW w:w="700" w:type="dxa"/>
            <w:vAlign w:val="bottom"/>
            <w:tcBorders>
              <w:top w:val="single" w:sz="8" w:color="auto"/>
              <w:bottom w:val="single" w:sz="8" w:color="auto"/>
            </w:tcBorders>
          </w:tcPr>
          <w:p>
            <w:pPr>
              <w:spacing w:after="0"/>
              <w:rPr>
                <w:sz w:val="17"/>
                <w:szCs w:val="17"/>
                <w:color w:val="auto"/>
              </w:rPr>
            </w:pPr>
          </w:p>
        </w:tc>
      </w:tr>
      <w:tr>
        <w:trPr>
          <w:trHeight w:val="181"/>
        </w:trPr>
        <w:tc>
          <w:tcPr>
            <w:tcW w:w="26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2022</w:t>
            </w:r>
          </w:p>
        </w:tc>
      </w:tr>
      <w:tr>
        <w:trPr>
          <w:trHeight w:val="181"/>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550,761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468,251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583,473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463,423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575,848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493,637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589,132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493,648</w:t>
            </w:r>
          </w:p>
        </w:tc>
      </w:tr>
      <w:tr>
        <w:trPr>
          <w:trHeight w:val="185"/>
        </w:trPr>
        <w:tc>
          <w:tcPr>
            <w:tcW w:w="262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174,737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160,412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193,083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148,367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191,441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147,201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203,369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153,834</w:t>
            </w:r>
          </w:p>
        </w:tc>
      </w:tr>
      <w:tr>
        <w:trPr>
          <w:trHeight w:val="193"/>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113,251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103,306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127,289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85,791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122,417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86,792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132,774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94,118</w:t>
            </w:r>
          </w:p>
        </w:tc>
      </w:tr>
      <w:tr>
        <w:trPr>
          <w:trHeight w:val="185"/>
        </w:trPr>
        <w:tc>
          <w:tcPr>
            <w:tcW w:w="26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97,578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87,529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109,155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72,404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104,725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72,656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116,944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86,168</w:t>
            </w:r>
          </w:p>
        </w:tc>
      </w:tr>
      <w:tr>
        <w:trPr>
          <w:trHeight w:val="193"/>
        </w:trPr>
        <w:tc>
          <w:tcPr>
            <w:tcW w:w="2620" w:type="dxa"/>
            <w:vAlign w:val="bottom"/>
            <w:shd w:val="clear" w:color="auto" w:fill="CCEEFF"/>
          </w:tcPr>
          <w:p>
            <w:pPr>
              <w:ind w:left="20"/>
              <w:spacing w:after="0" w:line="193" w:lineRule="exact"/>
              <w:rPr>
                <w:sz w:val="20"/>
                <w:szCs w:val="20"/>
                <w:color w:val="auto"/>
              </w:rPr>
            </w:pPr>
            <w:r>
              <w:rPr>
                <w:rFonts w:ascii="Arial" w:cs="Arial" w:eastAsia="Arial" w:hAnsi="Arial"/>
                <w:sz w:val="13"/>
                <w:szCs w:val="13"/>
                <w:color w:val="auto"/>
              </w:rPr>
              <w:t>Earnings Per Share (Basic)</w:t>
            </w:r>
            <w:r>
              <w:rPr>
                <w:rFonts w:ascii="Arial" w:cs="Arial" w:eastAsia="Arial" w:hAnsi="Arial"/>
                <w:sz w:val="17"/>
                <w:szCs w:val="17"/>
                <w:color w:val="auto"/>
                <w:vertAlign w:val="superscript"/>
              </w:rPr>
              <w:t>(1)</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0.37</w:t>
            </w:r>
          </w:p>
        </w:tc>
      </w:tr>
      <w:tr>
        <w:trPr>
          <w:trHeight w:val="198"/>
        </w:trPr>
        <w:tc>
          <w:tcPr>
            <w:tcW w:w="2620" w:type="dxa"/>
            <w:vAlign w:val="bottom"/>
          </w:tcPr>
          <w:p>
            <w:pPr>
              <w:ind w:left="20"/>
              <w:spacing w:after="0"/>
              <w:rPr>
                <w:sz w:val="20"/>
                <w:szCs w:val="20"/>
                <w:color w:val="auto"/>
              </w:rPr>
            </w:pPr>
            <w:r>
              <w:rPr>
                <w:rFonts w:ascii="Arial" w:cs="Arial" w:eastAsia="Arial" w:hAnsi="Arial"/>
                <w:sz w:val="13"/>
                <w:szCs w:val="13"/>
                <w:color w:val="auto"/>
              </w:rPr>
              <w:t>Earnings Per Share (Diluted)</w:t>
            </w:r>
            <w:r>
              <w:rPr>
                <w:rFonts w:ascii="Arial" w:cs="Arial" w:eastAsia="Arial" w:hAnsi="Arial"/>
                <w:sz w:val="17"/>
                <w:szCs w:val="17"/>
                <w:color w:val="auto"/>
                <w:vertAlign w:val="superscript"/>
              </w:rPr>
              <w:t>(1)</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0.42</w:t>
            </w:r>
          </w:p>
        </w:tc>
        <w:tc>
          <w:tcPr>
            <w:tcW w:w="120" w:type="dxa"/>
            <w:vAlign w:val="bottom"/>
          </w:tcPr>
          <w:p>
            <w:pPr>
              <w:spacing w:after="0"/>
              <w:rPr>
                <w:sz w:val="17"/>
                <w:szCs w:val="17"/>
                <w:color w:val="auto"/>
              </w:rPr>
            </w:pP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0.37</w:t>
            </w:r>
          </w:p>
        </w:tc>
        <w:tc>
          <w:tcPr>
            <w:tcW w:w="100" w:type="dxa"/>
            <w:vAlign w:val="bottom"/>
          </w:tcPr>
          <w:p>
            <w:pPr>
              <w:spacing w:after="0"/>
              <w:rPr>
                <w:sz w:val="17"/>
                <w:szCs w:val="17"/>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0.47</w:t>
            </w:r>
          </w:p>
        </w:tc>
        <w:tc>
          <w:tcPr>
            <w:tcW w:w="100" w:type="dxa"/>
            <w:vAlign w:val="bottom"/>
          </w:tcPr>
          <w:p>
            <w:pPr>
              <w:spacing w:after="0"/>
              <w:rPr>
                <w:sz w:val="17"/>
                <w:szCs w:val="17"/>
                <w:color w:val="auto"/>
              </w:rPr>
            </w:pP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0.31</w:t>
            </w:r>
          </w:p>
        </w:tc>
        <w:tc>
          <w:tcPr>
            <w:tcW w:w="120" w:type="dxa"/>
            <w:vAlign w:val="bottom"/>
          </w:tcPr>
          <w:p>
            <w:pPr>
              <w:spacing w:after="0"/>
              <w:rPr>
                <w:sz w:val="17"/>
                <w:szCs w:val="17"/>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0.45</w:t>
            </w:r>
          </w:p>
        </w:tc>
        <w:tc>
          <w:tcPr>
            <w:tcW w:w="120" w:type="dxa"/>
            <w:vAlign w:val="bottom"/>
          </w:tcPr>
          <w:p>
            <w:pPr>
              <w:spacing w:after="0"/>
              <w:rPr>
                <w:sz w:val="17"/>
                <w:szCs w:val="17"/>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0.31</w:t>
            </w:r>
          </w:p>
        </w:tc>
        <w:tc>
          <w:tcPr>
            <w:tcW w:w="120" w:type="dxa"/>
            <w:vAlign w:val="bottom"/>
          </w:tcPr>
          <w:p>
            <w:pPr>
              <w:spacing w:after="0"/>
              <w:rPr>
                <w:sz w:val="17"/>
                <w:szCs w:val="17"/>
                <w:color w:val="auto"/>
              </w:rPr>
            </w:pP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0.50</w:t>
            </w:r>
          </w:p>
        </w:tc>
        <w:tc>
          <w:tcPr>
            <w:tcW w:w="120" w:type="dxa"/>
            <w:vAlign w:val="bottom"/>
          </w:tcPr>
          <w:p>
            <w:pPr>
              <w:spacing w:after="0"/>
              <w:rPr>
                <w:sz w:val="17"/>
                <w:szCs w:val="17"/>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069455" cy="3517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69455" cy="351790"/>
                    </a:xfrm>
                    <a:prstGeom prst="rect">
                      <a:avLst/>
                    </a:prstGeom>
                    <a:noFill/>
                  </pic:spPr>
                </pic:pic>
              </a:graphicData>
            </a:graphic>
          </wp:anchor>
        </w:drawing>
      </w:r>
    </w:p>
    <w:p>
      <w:pPr>
        <w:ind w:left="20" w:right="460"/>
        <w:spacing w:after="0" w:line="215" w:lineRule="auto"/>
        <w:rPr>
          <w:sz w:val="20"/>
          <w:szCs w:val="20"/>
          <w:color w:val="auto"/>
        </w:rPr>
      </w:pPr>
      <w:r>
        <w:rPr>
          <w:rFonts w:ascii="Arial" w:cs="Arial" w:eastAsia="Arial" w:hAnsi="Arial"/>
          <w:sz w:val="17"/>
          <w:szCs w:val="17"/>
          <w:color w:val="auto"/>
          <w:vertAlign w:val="superscript"/>
        </w:rPr>
        <w:t>(1)</w:t>
      </w:r>
      <w:r>
        <w:rPr>
          <w:rFonts w:ascii="Arial" w:cs="Arial" w:eastAsia="Arial" w:hAnsi="Arial"/>
          <w:sz w:val="13"/>
          <w:szCs w:val="13"/>
          <w:color w:val="auto"/>
        </w:rPr>
        <w:t>Basic and diluted earnings per share are computed independently for each quarter presented. Therefore the sum of quarterly basic and diluted per share information may not equal annual basis and diluted earnings per share.</w:t>
      </w:r>
    </w:p>
    <w:p>
      <w:pPr>
        <w:spacing w:after="0" w:line="200" w:lineRule="exact"/>
        <w:rPr>
          <w:sz w:val="20"/>
          <w:szCs w:val="20"/>
          <w:color w:val="auto"/>
        </w:rPr>
      </w:pPr>
    </w:p>
    <w:p>
      <w:pPr>
        <w:spacing w:after="0" w:line="346" w:lineRule="exact"/>
        <w:rPr>
          <w:sz w:val="20"/>
          <w:szCs w:val="20"/>
          <w:color w:val="auto"/>
        </w:rPr>
      </w:pPr>
    </w:p>
    <w:p>
      <w:pPr>
        <w:ind w:left="420" w:hanging="419"/>
        <w:spacing w:after="0"/>
        <w:tabs>
          <w:tab w:leader="none" w:pos="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COMPREHENSIVE INCOME</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available for sale investments and foreign currency translation adjustments.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80" w:type="dxa"/>
            <w:vAlign w:val="bottom"/>
            <w:gridSpan w:val="6"/>
          </w:tcPr>
          <w:p>
            <w:pPr>
              <w:jc w:val="right"/>
              <w:ind w:right="145"/>
              <w:spacing w:after="0"/>
              <w:rPr>
                <w:sz w:val="20"/>
                <w:szCs w:val="20"/>
                <w:color w:val="auto"/>
              </w:rPr>
            </w:pPr>
            <w:r>
              <w:rPr>
                <w:rFonts w:ascii="Arial" w:cs="Arial" w:eastAsia="Arial" w:hAnsi="Arial"/>
                <w:sz w:val="13"/>
                <w:szCs w:val="13"/>
                <w:b w:val="1"/>
                <w:bCs w:val="1"/>
                <w:color w:val="auto"/>
              </w:rPr>
              <w:t>For the Years ended December 31,</w:t>
            </w:r>
          </w:p>
        </w:tc>
        <w:tc>
          <w:tcPr>
            <w:tcW w:w="1080" w:type="dxa"/>
            <w:vAlign w:val="bottom"/>
          </w:tcPr>
          <w:p>
            <w:pPr>
              <w:spacing w:after="0"/>
              <w:rPr>
                <w:sz w:val="16"/>
                <w:szCs w:val="16"/>
                <w:color w:val="auto"/>
              </w:rPr>
            </w:pPr>
          </w:p>
        </w:tc>
      </w:tr>
      <w:tr>
        <w:trPr>
          <w:trHeight w:val="189"/>
        </w:trPr>
        <w:tc>
          <w:tcPr>
            <w:tcW w:w="64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2022</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2021</w:t>
            </w:r>
          </w:p>
        </w:tc>
      </w:tr>
      <w:tr>
        <w:trPr>
          <w:trHeight w:val="181"/>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0"/>
        </w:trPr>
        <w:tc>
          <w:tcPr>
            <w:tcW w:w="6440" w:type="dxa"/>
            <w:vAlign w:val="bottom"/>
          </w:tcPr>
          <w:p>
            <w:pPr>
              <w:ind w:left="200"/>
              <w:spacing w:after="0"/>
              <w:rPr>
                <w:sz w:val="20"/>
                <w:szCs w:val="20"/>
                <w:color w:val="auto"/>
              </w:rPr>
            </w:pPr>
            <w:r>
              <w:rPr>
                <w:rFonts w:ascii="Arial" w:cs="Arial" w:eastAsia="Arial" w:hAnsi="Arial"/>
                <w:sz w:val="15"/>
                <w:szCs w:val="15"/>
                <w:color w:val="auto"/>
              </w:rPr>
              <w:t>Balance at beginning of period</w:t>
            </w: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(4,032,239)</w:t>
            </w:r>
          </w:p>
        </w:tc>
        <w:tc>
          <w:tcPr>
            <w:tcW w:w="160" w:type="dxa"/>
            <w:vAlign w:val="bottom"/>
          </w:tcPr>
          <w:p>
            <w:pPr>
              <w:spacing w:after="0"/>
              <w:rPr>
                <w:sz w:val="17"/>
                <w:szCs w:val="17"/>
                <w:color w:val="auto"/>
              </w:rPr>
            </w:pPr>
          </w:p>
        </w:tc>
        <w:tc>
          <w:tcPr>
            <w:tcW w:w="36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920,589</w:t>
            </w:r>
          </w:p>
        </w:tc>
        <w:tc>
          <w:tcPr>
            <w:tcW w:w="220" w:type="dxa"/>
            <w:vAlign w:val="bottom"/>
          </w:tcPr>
          <w:p>
            <w:pPr>
              <w:spacing w:after="0"/>
              <w:rPr>
                <w:sz w:val="17"/>
                <w:szCs w:val="17"/>
                <w:color w:val="auto"/>
              </w:rPr>
            </w:pP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769,045</w:t>
            </w:r>
          </w:p>
        </w:tc>
      </w:tr>
      <w:tr>
        <w:trPr>
          <w:trHeight w:val="202"/>
        </w:trPr>
        <w:tc>
          <w:tcPr>
            <w:tcW w:w="6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comprehensive (loss) income before reclassifications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(502,480)</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(4,952,828)</w:t>
            </w: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151,544</w:t>
            </w:r>
          </w:p>
        </w:tc>
      </w:tr>
      <w:tr>
        <w:trPr>
          <w:trHeight w:val="193"/>
        </w:trPr>
        <w:tc>
          <w:tcPr>
            <w:tcW w:w="64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Net current-period change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(502,480)</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(4,952,828)</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151,544</w:t>
            </w:r>
          </w:p>
        </w:tc>
      </w:tr>
      <w:tr>
        <w:trPr>
          <w:trHeight w:val="195"/>
        </w:trPr>
        <w:tc>
          <w:tcPr>
            <w:tcW w:w="6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Balance at end of period</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(4,534,719)</w:t>
            </w:r>
          </w:p>
        </w:tc>
        <w:tc>
          <w:tcPr>
            <w:tcW w:w="1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(4,032,239)</w:t>
            </w:r>
          </w:p>
        </w:tc>
        <w:tc>
          <w:tcPr>
            <w:tcW w:w="2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920,589</w:t>
            </w:r>
          </w:p>
        </w:tc>
      </w:tr>
      <w:tr>
        <w:trPr>
          <w:trHeight w:val="180"/>
        </w:trPr>
        <w:tc>
          <w:tcPr>
            <w:tcW w:w="6440" w:type="dxa"/>
            <w:vAlign w:val="bottom"/>
          </w:tcPr>
          <w:p>
            <w:pPr>
              <w:ind w:left="20"/>
              <w:spacing w:after="0"/>
              <w:rPr>
                <w:sz w:val="20"/>
                <w:szCs w:val="20"/>
                <w:color w:val="auto"/>
              </w:rPr>
            </w:pPr>
            <w:r>
              <w:rPr>
                <w:rFonts w:ascii="Arial" w:cs="Arial" w:eastAsia="Arial" w:hAnsi="Arial"/>
                <w:sz w:val="15"/>
                <w:szCs w:val="15"/>
                <w:color w:val="auto"/>
              </w:rPr>
              <w:t>Unrealized gains (losses) on available-for-sale securities: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2"/>
        </w:trPr>
        <w:tc>
          <w:tcPr>
            <w:tcW w:w="6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Balance at beginning of period</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(10,110,695)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1,006,655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6,082,007</w:t>
            </w:r>
          </w:p>
        </w:tc>
      </w:tr>
      <w:tr>
        <w:trPr>
          <w:trHeight w:val="200"/>
        </w:trPr>
        <w:tc>
          <w:tcPr>
            <w:tcW w:w="6440" w:type="dxa"/>
            <w:vAlign w:val="bottom"/>
          </w:tcPr>
          <w:p>
            <w:pPr>
              <w:ind w:left="200"/>
              <w:spacing w:after="0"/>
              <w:rPr>
                <w:sz w:val="20"/>
                <w:szCs w:val="20"/>
                <w:color w:val="auto"/>
              </w:rPr>
            </w:pPr>
            <w:r>
              <w:rPr>
                <w:rFonts w:ascii="Arial" w:cs="Arial" w:eastAsia="Arial" w:hAnsi="Arial"/>
                <w:sz w:val="15"/>
                <w:szCs w:val="15"/>
                <w:color w:val="auto"/>
              </w:rPr>
              <w:t>Other comprehensive income (loss) before reclassifications</w:t>
            </w:r>
          </w:p>
        </w:tc>
        <w:tc>
          <w:tcPr>
            <w:tcW w:w="340" w:type="dxa"/>
            <w:vAlign w:val="bottom"/>
          </w:tcPr>
          <w:p>
            <w:pPr>
              <w:spacing w:after="0"/>
              <w:rPr>
                <w:sz w:val="17"/>
                <w:szCs w:val="17"/>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rPr>
              <w:t>3,360,396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(12,470,515)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(4,228,434)</w:t>
            </w:r>
          </w:p>
        </w:tc>
      </w:tr>
      <w:tr>
        <w:trPr>
          <w:trHeight w:val="202"/>
        </w:trPr>
        <w:tc>
          <w:tcPr>
            <w:tcW w:w="6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Amounts reclassified from accumulated other comprehensive income (loss)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4,727,896</w:t>
            </w:r>
          </w:p>
        </w:tc>
        <w:tc>
          <w:tcPr>
            <w:tcW w:w="1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1,353,165</w:t>
            </w: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(846,918)</w:t>
            </w:r>
          </w:p>
        </w:tc>
      </w:tr>
      <w:tr>
        <w:trPr>
          <w:trHeight w:val="193"/>
        </w:trPr>
        <w:tc>
          <w:tcPr>
            <w:tcW w:w="64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Net current-period change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8,088,292</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(11,117,350)</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(5,075,352)</w:t>
            </w:r>
          </w:p>
        </w:tc>
      </w:tr>
      <w:tr>
        <w:trPr>
          <w:trHeight w:val="194"/>
        </w:trPr>
        <w:tc>
          <w:tcPr>
            <w:tcW w:w="6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Balance at end of period</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(2,022,403)</w:t>
            </w:r>
          </w:p>
        </w:tc>
        <w:tc>
          <w:tcPr>
            <w:tcW w:w="1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(10,110,695)</w:t>
            </w:r>
          </w:p>
        </w:tc>
        <w:tc>
          <w:tcPr>
            <w:tcW w:w="2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1,006,655</w:t>
            </w:r>
          </w:p>
        </w:tc>
      </w:tr>
      <w:tr>
        <w:trPr>
          <w:trHeight w:val="120"/>
        </w:trPr>
        <w:tc>
          <w:tcPr>
            <w:tcW w:w="6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2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Accumulated other comprehensive (loss) income, end of period</w:t>
            </w: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(6,557,122)</w:t>
            </w: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(14,142,934)</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1,927,244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All amounts are shown net of tax. Amounts in parentheses indicate debits.</w:t>
      </w:r>
    </w:p>
    <w:p>
      <w:pPr>
        <w:spacing w:after="0" w:line="23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 presents details of reclassifications from accumulated other comprehensive (loss) income for the years ended December 31, 2023, 2022 and 2021:</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gridSpan w:val="2"/>
          </w:tcPr>
          <w:p>
            <w:pPr>
              <w:ind w:left="20"/>
              <w:spacing w:after="0"/>
              <w:rPr>
                <w:sz w:val="20"/>
                <w:szCs w:val="20"/>
                <w:color w:val="auto"/>
              </w:rPr>
            </w:pPr>
            <w:r>
              <w:rPr>
                <w:rFonts w:ascii="Arial" w:cs="Arial" w:eastAsia="Arial" w:hAnsi="Arial"/>
                <w:sz w:val="13"/>
                <w:szCs w:val="13"/>
                <w:b w:val="1"/>
                <w:bCs w:val="1"/>
                <w:color w:val="auto"/>
              </w:rPr>
              <w:t>Details about Accumulated Other Comprehensive</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940" w:type="dxa"/>
            <w:vAlign w:val="bottom"/>
          </w:tcPr>
          <w:p>
            <w:pPr>
              <w:jc w:val="center"/>
              <w:ind w:left="88"/>
              <w:spacing w:after="0"/>
              <w:rPr>
                <w:sz w:val="20"/>
                <w:szCs w:val="20"/>
                <w:color w:val="auto"/>
              </w:rPr>
            </w:pPr>
            <w:r>
              <w:rPr>
                <w:rFonts w:ascii="Arial" w:cs="Arial" w:eastAsia="Arial" w:hAnsi="Arial"/>
                <w:sz w:val="13"/>
                <w:szCs w:val="13"/>
                <w:b w:val="1"/>
                <w:bCs w:val="1"/>
                <w:color w:val="auto"/>
              </w:rPr>
              <w:t>Affected Line item in the Statement of</w:t>
            </w:r>
          </w:p>
        </w:tc>
      </w:tr>
      <w:tr>
        <w:trPr>
          <w:trHeight w:val="176"/>
        </w:trPr>
        <w:tc>
          <w:tcPr>
            <w:tcW w:w="3700" w:type="dxa"/>
            <w:vAlign w:val="bottom"/>
            <w:gridSpan w:val="2"/>
          </w:tcPr>
          <w:p>
            <w:pPr>
              <w:ind w:left="20"/>
              <w:spacing w:after="0"/>
              <w:rPr>
                <w:sz w:val="20"/>
                <w:szCs w:val="20"/>
                <w:color w:val="auto"/>
              </w:rPr>
            </w:pPr>
            <w:r>
              <w:rPr>
                <w:rFonts w:ascii="Arial" w:cs="Arial" w:eastAsia="Arial" w:hAnsi="Arial"/>
                <w:sz w:val="13"/>
                <w:szCs w:val="13"/>
                <w:b w:val="1"/>
                <w:bCs w:val="1"/>
                <w:color w:val="auto"/>
              </w:rPr>
              <w:t>(Loss) Income Components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940" w:type="dxa"/>
            <w:vAlign w:val="bottom"/>
          </w:tcPr>
          <w:p>
            <w:pPr>
              <w:jc w:val="center"/>
              <w:ind w:left="88"/>
              <w:spacing w:after="0"/>
              <w:rPr>
                <w:sz w:val="20"/>
                <w:szCs w:val="20"/>
                <w:color w:val="auto"/>
              </w:rPr>
            </w:pPr>
            <w:r>
              <w:rPr>
                <w:rFonts w:ascii="Arial" w:cs="Arial" w:eastAsia="Arial" w:hAnsi="Arial"/>
                <w:sz w:val="13"/>
                <w:szCs w:val="13"/>
                <w:b w:val="1"/>
                <w:bCs w:val="1"/>
                <w:color w:val="auto"/>
              </w:rPr>
              <w:t>Consolidated Income</w:t>
            </w:r>
          </w:p>
        </w:tc>
      </w:tr>
      <w:tr>
        <w:trPr>
          <w:trHeight w:val="181"/>
        </w:trPr>
        <w:tc>
          <w:tcPr>
            <w:tcW w:w="3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gridSpan w:val="6"/>
          </w:tcPr>
          <w:p>
            <w:pPr>
              <w:jc w:val="right"/>
              <w:ind w:right="85"/>
              <w:spacing w:after="0"/>
              <w:rPr>
                <w:sz w:val="20"/>
                <w:szCs w:val="20"/>
                <w:color w:val="auto"/>
              </w:rPr>
            </w:pPr>
            <w:r>
              <w:rPr>
                <w:rFonts w:ascii="Arial" w:cs="Arial" w:eastAsia="Arial" w:hAnsi="Arial"/>
                <w:sz w:val="13"/>
                <w:szCs w:val="13"/>
                <w:b w:val="1"/>
                <w:bCs w:val="1"/>
                <w:color w:val="auto"/>
              </w:rPr>
              <w:t>For the Years ended December 31,</w:t>
            </w:r>
          </w:p>
        </w:tc>
        <w:tc>
          <w:tcPr>
            <w:tcW w:w="104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spacing w:after="0"/>
              <w:rPr>
                <w:sz w:val="15"/>
                <w:szCs w:val="15"/>
                <w:color w:val="auto"/>
              </w:rPr>
            </w:pPr>
          </w:p>
        </w:tc>
      </w:tr>
      <w:tr>
        <w:trPr>
          <w:trHeight w:val="189"/>
        </w:trPr>
        <w:tc>
          <w:tcPr>
            <w:tcW w:w="35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3"/>
                <w:szCs w:val="13"/>
                <w:b w:val="1"/>
                <w:bCs w:val="1"/>
                <w:color w:val="auto"/>
              </w:rPr>
              <w:t>2023</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rPr>
              <w:t>2021</w:t>
            </w:r>
          </w:p>
        </w:tc>
        <w:tc>
          <w:tcPr>
            <w:tcW w:w="2940" w:type="dxa"/>
            <w:vAlign w:val="bottom"/>
            <w:tcBorders>
              <w:bottom w:val="single" w:sz="8" w:color="CCEEFF"/>
            </w:tcBorders>
          </w:tcPr>
          <w:p>
            <w:pPr>
              <w:spacing w:after="0"/>
              <w:rPr>
                <w:sz w:val="16"/>
                <w:szCs w:val="16"/>
                <w:color w:val="auto"/>
              </w:rPr>
            </w:pPr>
          </w:p>
        </w:tc>
      </w:tr>
      <w:tr>
        <w:trPr>
          <w:trHeight w:val="131"/>
        </w:trPr>
        <w:tc>
          <w:tcPr>
            <w:tcW w:w="370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5"/>
                <w:szCs w:val="15"/>
                <w:color w:val="auto"/>
              </w:rPr>
              <w:t>Unrealized (losses) gains on available-for-sale</w:t>
            </w: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r>
      <w:tr>
        <w:trPr>
          <w:trHeight w:val="201"/>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securities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r>
      <w:tr>
        <w:trPr>
          <w:trHeight w:val="200"/>
        </w:trPr>
        <w:tc>
          <w:tcPr>
            <w:tcW w:w="3700" w:type="dxa"/>
            <w:vAlign w:val="bottom"/>
            <w:gridSpan w:val="2"/>
          </w:tcPr>
          <w:p>
            <w:pPr>
              <w:ind w:left="200"/>
              <w:spacing w:after="0"/>
              <w:rPr>
                <w:sz w:val="20"/>
                <w:szCs w:val="20"/>
                <w:color w:val="auto"/>
              </w:rPr>
            </w:pPr>
            <w:r>
              <w:rPr>
                <w:rFonts w:ascii="Arial" w:cs="Arial" w:eastAsia="Arial" w:hAnsi="Arial"/>
                <w:sz w:val="15"/>
                <w:szCs w:val="15"/>
                <w:color w:val="auto"/>
              </w:rPr>
              <w:t>Realized (loss) gain on sale of securities</w:t>
            </w: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080" w:type="dxa"/>
            <w:vAlign w:val="bottom"/>
          </w:tcPr>
          <w:p>
            <w:pPr>
              <w:jc w:val="center"/>
              <w:ind w:left="188"/>
              <w:spacing w:after="0"/>
              <w:rPr>
                <w:sz w:val="20"/>
                <w:szCs w:val="20"/>
                <w:color w:val="auto"/>
              </w:rPr>
            </w:pPr>
            <w:r>
              <w:rPr>
                <w:rFonts w:ascii="Arial" w:cs="Arial" w:eastAsia="Arial" w:hAnsi="Arial"/>
                <w:sz w:val="15"/>
                <w:szCs w:val="15"/>
                <w:color w:val="auto"/>
              </w:rPr>
              <w:t>(5,984,678)</w:t>
            </w:r>
          </w:p>
        </w:tc>
        <w:tc>
          <w:tcPr>
            <w:tcW w:w="200" w:type="dxa"/>
            <w:vAlign w:val="bottom"/>
          </w:tcPr>
          <w:p>
            <w:pPr>
              <w:spacing w:after="0"/>
              <w:rPr>
                <w:sz w:val="17"/>
                <w:szCs w:val="17"/>
                <w:color w:val="auto"/>
              </w:rPr>
            </w:pPr>
          </w:p>
        </w:tc>
        <w:tc>
          <w:tcPr>
            <w:tcW w:w="340" w:type="dxa"/>
            <w:vAlign w:val="bottom"/>
          </w:tcPr>
          <w:p>
            <w:pPr>
              <w:jc w:val="right"/>
              <w:ind w:right="145"/>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(1,712,867)</w:t>
            </w:r>
          </w:p>
        </w:tc>
        <w:tc>
          <w:tcPr>
            <w:tcW w:w="180" w:type="dxa"/>
            <w:vAlign w:val="bottom"/>
          </w:tcPr>
          <w:p>
            <w:pPr>
              <w:spacing w:after="0"/>
              <w:rPr>
                <w:sz w:val="17"/>
                <w:szCs w:val="17"/>
                <w:color w:val="auto"/>
              </w:rPr>
            </w:pP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7"/>
              <w:spacing w:after="0"/>
              <w:rPr>
                <w:sz w:val="20"/>
                <w:szCs w:val="20"/>
                <w:color w:val="auto"/>
              </w:rPr>
            </w:pPr>
            <w:r>
              <w:rPr>
                <w:rFonts w:ascii="Arial" w:cs="Arial" w:eastAsia="Arial" w:hAnsi="Arial"/>
                <w:sz w:val="15"/>
                <w:szCs w:val="15"/>
                <w:color w:val="auto"/>
              </w:rPr>
              <w:t>1,072,048</w:t>
            </w:r>
          </w:p>
        </w:tc>
        <w:tc>
          <w:tcPr>
            <w:tcW w:w="2940" w:type="dxa"/>
            <w:vAlign w:val="bottom"/>
          </w:tcPr>
          <w:p>
            <w:pPr>
              <w:ind w:left="180"/>
              <w:spacing w:after="0"/>
              <w:rPr>
                <w:sz w:val="20"/>
                <w:szCs w:val="20"/>
                <w:color w:val="auto"/>
              </w:rPr>
            </w:pPr>
            <w:r>
              <w:rPr>
                <w:rFonts w:ascii="Arial" w:cs="Arial" w:eastAsia="Arial" w:hAnsi="Arial"/>
                <w:sz w:val="15"/>
                <w:szCs w:val="15"/>
                <w:color w:val="auto"/>
              </w:rPr>
              <w:t>Other (loss) income, net</w:t>
            </w:r>
          </w:p>
        </w:tc>
      </w:tr>
      <w:tr>
        <w:trPr>
          <w:trHeight w:val="201"/>
        </w:trPr>
        <w:tc>
          <w:tcPr>
            <w:tcW w:w="37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Provision for income taxes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center"/>
              <w:ind w:left="188"/>
              <w:spacing w:after="0"/>
              <w:rPr>
                <w:sz w:val="20"/>
                <w:szCs w:val="20"/>
                <w:color w:val="auto"/>
              </w:rPr>
            </w:pPr>
            <w:r>
              <w:rPr>
                <w:rFonts w:ascii="Arial" w:cs="Arial" w:eastAsia="Arial" w:hAnsi="Arial"/>
                <w:sz w:val="15"/>
                <w:szCs w:val="15"/>
                <w:color w:val="auto"/>
                <w:w w:val="98"/>
              </w:rPr>
              <w:t>1,256,782</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359,702</w:t>
            </w:r>
          </w:p>
        </w:tc>
        <w:tc>
          <w:tcPr>
            <w:tcW w:w="1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(225,130)</w:t>
            </w:r>
          </w:p>
        </w:tc>
        <w:tc>
          <w:tcPr>
            <w:tcW w:w="29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Provision for Income Taxes</w:t>
            </w:r>
          </w:p>
        </w:tc>
      </w:tr>
      <w:tr>
        <w:trPr>
          <w:trHeight w:val="195"/>
        </w:trPr>
        <w:tc>
          <w:tcPr>
            <w:tcW w:w="3700" w:type="dxa"/>
            <w:vAlign w:val="bottom"/>
            <w:gridSpan w:val="2"/>
          </w:tcPr>
          <w:p>
            <w:pPr>
              <w:ind w:left="20"/>
              <w:spacing w:after="0"/>
              <w:rPr>
                <w:sz w:val="20"/>
                <w:szCs w:val="20"/>
                <w:color w:val="auto"/>
              </w:rPr>
            </w:pPr>
            <w:r>
              <w:rPr>
                <w:rFonts w:ascii="Arial" w:cs="Arial" w:eastAsia="Arial" w:hAnsi="Arial"/>
                <w:sz w:val="15"/>
                <w:szCs w:val="15"/>
                <w:color w:val="auto"/>
              </w:rPr>
              <w:t>Total reclassifications for the period</w:t>
            </w:r>
          </w:p>
        </w:tc>
        <w:tc>
          <w:tcPr>
            <w:tcW w:w="3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center"/>
              <w:ind w:left="188"/>
              <w:spacing w:after="0"/>
              <w:rPr>
                <w:sz w:val="20"/>
                <w:szCs w:val="20"/>
                <w:color w:val="auto"/>
              </w:rPr>
            </w:pPr>
            <w:r>
              <w:rPr>
                <w:rFonts w:ascii="Arial" w:cs="Arial" w:eastAsia="Arial" w:hAnsi="Arial"/>
                <w:sz w:val="15"/>
                <w:szCs w:val="15"/>
                <w:color w:val="auto"/>
              </w:rPr>
              <w:t>(4,727,896)</w:t>
            </w:r>
          </w:p>
        </w:tc>
        <w:tc>
          <w:tcPr>
            <w:tcW w:w="200" w:type="dxa"/>
            <w:vAlign w:val="bottom"/>
          </w:tcPr>
          <w:p>
            <w:pPr>
              <w:spacing w:after="0"/>
              <w:rPr>
                <w:sz w:val="16"/>
                <w:szCs w:val="16"/>
                <w:color w:val="auto"/>
              </w:rPr>
            </w:pPr>
          </w:p>
        </w:tc>
        <w:tc>
          <w:tcPr>
            <w:tcW w:w="34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(1,353,165)</w:t>
            </w:r>
          </w:p>
        </w:tc>
        <w:tc>
          <w:tcPr>
            <w:tcW w:w="180" w:type="dxa"/>
            <w:vAlign w:val="bottom"/>
          </w:tcPr>
          <w:p>
            <w:pPr>
              <w:spacing w:after="0"/>
              <w:rPr>
                <w:sz w:val="16"/>
                <w:szCs w:val="16"/>
                <w:color w:val="auto"/>
              </w:rPr>
            </w:pPr>
          </w:p>
        </w:tc>
        <w:tc>
          <w:tcPr>
            <w:tcW w:w="36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846,918</w:t>
            </w:r>
          </w:p>
        </w:tc>
        <w:tc>
          <w:tcPr>
            <w:tcW w:w="2940" w:type="dxa"/>
            <w:vAlign w:val="bottom"/>
          </w:tcPr>
          <w:p>
            <w:pPr>
              <w:ind w:left="180"/>
              <w:spacing w:after="0"/>
              <w:rPr>
                <w:sz w:val="20"/>
                <w:szCs w:val="20"/>
                <w:color w:val="auto"/>
              </w:rPr>
            </w:pPr>
            <w:r>
              <w:rPr>
                <w:rFonts w:ascii="Arial" w:cs="Arial" w:eastAsia="Arial" w:hAnsi="Arial"/>
                <w:sz w:val="15"/>
                <w:szCs w:val="15"/>
                <w:color w:val="auto"/>
              </w:rPr>
              <w:t>Net of tax</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40" w:hanging="539"/>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GOODWILL AND INTANGIBLE ASSETS</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Company recorded Goodwill of: $307.4 million related to the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acquisition in 2013; $3.7 million as part of the acquisition of Vaporsens, Inc. ("Vaporsens") in 2020; $0.2 million as part of the acquisition of Air-Craftglass Production BV ("Air-Craftglass") in 2020; $1.0 million as part of the acquisition of Argil, Inc. ("Argil") in 2020; $2.0 million as part of the acquisition of Guardian Optical Technologies ("Guardian") in 2021; and $26.7 million as part of the acquisition of eSight in the fourth quarter of 2023. Refer to </w:t>
      </w:r>
      <w:r>
        <w:rPr>
          <w:rFonts w:ascii="Arial" w:cs="Arial" w:eastAsia="Arial" w:hAnsi="Arial"/>
          <w:sz w:val="17"/>
          <w:szCs w:val="17"/>
          <w:u w:val="single" w:color="auto"/>
          <w:color w:val="0000FF"/>
        </w:rPr>
        <w:t>Note 12, "Acquisitions"</w:t>
      </w:r>
      <w:r>
        <w:rPr>
          <w:rFonts w:ascii="Arial" w:cs="Arial" w:eastAsia="Arial" w:hAnsi="Arial"/>
          <w:sz w:val="17"/>
          <w:szCs w:val="17"/>
          <w:color w:val="auto"/>
        </w:rPr>
        <w:t>, for further information on the eSight acquisition. The carrying value of Goodwill as of December 31, 2023 and December 31, 2022 was $340.1 million and $313.8 million, respectively, as set forth in the table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Carrying Amount</w:t>
            </w:r>
          </w:p>
        </w:tc>
      </w:tr>
      <w:tr>
        <w:trPr>
          <w:trHeight w:val="207"/>
        </w:trPr>
        <w:tc>
          <w:tcPr>
            <w:tcW w:w="9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2022</w:t>
            </w:r>
          </w:p>
        </w:tc>
        <w:tc>
          <w:tcPr>
            <w:tcW w:w="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313,807,494</w:t>
            </w:r>
          </w:p>
        </w:tc>
      </w:tr>
      <w:tr>
        <w:trPr>
          <w:trHeight w:val="214"/>
        </w:trPr>
        <w:tc>
          <w:tcPr>
            <w:tcW w:w="9320" w:type="dxa"/>
            <w:vAlign w:val="bottom"/>
          </w:tcPr>
          <w:p>
            <w:pPr>
              <w:ind w:left="20"/>
              <w:spacing w:after="0"/>
              <w:rPr>
                <w:sz w:val="20"/>
                <w:szCs w:val="20"/>
                <w:color w:val="auto"/>
              </w:rPr>
            </w:pPr>
            <w:r>
              <w:rPr>
                <w:rFonts w:ascii="Arial" w:cs="Arial" w:eastAsia="Arial" w:hAnsi="Arial"/>
                <w:sz w:val="17"/>
                <w:szCs w:val="17"/>
                <w:color w:val="auto"/>
              </w:rPr>
              <w:t>Acquisitions</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26,696,012</w:t>
            </w:r>
          </w:p>
        </w:tc>
      </w:tr>
      <w:tr>
        <w:trPr>
          <w:trHeight w:val="214"/>
        </w:trPr>
        <w:tc>
          <w:tcPr>
            <w:tcW w:w="9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Divestitures</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9320" w:type="dxa"/>
            <w:vAlign w:val="bottom"/>
          </w:tcPr>
          <w:p>
            <w:pPr>
              <w:ind w:left="20"/>
              <w:spacing w:after="0"/>
              <w:rPr>
                <w:sz w:val="20"/>
                <w:szCs w:val="20"/>
                <w:color w:val="auto"/>
              </w:rPr>
            </w:pPr>
            <w:r>
              <w:rPr>
                <w:rFonts w:ascii="Arial" w:cs="Arial" w:eastAsia="Arial" w:hAnsi="Arial"/>
                <w:sz w:val="17"/>
                <w:szCs w:val="17"/>
                <w:color w:val="auto"/>
              </w:rPr>
              <w:t>Impairments</w:t>
            </w: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9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(397,875)</w:t>
            </w:r>
          </w:p>
        </w:tc>
      </w:tr>
      <w:tr>
        <w:trPr>
          <w:trHeight w:val="206"/>
        </w:trPr>
        <w:tc>
          <w:tcPr>
            <w:tcW w:w="9320" w:type="dxa"/>
            <w:vAlign w:val="bottom"/>
          </w:tcPr>
          <w:p>
            <w:pPr>
              <w:ind w:left="20"/>
              <w:spacing w:after="0"/>
              <w:rPr>
                <w:sz w:val="20"/>
                <w:szCs w:val="20"/>
                <w:color w:val="auto"/>
              </w:rPr>
            </w:pPr>
            <w:r>
              <w:rPr>
                <w:rFonts w:ascii="Arial" w:cs="Arial" w:eastAsia="Arial" w:hAnsi="Arial"/>
                <w:sz w:val="17"/>
                <w:szCs w:val="17"/>
                <w:color w:val="auto"/>
              </w:rPr>
              <w:t>Balance as of December 31, 2023</w:t>
            </w:r>
          </w:p>
        </w:tc>
        <w:tc>
          <w:tcPr>
            <w:tcW w:w="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340,105,631</w:t>
            </w:r>
          </w:p>
        </w:tc>
      </w:tr>
      <w:tr>
        <w:trPr>
          <w:trHeight w:val="20"/>
        </w:trPr>
        <w:tc>
          <w:tcPr>
            <w:tcW w:w="9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2023, $30.6 million of goodwill was recorded within the Other segment as a result of the Vaporsens, Air-Craftglass, and the eSight acquisitions, and $309.5 million of goodwill was recorded within the Automotive segment.</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 reviews goodwill and IPR&amp;D for impairment during the fourth quarter on an annual basis or more frequently if events or changes in circumstances indicate that goodwill might be impaired. The Company performed a qualitative assessment (step 0) to determine whether it is more likely than not that a reporting unit or intangible asset's fair value is less than its carrying amount. Based on this test, the Company determined they were not and that no additional impairment testing was needed. The Company has not recognized any impairment of goodwill or IPR&amp;D in the current or prior periods. The Company continuously monitors for events and circumstances that could negatively impact the key assumptions in determining fair value thus resulting in the need for interim testing, including long-term revenue growth projections, profitability, discount rates, recent market valuations from transactions by comparable companies, volatility in the Company's market capitalization, and certain general industry, market and macro-economic conditions. No such events or circumstances that might negatively impact the key assumptions were observed in 2023 and, as such, nothing indicated the need for interim impairment testing.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Intangible Assets and related change in carrying values are set forth in the table below as of December 31, 2023 and December 31, 2022.</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2023:</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Borders>
              <w:bottom w:val="single" w:sz="8" w:color="auto"/>
            </w:tcBorders>
          </w:tcPr>
          <w:p>
            <w:pPr>
              <w:ind w:left="1520"/>
              <w:spacing w:after="0"/>
              <w:rPr>
                <w:sz w:val="20"/>
                <w:szCs w:val="20"/>
                <w:color w:val="auto"/>
              </w:rPr>
            </w:pPr>
            <w:r>
              <w:rPr>
                <w:rFonts w:ascii="Arial" w:cs="Arial" w:eastAsia="Arial" w:hAnsi="Arial"/>
                <w:sz w:val="13"/>
                <w:szCs w:val="13"/>
                <w:b w:val="1"/>
                <w:bCs w:val="1"/>
                <w:color w:val="auto"/>
              </w:rPr>
              <w:t>Other Intangible Assets</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Gross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Accumulated Amortization</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616"/>
              <w:spacing w:after="0"/>
              <w:rPr>
                <w:sz w:val="20"/>
                <w:szCs w:val="20"/>
                <w:color w:val="auto"/>
              </w:rPr>
            </w:pPr>
            <w:r>
              <w:rPr>
                <w:rFonts w:ascii="Arial" w:cs="Arial" w:eastAsia="Arial" w:hAnsi="Arial"/>
                <w:sz w:val="13"/>
                <w:szCs w:val="13"/>
                <w:b w:val="1"/>
                <w:bCs w:val="1"/>
                <w:color w:val="auto"/>
              </w:rPr>
              <w:t>Net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Assumed Useful Life</w:t>
            </w:r>
          </w:p>
        </w:tc>
        <w:tc>
          <w:tcPr>
            <w:tcW w:w="0" w:type="dxa"/>
            <w:vAlign w:val="bottom"/>
          </w:tcPr>
          <w:p>
            <w:pPr>
              <w:spacing w:after="0"/>
              <w:rPr>
                <w:sz w:val="1"/>
                <w:szCs w:val="1"/>
                <w:color w:val="auto"/>
              </w:rPr>
            </w:pPr>
          </w:p>
        </w:tc>
      </w:tr>
      <w:tr>
        <w:trPr>
          <w:trHeight w:val="207"/>
        </w:trPr>
        <w:tc>
          <w:tcPr>
            <w:tcW w:w="4360" w:type="dxa"/>
            <w:vAlign w:val="bottom"/>
            <w:shd w:val="clear" w:color="auto" w:fill="CCEEFF"/>
          </w:tcPr>
          <w:p>
            <w:pPr>
              <w:ind w:left="20"/>
              <w:spacing w:after="0" w:line="207" w:lineRule="exact"/>
              <w:rPr>
                <w:sz w:val="20"/>
                <w:szCs w:val="20"/>
                <w:color w:val="auto"/>
              </w:rPr>
            </w:pPr>
            <w:r>
              <w:rPr>
                <w:rFonts w:ascii="Arial" w:cs="Arial" w:eastAsia="Arial" w:hAnsi="Arial"/>
                <w:sz w:val="17"/>
                <w:szCs w:val="17"/>
                <w:color w:val="auto"/>
              </w:rPr>
              <w:t>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Trade Names and Trademarks</w:t>
            </w:r>
          </w:p>
        </w:tc>
        <w:tc>
          <w:tcPr>
            <w:tcW w:w="46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52,000,000</w:t>
            </w:r>
          </w:p>
        </w:tc>
        <w:tc>
          <w:tcPr>
            <w:tcW w:w="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ind w:left="1340"/>
              <w:spacing w:after="0"/>
              <w:rPr>
                <w:sz w:val="20"/>
                <w:szCs w:val="20"/>
                <w:color w:val="auto"/>
              </w:rPr>
            </w:pPr>
            <w:r>
              <w:rPr>
                <w:rFonts w:ascii="Arial" w:cs="Arial" w:eastAsia="Arial" w:hAnsi="Arial"/>
                <w:sz w:val="17"/>
                <w:szCs w:val="17"/>
                <w:color w:val="auto"/>
              </w:rPr>
              <w:t>—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52,000,000</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line="214" w:lineRule="exact"/>
              <w:rPr>
                <w:sz w:val="20"/>
                <w:szCs w:val="20"/>
                <w:color w:val="auto"/>
              </w:rPr>
            </w:pPr>
            <w:r>
              <w:rPr>
                <w:rFonts w:ascii="Arial" w:cs="Arial" w:eastAsia="Arial" w:hAnsi="Arial"/>
                <w:sz w:val="17"/>
                <w:szCs w:val="17"/>
                <w:color w:val="auto"/>
              </w:rPr>
              <w:t>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Technology</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180,000,000</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(153,750,000)</w:t>
            </w: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26,250,000</w:t>
            </w:r>
          </w:p>
        </w:tc>
        <w:tc>
          <w:tcPr>
            <w:tcW w:w="1680" w:type="dxa"/>
            <w:vAlign w:val="bottom"/>
          </w:tcPr>
          <w:p>
            <w:pPr>
              <w:jc w:val="center"/>
              <w:spacing w:after="0"/>
              <w:rPr>
                <w:sz w:val="20"/>
                <w:szCs w:val="20"/>
                <w:color w:val="auto"/>
              </w:rPr>
            </w:pPr>
            <w:r>
              <w:rPr>
                <w:rFonts w:ascii="Arial" w:cs="Arial" w:eastAsia="Arial" w:hAnsi="Arial"/>
                <w:sz w:val="17"/>
                <w:szCs w:val="17"/>
                <w:color w:val="auto"/>
                <w:w w:val="98"/>
              </w:rPr>
              <w:t>12 years</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Existing Customer Platforms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43,000,000</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(43,000,000)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10 years</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7"/>
                <w:szCs w:val="17"/>
                <w:color w:val="auto"/>
              </w:rPr>
              <w:t>Exclusive Licensing Agreement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96,000,000</w:t>
            </w:r>
          </w:p>
        </w:tc>
        <w:tc>
          <w:tcPr>
            <w:tcW w:w="200" w:type="dxa"/>
            <w:vAlign w:val="bottom"/>
          </w:tcPr>
          <w:p>
            <w:pPr>
              <w:spacing w:after="0"/>
              <w:rPr>
                <w:sz w:val="18"/>
                <w:szCs w:val="18"/>
                <w:color w:val="auto"/>
              </w:rPr>
            </w:pPr>
          </w:p>
        </w:tc>
        <w:tc>
          <w:tcPr>
            <w:tcW w:w="1580" w:type="dxa"/>
            <w:vAlign w:val="bottom"/>
          </w:tcPr>
          <w:p>
            <w:pPr>
              <w:ind w:left="13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96,000,000</w:t>
            </w:r>
          </w:p>
        </w:tc>
        <w:tc>
          <w:tcPr>
            <w:tcW w:w="1680" w:type="dxa"/>
            <w:vAlign w:val="bottom"/>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eSight Technology</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12,000,000</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ind w:left="13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12,000,000</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12 years</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7"/>
                <w:szCs w:val="17"/>
                <w:color w:val="auto"/>
              </w:rPr>
              <w:t>eSight Trade Names and Trademarks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870,000</w:t>
            </w:r>
          </w:p>
        </w:tc>
        <w:tc>
          <w:tcPr>
            <w:tcW w:w="200" w:type="dxa"/>
            <w:vAlign w:val="bottom"/>
          </w:tcPr>
          <w:p>
            <w:pPr>
              <w:spacing w:after="0"/>
              <w:rPr>
                <w:sz w:val="18"/>
                <w:szCs w:val="18"/>
                <w:color w:val="auto"/>
              </w:rPr>
            </w:pPr>
          </w:p>
        </w:tc>
        <w:tc>
          <w:tcPr>
            <w:tcW w:w="1580" w:type="dxa"/>
            <w:vAlign w:val="bottom"/>
          </w:tcPr>
          <w:p>
            <w:pPr>
              <w:ind w:left="13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870,000</w:t>
            </w:r>
          </w:p>
        </w:tc>
        <w:tc>
          <w:tcPr>
            <w:tcW w:w="1680" w:type="dxa"/>
            <w:vAlign w:val="bottom"/>
          </w:tcPr>
          <w:p>
            <w:pPr>
              <w:jc w:val="center"/>
              <w:spacing w:after="0"/>
              <w:rPr>
                <w:sz w:val="20"/>
                <w:szCs w:val="20"/>
                <w:color w:val="auto"/>
              </w:rPr>
            </w:pPr>
            <w:r>
              <w:rPr>
                <w:rFonts w:ascii="Arial" w:cs="Arial" w:eastAsia="Arial" w:hAnsi="Arial"/>
                <w:sz w:val="17"/>
                <w:szCs w:val="17"/>
                <w:color w:val="auto"/>
                <w:w w:val="98"/>
              </w:rPr>
              <w:t>12 years</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Vaporsens In-Process R&amp;D</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11,000,000</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ind w:left="13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11,000,000</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7"/>
                <w:szCs w:val="17"/>
                <w:color w:val="auto"/>
              </w:rPr>
              <w:t>Argil In-Process R&amp;D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6,278,132</w:t>
            </w:r>
          </w:p>
        </w:tc>
        <w:tc>
          <w:tcPr>
            <w:tcW w:w="200" w:type="dxa"/>
            <w:vAlign w:val="bottom"/>
          </w:tcPr>
          <w:p>
            <w:pPr>
              <w:spacing w:after="0"/>
              <w:rPr>
                <w:sz w:val="18"/>
                <w:szCs w:val="18"/>
                <w:color w:val="auto"/>
              </w:rPr>
            </w:pPr>
          </w:p>
        </w:tc>
        <w:tc>
          <w:tcPr>
            <w:tcW w:w="1580" w:type="dxa"/>
            <w:vAlign w:val="bottom"/>
          </w:tcPr>
          <w:p>
            <w:pPr>
              <w:ind w:left="13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6,278,132</w:t>
            </w:r>
          </w:p>
        </w:tc>
        <w:tc>
          <w:tcPr>
            <w:tcW w:w="1680" w:type="dxa"/>
            <w:vAlign w:val="bottom"/>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Air-Craftglass In-Process R&amp;D</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1,507,778</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ind w:left="13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1,507,778</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7"/>
                <w:szCs w:val="17"/>
                <w:color w:val="auto"/>
              </w:rPr>
              <w:t>Guardian Trade Names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1,300,000</w:t>
            </w:r>
          </w:p>
        </w:tc>
        <w:tc>
          <w:tcPr>
            <w:tcW w:w="200" w:type="dxa"/>
            <w:vAlign w:val="bottom"/>
          </w:tcPr>
          <w:p>
            <w:pPr>
              <w:spacing w:after="0"/>
              <w:rPr>
                <w:sz w:val="18"/>
                <w:szCs w:val="18"/>
                <w:color w:val="auto"/>
              </w:rPr>
            </w:pPr>
          </w:p>
        </w:tc>
        <w:tc>
          <w:tcPr>
            <w:tcW w:w="1580" w:type="dxa"/>
            <w:vAlign w:val="bottom"/>
          </w:tcPr>
          <w:p>
            <w:pPr>
              <w:ind w:left="13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1,300,000</w:t>
            </w:r>
          </w:p>
        </w:tc>
        <w:tc>
          <w:tcPr>
            <w:tcW w:w="1680" w:type="dxa"/>
            <w:vAlign w:val="bottom"/>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Guardian In-Process R&amp;D</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6,800,000</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6,800,000</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06"/>
        </w:trPr>
        <w:tc>
          <w:tcPr>
            <w:tcW w:w="4360" w:type="dxa"/>
            <w:vAlign w:val="bottom"/>
          </w:tcPr>
          <w:p>
            <w:pPr>
              <w:ind w:left="800"/>
              <w:spacing w:after="0"/>
              <w:rPr>
                <w:sz w:val="20"/>
                <w:szCs w:val="20"/>
                <w:color w:val="auto"/>
              </w:rPr>
            </w:pPr>
            <w:r>
              <w:rPr>
                <w:rFonts w:ascii="Arial" w:cs="Arial" w:eastAsia="Arial" w:hAnsi="Arial"/>
                <w:sz w:val="17"/>
                <w:szCs w:val="17"/>
                <w:color w:val="auto"/>
              </w:rPr>
              <w:t>Total other identifiable intangible assets</w:t>
            </w:r>
          </w:p>
        </w:tc>
        <w:tc>
          <w:tcPr>
            <w:tcW w:w="160" w:type="dxa"/>
            <w:vAlign w:val="bottom"/>
          </w:tcPr>
          <w:p>
            <w:pPr>
              <w:spacing w:after="0"/>
              <w:rPr>
                <w:sz w:val="17"/>
                <w:szCs w:val="17"/>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410,755,910</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(196,750,000)</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214,005,910</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7"/>
                <w:szCs w:val="17"/>
                <w:color w:val="auto"/>
              </w:rPr>
              <w:t>As of December 31, 2022:</w:t>
            </w: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1"/>
        </w:trPr>
        <w:tc>
          <w:tcPr>
            <w:tcW w:w="4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360" w:type="dxa"/>
            <w:vAlign w:val="bottom"/>
            <w:vMerge w:val="restart"/>
          </w:tcPr>
          <w:p>
            <w:pPr>
              <w:ind w:left="1440"/>
              <w:spacing w:after="0"/>
              <w:rPr>
                <w:sz w:val="20"/>
                <w:szCs w:val="20"/>
                <w:color w:val="auto"/>
              </w:rPr>
            </w:pPr>
            <w:r>
              <w:rPr>
                <w:rFonts w:ascii="Arial" w:cs="Arial" w:eastAsia="Arial" w:hAnsi="Arial"/>
                <w:sz w:val="13"/>
                <w:szCs w:val="13"/>
                <w:b w:val="1"/>
                <w:bCs w:val="1"/>
                <w:color w:val="auto"/>
              </w:rPr>
              <w:t>Other Intangible Assets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vMerge w:val="restart"/>
          </w:tcPr>
          <w:p>
            <w:pPr>
              <w:jc w:val="right"/>
              <w:ind w:right="518"/>
              <w:spacing w:after="0"/>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24"/>
                <w:szCs w:val="24"/>
                <w:color w:val="auto"/>
              </w:rPr>
            </w:pPr>
          </w:p>
        </w:tc>
        <w:tc>
          <w:tcPr>
            <w:tcW w:w="1400" w:type="dxa"/>
            <w:vAlign w:val="bottom"/>
            <w:gridSpan w:val="2"/>
            <w:vMerge w:val="restart"/>
          </w:tcPr>
          <w:p>
            <w:pPr>
              <w:jc w:val="right"/>
              <w:ind w:right="916"/>
              <w:spacing w:after="0"/>
              <w:rPr>
                <w:sz w:val="20"/>
                <w:szCs w:val="20"/>
                <w:color w:val="auto"/>
              </w:rPr>
            </w:pPr>
            <w:r>
              <w:rPr>
                <w:rFonts w:ascii="Arial" w:cs="Arial" w:eastAsia="Arial" w:hAnsi="Arial"/>
                <w:sz w:val="13"/>
                <w:szCs w:val="13"/>
                <w:b w:val="1"/>
                <w:bCs w:val="1"/>
                <w:color w:val="auto"/>
              </w:rPr>
              <w:t>Net</w:t>
            </w:r>
          </w:p>
        </w:tc>
        <w:tc>
          <w:tcPr>
            <w:tcW w:w="1680" w:type="dxa"/>
            <w:vAlign w:val="bottom"/>
            <w:vMerge w:val="restart"/>
          </w:tcPr>
          <w:p>
            <w:pPr>
              <w:jc w:val="center"/>
              <w:ind w:right="198"/>
              <w:spacing w:after="0"/>
              <w:rPr>
                <w:sz w:val="20"/>
                <w:szCs w:val="20"/>
                <w:color w:val="auto"/>
              </w:rPr>
            </w:pPr>
            <w:r>
              <w:rPr>
                <w:rFonts w:ascii="Arial" w:cs="Arial" w:eastAsia="Arial" w:hAnsi="Arial"/>
                <w:sz w:val="13"/>
                <w:szCs w:val="13"/>
                <w:b w:val="1"/>
                <w:bCs w:val="1"/>
                <w:color w:val="auto"/>
              </w:rPr>
              <w:t>Assumed Useful Life</w:t>
            </w:r>
          </w:p>
        </w:tc>
        <w:tc>
          <w:tcPr>
            <w:tcW w:w="0" w:type="dxa"/>
            <w:vAlign w:val="bottom"/>
          </w:tcPr>
          <w:p>
            <w:pPr>
              <w:spacing w:after="0"/>
              <w:rPr>
                <w:sz w:val="1"/>
                <w:szCs w:val="1"/>
                <w:color w:val="auto"/>
              </w:rPr>
            </w:pPr>
          </w:p>
        </w:tc>
      </w:tr>
      <w:tr>
        <w:trPr>
          <w:trHeight w:val="176"/>
        </w:trPr>
        <w:tc>
          <w:tcPr>
            <w:tcW w:w="43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Amortization</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ind w:left="20"/>
              <w:spacing w:after="0" w:line="207" w:lineRule="exact"/>
              <w:rPr>
                <w:sz w:val="20"/>
                <w:szCs w:val="20"/>
                <w:color w:val="auto"/>
              </w:rPr>
            </w:pPr>
            <w:r>
              <w:rPr>
                <w:rFonts w:ascii="Arial" w:cs="Arial" w:eastAsia="Arial" w:hAnsi="Arial"/>
                <w:sz w:val="17"/>
                <w:szCs w:val="17"/>
                <w:color w:val="auto"/>
              </w:rPr>
              <w:t>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Trade Names and Trademarks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 $</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52,000,000</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jc w:val="center"/>
              <w:ind w:right="198"/>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line="214" w:lineRule="exact"/>
              <w:rPr>
                <w:sz w:val="20"/>
                <w:szCs w:val="20"/>
                <w:color w:val="auto"/>
              </w:rPr>
            </w:pPr>
            <w:r>
              <w:rPr>
                <w:rFonts w:ascii="Arial" w:cs="Arial" w:eastAsia="Arial" w:hAnsi="Arial"/>
                <w:sz w:val="17"/>
                <w:szCs w:val="17"/>
                <w:color w:val="auto"/>
              </w:rPr>
              <w:t>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Technology</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180,000,000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218"/>
              <w:spacing w:after="0"/>
              <w:rPr>
                <w:sz w:val="20"/>
                <w:szCs w:val="20"/>
                <w:color w:val="auto"/>
              </w:rPr>
            </w:pPr>
            <w:r>
              <w:rPr>
                <w:rFonts w:ascii="Arial" w:cs="Arial" w:eastAsia="Arial" w:hAnsi="Arial"/>
                <w:sz w:val="17"/>
                <w:szCs w:val="17"/>
                <w:color w:val="auto"/>
              </w:rPr>
              <w:t>(138,750,000)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41,250,000</w:t>
            </w:r>
          </w:p>
        </w:tc>
        <w:tc>
          <w:tcPr>
            <w:tcW w:w="280" w:type="dxa"/>
            <w:vAlign w:val="bottom"/>
          </w:tcPr>
          <w:p>
            <w:pPr>
              <w:spacing w:after="0"/>
              <w:rPr>
                <w:sz w:val="18"/>
                <w:szCs w:val="18"/>
                <w:color w:val="auto"/>
              </w:rPr>
            </w:pPr>
          </w:p>
        </w:tc>
        <w:tc>
          <w:tcPr>
            <w:tcW w:w="1680" w:type="dxa"/>
            <w:vAlign w:val="bottom"/>
          </w:tcPr>
          <w:p>
            <w:pPr>
              <w:jc w:val="center"/>
              <w:ind w:right="198"/>
              <w:spacing w:after="0"/>
              <w:rPr>
                <w:sz w:val="20"/>
                <w:szCs w:val="20"/>
                <w:color w:val="auto"/>
              </w:rPr>
            </w:pPr>
            <w:r>
              <w:rPr>
                <w:rFonts w:ascii="Arial" w:cs="Arial" w:eastAsia="Arial" w:hAnsi="Arial"/>
                <w:sz w:val="17"/>
                <w:szCs w:val="17"/>
                <w:color w:val="auto"/>
                <w:w w:val="98"/>
              </w:rPr>
              <w:t>12 years</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Existing Customer Platforms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43,000,000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rPr>
              <w:t>(39,775,000)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3,225,000</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198"/>
              <w:spacing w:after="0"/>
              <w:rPr>
                <w:sz w:val="20"/>
                <w:szCs w:val="20"/>
                <w:color w:val="auto"/>
              </w:rPr>
            </w:pPr>
            <w:r>
              <w:rPr>
                <w:rFonts w:ascii="Arial" w:cs="Arial" w:eastAsia="Arial" w:hAnsi="Arial"/>
                <w:sz w:val="17"/>
                <w:szCs w:val="17"/>
                <w:color w:val="auto"/>
                <w:w w:val="98"/>
              </w:rPr>
              <w:t>10 years</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7"/>
                <w:szCs w:val="17"/>
                <w:color w:val="auto"/>
              </w:rPr>
              <w:t>Exclusive Licensing Agreement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96,000,000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ind w:left="10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96,000,000</w:t>
            </w:r>
          </w:p>
        </w:tc>
        <w:tc>
          <w:tcPr>
            <w:tcW w:w="280" w:type="dxa"/>
            <w:vAlign w:val="bottom"/>
          </w:tcPr>
          <w:p>
            <w:pPr>
              <w:spacing w:after="0"/>
              <w:rPr>
                <w:sz w:val="18"/>
                <w:szCs w:val="18"/>
                <w:color w:val="auto"/>
              </w:rPr>
            </w:pPr>
          </w:p>
        </w:tc>
        <w:tc>
          <w:tcPr>
            <w:tcW w:w="1680" w:type="dxa"/>
            <w:vAlign w:val="bottom"/>
          </w:tcPr>
          <w:p>
            <w:pPr>
              <w:jc w:val="center"/>
              <w:ind w:right="198"/>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Vaporsens In-Process R&amp;D</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11,000,000</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198"/>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7"/>
                <w:szCs w:val="17"/>
                <w:color w:val="auto"/>
              </w:rPr>
              <w:t>Argil In-Process R&amp;D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6,278,132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ind w:left="10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6,278,132</w:t>
            </w:r>
          </w:p>
        </w:tc>
        <w:tc>
          <w:tcPr>
            <w:tcW w:w="280" w:type="dxa"/>
            <w:vAlign w:val="bottom"/>
          </w:tcPr>
          <w:p>
            <w:pPr>
              <w:spacing w:after="0"/>
              <w:rPr>
                <w:sz w:val="18"/>
                <w:szCs w:val="18"/>
                <w:color w:val="auto"/>
              </w:rPr>
            </w:pPr>
          </w:p>
        </w:tc>
        <w:tc>
          <w:tcPr>
            <w:tcW w:w="1680" w:type="dxa"/>
            <w:vAlign w:val="bottom"/>
          </w:tcPr>
          <w:p>
            <w:pPr>
              <w:jc w:val="center"/>
              <w:ind w:right="198"/>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Air-Craftglass In-Process R&amp;D</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1,507,778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1,507,778</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198"/>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7"/>
                <w:szCs w:val="17"/>
                <w:color w:val="auto"/>
              </w:rPr>
              <w:t>Guardian Trade Names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1,300,000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ind w:left="10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1,300,000</w:t>
            </w:r>
          </w:p>
        </w:tc>
        <w:tc>
          <w:tcPr>
            <w:tcW w:w="280" w:type="dxa"/>
            <w:vAlign w:val="bottom"/>
          </w:tcPr>
          <w:p>
            <w:pPr>
              <w:spacing w:after="0"/>
              <w:rPr>
                <w:sz w:val="18"/>
                <w:szCs w:val="18"/>
                <w:color w:val="auto"/>
              </w:rPr>
            </w:pPr>
          </w:p>
        </w:tc>
        <w:tc>
          <w:tcPr>
            <w:tcW w:w="1680" w:type="dxa"/>
            <w:vAlign w:val="bottom"/>
          </w:tcPr>
          <w:p>
            <w:pPr>
              <w:jc w:val="center"/>
              <w:ind w:right="198"/>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Guardian In-Process R&amp;D</w:t>
            </w:r>
          </w:p>
        </w:tc>
        <w:tc>
          <w:tcPr>
            <w:tcW w:w="1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6,800,000</w:t>
            </w: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6,800,000</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198"/>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06"/>
        </w:trPr>
        <w:tc>
          <w:tcPr>
            <w:tcW w:w="4360" w:type="dxa"/>
            <w:vAlign w:val="bottom"/>
          </w:tcPr>
          <w:p>
            <w:pPr>
              <w:ind w:left="720"/>
              <w:spacing w:after="0"/>
              <w:rPr>
                <w:sz w:val="20"/>
                <w:szCs w:val="20"/>
                <w:color w:val="auto"/>
              </w:rPr>
            </w:pPr>
            <w:r>
              <w:rPr>
                <w:rFonts w:ascii="Arial" w:cs="Arial" w:eastAsia="Arial" w:hAnsi="Arial"/>
                <w:sz w:val="17"/>
                <w:szCs w:val="17"/>
                <w:color w:val="auto"/>
              </w:rPr>
              <w:t>Total other identifiable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397,885,910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(178,525,000) $</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219,360,910</w:t>
            </w: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Accumulated amortization on patents and intangible assets was approximately $224.7 million and $206.3 million at December 31, 2023 and 2022, respectively. Amortization expense on patents and other intangible assets was approximately $19.7 million, $21.7 million, and $22.2 million in calendar years 2023, 2022 and 2021, respectively. At December 31, 2023, patents had a weighted average amortized life of 11 years.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Excluding the impact of any future acquisitions, the Company anticipates amortization expense including patents and other intangible assets to be approximately: $17 million for the year ended December 31, 2024; $14 million for the year ended December 31, 2025; $3 million for each of the years ended December 31, 2026, December 2027, and December 31, 2028.</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0" w:hanging="479"/>
        <w:spacing w:after="0"/>
        <w:tabs>
          <w:tab w:leader="none" w:pos="4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REVENUE</w:t>
      </w:r>
    </w:p>
    <w:p>
      <w:pPr>
        <w:spacing w:after="0" w:line="232" w:lineRule="exact"/>
        <w:rPr>
          <w:sz w:val="20"/>
          <w:szCs w:val="20"/>
          <w:color w:val="auto"/>
        </w:rPr>
      </w:pPr>
    </w:p>
    <w:p>
      <w:pPr>
        <w:jc w:val="both"/>
        <w:ind w:left="600"/>
        <w:spacing w:after="0" w:line="279" w:lineRule="auto"/>
        <w:rPr>
          <w:sz w:val="20"/>
          <w:szCs w:val="20"/>
          <w:color w:val="auto"/>
        </w:rPr>
      </w:pPr>
      <w:r>
        <w:rPr>
          <w:rFonts w:ascii="Arial" w:cs="Arial" w:eastAsia="Arial" w:hAnsi="Arial"/>
          <w:sz w:val="17"/>
          <w:szCs w:val="17"/>
          <w:color w:val="auto"/>
        </w:rPr>
        <w:t>The following table shows the Company’s Automotive and Other Products revenue disaggregated by geographical location for Automotive Products for the years ended December 31, 2023, 2022, and 2021:</w:t>
      </w:r>
    </w:p>
    <w:p>
      <w:pPr>
        <w:spacing w:after="0" w:line="200" w:lineRule="exact"/>
        <w:rPr>
          <w:sz w:val="20"/>
          <w:szCs w:val="20"/>
          <w:color w:val="auto"/>
        </w:rPr>
      </w:pPr>
    </w:p>
    <w:p>
      <w:pPr>
        <w:spacing w:after="0" w:line="218" w:lineRule="exact"/>
        <w:rPr>
          <w:sz w:val="20"/>
          <w:szCs w:val="20"/>
          <w:color w:val="auto"/>
        </w:rPr>
      </w:pPr>
    </w:p>
    <w:tbl>
      <w:tblPr>
        <w:tblLayout w:type="fixed"/>
        <w:tblInd w:w="600" w:type="dxa"/>
        <w:tblCellMar>
          <w:top w:w="0" w:type="dxa"/>
          <w:left w:w="0" w:type="dxa"/>
          <w:bottom w:w="0" w:type="dxa"/>
          <w:right w:w="0" w:type="dxa"/>
        </w:tblCellMar>
      </w:tblPr>
      <w:tr>
        <w:trPr>
          <w:trHeight w:val="189"/>
        </w:trPr>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30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For the Years ended December 31,</w:t>
            </w: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8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Revenue</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8"/>
              <w:spacing w:after="0"/>
              <w:rPr>
                <w:sz w:val="20"/>
                <w:szCs w:val="20"/>
                <w:color w:val="auto"/>
              </w:rPr>
            </w:pPr>
            <w:r>
              <w:rPr>
                <w:rFonts w:ascii="Arial" w:cs="Arial" w:eastAsia="Arial" w:hAnsi="Arial"/>
                <w:sz w:val="13"/>
                <w:szCs w:val="13"/>
                <w:b w:val="1"/>
                <w:bCs w:val="1"/>
                <w:color w:val="auto"/>
              </w:rPr>
              <w:t>2023</w:t>
            </w:r>
          </w:p>
        </w:tc>
        <w:tc>
          <w:tcPr>
            <w:tcW w:w="3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8"/>
              <w:spacing w:after="0"/>
              <w:rPr>
                <w:sz w:val="20"/>
                <w:szCs w:val="20"/>
                <w:color w:val="auto"/>
              </w:rPr>
            </w:pPr>
            <w:r>
              <w:rPr>
                <w:rFonts w:ascii="Arial" w:cs="Arial" w:eastAsia="Arial" w:hAnsi="Arial"/>
                <w:sz w:val="13"/>
                <w:szCs w:val="13"/>
                <w:b w:val="1"/>
                <w:bCs w:val="1"/>
                <w:color w:val="auto"/>
              </w:rPr>
              <w:t>2022</w:t>
            </w:r>
          </w:p>
        </w:tc>
        <w:tc>
          <w:tcPr>
            <w:tcW w:w="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8"/>
              <w:spacing w:after="0"/>
              <w:rPr>
                <w:sz w:val="20"/>
                <w:szCs w:val="20"/>
                <w:color w:val="auto"/>
              </w:rPr>
            </w:pPr>
            <w:r>
              <w:rPr>
                <w:rFonts w:ascii="Arial" w:cs="Arial" w:eastAsia="Arial" w:hAnsi="Arial"/>
                <w:sz w:val="13"/>
                <w:szCs w:val="13"/>
                <w:b w:val="1"/>
                <w:bCs w:val="1"/>
                <w:color w:val="auto"/>
              </w:rPr>
              <w:t>2021</w:t>
            </w:r>
          </w:p>
        </w:tc>
      </w:tr>
      <w:tr>
        <w:trPr>
          <w:trHeight w:val="207"/>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Automotive Products</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4"/>
        </w:trPr>
        <w:tc>
          <w:tcPr>
            <w:tcW w:w="4160" w:type="dxa"/>
            <w:vAlign w:val="bottom"/>
          </w:tcPr>
          <w:p>
            <w:pPr>
              <w:ind w:left="140"/>
              <w:spacing w:after="0"/>
              <w:rPr>
                <w:sz w:val="20"/>
                <w:szCs w:val="20"/>
                <w:color w:val="auto"/>
              </w:rPr>
            </w:pPr>
            <w:r>
              <w:rPr>
                <w:rFonts w:ascii="Arial" w:cs="Arial" w:eastAsia="Arial" w:hAnsi="Arial"/>
                <w:sz w:val="17"/>
                <w:szCs w:val="17"/>
                <w:color w:val="auto"/>
              </w:rPr>
              <w:t>U.S.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688,164,335</w:t>
            </w:r>
          </w:p>
        </w:tc>
        <w:tc>
          <w:tcPr>
            <w:tcW w:w="660" w:type="dxa"/>
            <w:vAlign w:val="bottom"/>
            <w:gridSpan w:val="2"/>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579,531,611</w:t>
            </w:r>
          </w:p>
        </w:tc>
        <w:tc>
          <w:tcPr>
            <w:tcW w:w="280" w:type="dxa"/>
            <w:vAlign w:val="bottom"/>
          </w:tcPr>
          <w:p>
            <w:pPr>
              <w:spacing w:after="0"/>
              <w:rPr>
                <w:sz w:val="18"/>
                <w:szCs w:val="18"/>
                <w:color w:val="auto"/>
              </w:rPr>
            </w:pP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542,690,346</w:t>
            </w:r>
          </w:p>
        </w:tc>
      </w:tr>
      <w:tr>
        <w:trPr>
          <w:trHeight w:val="214"/>
        </w:trPr>
        <w:tc>
          <w:tcPr>
            <w:tcW w:w="4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Germany</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294,529,611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266,498,398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234,994,551</w:t>
            </w:r>
          </w:p>
        </w:tc>
      </w:tr>
      <w:tr>
        <w:trPr>
          <w:trHeight w:val="214"/>
        </w:trPr>
        <w:tc>
          <w:tcPr>
            <w:tcW w:w="4160" w:type="dxa"/>
            <w:vAlign w:val="bottom"/>
          </w:tcPr>
          <w:p>
            <w:pPr>
              <w:ind w:left="140"/>
              <w:spacing w:after="0"/>
              <w:rPr>
                <w:sz w:val="20"/>
                <w:szCs w:val="20"/>
                <w:color w:val="auto"/>
              </w:rPr>
            </w:pPr>
            <w:r>
              <w:rPr>
                <w:rFonts w:ascii="Arial" w:cs="Arial" w:eastAsia="Arial" w:hAnsi="Arial"/>
                <w:sz w:val="17"/>
                <w:szCs w:val="17"/>
                <w:color w:val="auto"/>
              </w:rPr>
              <w:t>Japan</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323,872,022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234,888,653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211,417,475</w:t>
            </w:r>
          </w:p>
        </w:tc>
      </w:tr>
      <w:tr>
        <w:trPr>
          <w:trHeight w:val="214"/>
        </w:trPr>
        <w:tc>
          <w:tcPr>
            <w:tcW w:w="4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Mexico</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142,082,011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121,553,711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111,761,245</w:t>
            </w:r>
          </w:p>
        </w:tc>
      </w:tr>
      <w:tr>
        <w:trPr>
          <w:trHeight w:val="214"/>
        </w:trPr>
        <w:tc>
          <w:tcPr>
            <w:tcW w:w="4160" w:type="dxa"/>
            <w:vAlign w:val="bottom"/>
          </w:tcPr>
          <w:p>
            <w:pPr>
              <w:ind w:left="140"/>
              <w:spacing w:after="0"/>
              <w:rPr>
                <w:sz w:val="20"/>
                <w:szCs w:val="20"/>
                <w:color w:val="auto"/>
              </w:rPr>
            </w:pPr>
            <w:r>
              <w:rPr>
                <w:rFonts w:ascii="Arial" w:cs="Arial" w:eastAsia="Arial" w:hAnsi="Arial"/>
                <w:sz w:val="17"/>
                <w:szCs w:val="17"/>
                <w:color w:val="auto"/>
              </w:rPr>
              <w:t>Republic of Korea</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149,554,788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95,395,479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67,219,836</w:t>
            </w:r>
          </w:p>
        </w:tc>
      </w:tr>
      <w:tr>
        <w:trPr>
          <w:trHeight w:val="214"/>
        </w:trPr>
        <w:tc>
          <w:tcPr>
            <w:tcW w:w="4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656,457,524</w:t>
            </w: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576,874,606</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529,104,581</w:t>
            </w:r>
          </w:p>
        </w:tc>
      </w:tr>
      <w:tr>
        <w:trPr>
          <w:trHeight w:val="206"/>
        </w:trPr>
        <w:tc>
          <w:tcPr>
            <w:tcW w:w="4160" w:type="dxa"/>
            <w:vAlign w:val="bottom"/>
          </w:tcPr>
          <w:p>
            <w:pPr>
              <w:ind w:left="20"/>
              <w:spacing w:after="0"/>
              <w:rPr>
                <w:sz w:val="20"/>
                <w:szCs w:val="20"/>
                <w:color w:val="auto"/>
              </w:rPr>
            </w:pPr>
            <w:r>
              <w:rPr>
                <w:rFonts w:ascii="Arial" w:cs="Arial" w:eastAsia="Arial" w:hAnsi="Arial"/>
                <w:sz w:val="17"/>
                <w:szCs w:val="17"/>
                <w:color w:val="auto"/>
              </w:rPr>
              <w:t>Total Automotive Products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2,254,660,291</w:t>
            </w:r>
          </w:p>
        </w:tc>
        <w:tc>
          <w:tcPr>
            <w:tcW w:w="320" w:type="dxa"/>
            <w:vAlign w:val="bottom"/>
          </w:tcPr>
          <w:p>
            <w:pPr>
              <w:spacing w:after="0"/>
              <w:rPr>
                <w:sz w:val="17"/>
                <w:szCs w:val="17"/>
                <w:color w:val="auto"/>
              </w:rPr>
            </w:pP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1,874,742,458</w:t>
            </w:r>
          </w:p>
        </w:tc>
        <w:tc>
          <w:tcPr>
            <w:tcW w:w="280" w:type="dxa"/>
            <w:vAlign w:val="bottom"/>
          </w:tcPr>
          <w:p>
            <w:pPr>
              <w:spacing w:after="0"/>
              <w:rPr>
                <w:sz w:val="17"/>
                <w:szCs w:val="17"/>
                <w:color w:val="auto"/>
              </w:rPr>
            </w:pP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1,697,188,034</w:t>
            </w:r>
          </w:p>
        </w:tc>
      </w:tr>
      <w:tr>
        <w:trPr>
          <w:trHeight w:val="214"/>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Products (U.S.)</w:t>
            </w: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44,554,753</w:t>
            </w: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44,215,585</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33,981,895</w:t>
            </w:r>
          </w:p>
        </w:tc>
      </w:tr>
      <w:tr>
        <w:trPr>
          <w:trHeight w:val="206"/>
        </w:trPr>
        <w:tc>
          <w:tcPr>
            <w:tcW w:w="416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2,299,215,044</w:t>
            </w:r>
          </w:p>
        </w:tc>
        <w:tc>
          <w:tcPr>
            <w:tcW w:w="320" w:type="dxa"/>
            <w:vAlign w:val="bottom"/>
          </w:tcPr>
          <w:p>
            <w:pPr>
              <w:spacing w:after="0"/>
              <w:rPr>
                <w:sz w:val="17"/>
                <w:szCs w:val="17"/>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1,918,958,043</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1,731,169,929</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7"/>
        </w:trPr>
        <w:tc>
          <w:tcPr>
            <w:tcW w:w="4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bl>
    <w:p>
      <w:pPr>
        <w:spacing w:after="0" w:line="298" w:lineRule="exact"/>
        <w:rPr>
          <w:sz w:val="20"/>
          <w:szCs w:val="20"/>
          <w:color w:val="auto"/>
        </w:rPr>
      </w:pPr>
    </w:p>
    <w:p>
      <w:pPr>
        <w:jc w:val="both"/>
        <w:ind w:left="600"/>
        <w:spacing w:after="0" w:line="257" w:lineRule="auto"/>
        <w:rPr>
          <w:sz w:val="20"/>
          <w:szCs w:val="20"/>
          <w:color w:val="auto"/>
        </w:rPr>
      </w:pPr>
      <w:r>
        <w:rPr>
          <w:rFonts w:ascii="Arial" w:cs="Arial" w:eastAsia="Arial" w:hAnsi="Arial"/>
          <w:sz w:val="17"/>
          <w:szCs w:val="17"/>
          <w:color w:val="auto"/>
        </w:rPr>
        <w:t>Revenue by geographic area may fluctuate based on many factors, including: exposure to local economic, political and labor conditions;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194" w:lineRule="exact"/>
        <w:rPr>
          <w:sz w:val="20"/>
          <w:szCs w:val="20"/>
          <w:color w:val="auto"/>
        </w:rPr>
      </w:pPr>
    </w:p>
    <w:p>
      <w:pPr>
        <w:jc w:val="both"/>
        <w:ind w:left="600"/>
        <w:spacing w:after="0" w:line="279" w:lineRule="auto"/>
        <w:rPr>
          <w:sz w:val="20"/>
          <w:szCs w:val="20"/>
          <w:color w:val="auto"/>
        </w:rPr>
      </w:pPr>
      <w:r>
        <w:rPr>
          <w:rFonts w:ascii="Arial" w:cs="Arial" w:eastAsia="Arial" w:hAnsi="Arial"/>
          <w:sz w:val="17"/>
          <w:szCs w:val="17"/>
          <w:color w:val="auto"/>
        </w:rPr>
        <w:t>The following table disaggregates the Company’s Automotive and Other revenue by major source for the years ended December 31, 2023, 2022, and 2021:</w:t>
      </w:r>
    </w:p>
    <w:p>
      <w:pPr>
        <w:spacing w:after="0" w:line="216" w:lineRule="exact"/>
        <w:rPr>
          <w:sz w:val="20"/>
          <w:szCs w:val="20"/>
          <w:color w:val="auto"/>
        </w:rPr>
      </w:pPr>
    </w:p>
    <w:tbl>
      <w:tblPr>
        <w:tblLayout w:type="fixed"/>
        <w:tblInd w:w="600" w:type="dxa"/>
        <w:tblCellMar>
          <w:top w:w="0" w:type="dxa"/>
          <w:left w:w="0" w:type="dxa"/>
          <w:bottom w:w="0" w:type="dxa"/>
          <w:right w:w="0" w:type="dxa"/>
        </w:tblCellMar>
      </w:tblPr>
      <w:tr>
        <w:trPr>
          <w:trHeight w:val="189"/>
        </w:trPr>
        <w:tc>
          <w:tcPr>
            <w:tcW w:w="3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600" w:type="dxa"/>
            <w:vAlign w:val="bottom"/>
            <w:gridSpan w:val="4"/>
            <w:shd w:val="clear" w:color="auto" w:fill="CCEEFF"/>
          </w:tcPr>
          <w:p>
            <w:pPr>
              <w:ind w:left="200"/>
              <w:spacing w:after="0"/>
              <w:rPr>
                <w:sz w:val="20"/>
                <w:szCs w:val="20"/>
                <w:color w:val="auto"/>
              </w:rPr>
            </w:pPr>
            <w:r>
              <w:rPr>
                <w:rFonts w:ascii="Arial" w:cs="Arial" w:eastAsia="Arial" w:hAnsi="Arial"/>
                <w:sz w:val="13"/>
                <w:szCs w:val="13"/>
                <w:b w:val="1"/>
                <w:bCs w:val="1"/>
                <w:color w:val="auto"/>
              </w:rPr>
              <w:t>For the Years Ended December 31,</w:t>
            </w: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9"/>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Revenue</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8"/>
              <w:spacing w:after="0"/>
              <w:rPr>
                <w:sz w:val="20"/>
                <w:szCs w:val="20"/>
                <w:color w:val="auto"/>
              </w:rPr>
            </w:pPr>
            <w:r>
              <w:rPr>
                <w:rFonts w:ascii="Arial" w:cs="Arial" w:eastAsia="Arial" w:hAnsi="Arial"/>
                <w:sz w:val="13"/>
                <w:szCs w:val="13"/>
                <w:b w:val="1"/>
                <w:bCs w:val="1"/>
                <w:color w:val="auto"/>
              </w:rPr>
              <w:t>2023</w:t>
            </w:r>
          </w:p>
        </w:tc>
        <w:tc>
          <w:tcPr>
            <w:tcW w:w="4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8"/>
              <w:spacing w:after="0"/>
              <w:rPr>
                <w:sz w:val="20"/>
                <w:szCs w:val="20"/>
                <w:color w:val="auto"/>
              </w:rPr>
            </w:pPr>
            <w:r>
              <w:rPr>
                <w:rFonts w:ascii="Arial" w:cs="Arial" w:eastAsia="Arial" w:hAnsi="Arial"/>
                <w:sz w:val="13"/>
                <w:szCs w:val="13"/>
                <w:b w:val="1"/>
                <w:bCs w:val="1"/>
                <w:color w:val="auto"/>
              </w:rPr>
              <w:t>2022</w:t>
            </w:r>
          </w:p>
        </w:tc>
        <w:tc>
          <w:tcPr>
            <w:tcW w:w="4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8"/>
              <w:spacing w:after="0"/>
              <w:rPr>
                <w:sz w:val="20"/>
                <w:szCs w:val="20"/>
                <w:color w:val="auto"/>
              </w:rPr>
            </w:pPr>
            <w:r>
              <w:rPr>
                <w:rFonts w:ascii="Arial" w:cs="Arial" w:eastAsia="Arial" w:hAnsi="Arial"/>
                <w:sz w:val="13"/>
                <w:szCs w:val="13"/>
                <w:b w:val="1"/>
                <w:bCs w:val="1"/>
                <w:color w:val="auto"/>
              </w:rPr>
              <w:t>2021</w:t>
            </w:r>
          </w:p>
        </w:tc>
      </w:tr>
      <w:tr>
        <w:trPr>
          <w:trHeight w:val="207"/>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Automotive Segment</w:t>
            </w: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4"/>
        </w:trPr>
        <w:tc>
          <w:tcPr>
            <w:tcW w:w="3800" w:type="dxa"/>
            <w:vAlign w:val="bottom"/>
          </w:tcPr>
          <w:p>
            <w:pPr>
              <w:ind w:left="220"/>
              <w:spacing w:after="0"/>
              <w:rPr>
                <w:sz w:val="20"/>
                <w:szCs w:val="20"/>
                <w:color w:val="auto"/>
              </w:rPr>
            </w:pPr>
            <w:r>
              <w:rPr>
                <w:rFonts w:ascii="Arial" w:cs="Arial" w:eastAsia="Arial" w:hAnsi="Arial"/>
                <w:sz w:val="17"/>
                <w:szCs w:val="17"/>
                <w:color w:val="auto"/>
              </w:rPr>
              <w:t>Automotive Mirrors &amp; Electronics</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2,128,473,563</w:t>
            </w:r>
          </w:p>
        </w:tc>
        <w:tc>
          <w:tcPr>
            <w:tcW w:w="780" w:type="dxa"/>
            <w:vAlign w:val="bottom"/>
            <w:gridSpan w:val="2"/>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1,742,196,401</w:t>
            </w:r>
          </w:p>
        </w:tc>
        <w:tc>
          <w:tcPr>
            <w:tcW w:w="420" w:type="dxa"/>
            <w:vAlign w:val="bottom"/>
          </w:tcPr>
          <w:p>
            <w:pPr>
              <w:spacing w:after="0"/>
              <w:rPr>
                <w:sz w:val="18"/>
                <w:szCs w:val="18"/>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1,563,424,443</w:t>
            </w:r>
          </w:p>
        </w:tc>
      </w:tr>
      <w:tr>
        <w:trPr>
          <w:trHeight w:val="214"/>
        </w:trPr>
        <w:tc>
          <w:tcPr>
            <w:tcW w:w="3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HomeLink Modules*</w:t>
            </w:r>
          </w:p>
        </w:tc>
        <w:tc>
          <w:tcPr>
            <w:tcW w:w="3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126,186,728</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132,546,057</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133,763,591</w:t>
            </w:r>
          </w:p>
        </w:tc>
      </w:tr>
      <w:tr>
        <w:trPr>
          <w:trHeight w:val="206"/>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Automotive Products</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2,254,660,291</w:t>
            </w:r>
          </w:p>
        </w:tc>
        <w:tc>
          <w:tcPr>
            <w:tcW w:w="4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1,874,742,458</w:t>
            </w:r>
          </w:p>
        </w:tc>
        <w:tc>
          <w:tcPr>
            <w:tcW w:w="4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1,697,188,034</w:t>
            </w:r>
          </w:p>
        </w:tc>
      </w:tr>
      <w:tr>
        <w:trPr>
          <w:trHeight w:val="232"/>
        </w:trPr>
        <w:tc>
          <w:tcPr>
            <w:tcW w:w="3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4"/>
        </w:trPr>
        <w:tc>
          <w:tcPr>
            <w:tcW w:w="3800" w:type="dxa"/>
            <w:vAlign w:val="bottom"/>
          </w:tcPr>
          <w:p>
            <w:pPr>
              <w:ind w:left="20"/>
              <w:spacing w:after="0"/>
              <w:rPr>
                <w:sz w:val="20"/>
                <w:szCs w:val="20"/>
                <w:color w:val="auto"/>
              </w:rPr>
            </w:pPr>
            <w:r>
              <w:rPr>
                <w:rFonts w:ascii="Arial" w:cs="Arial" w:eastAsia="Arial" w:hAnsi="Arial"/>
                <w:sz w:val="17"/>
                <w:szCs w:val="17"/>
                <w:color w:val="auto"/>
              </w:rPr>
              <w:t>Other Segment</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3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Fire Protection Products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25,927,018</w:t>
            </w:r>
          </w:p>
        </w:tc>
        <w:tc>
          <w:tcPr>
            <w:tcW w:w="78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38,238,092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25,048,697</w:t>
            </w:r>
          </w:p>
        </w:tc>
      </w:tr>
      <w:tr>
        <w:trPr>
          <w:trHeight w:val="214"/>
        </w:trPr>
        <w:tc>
          <w:tcPr>
            <w:tcW w:w="3800" w:type="dxa"/>
            <w:vAlign w:val="bottom"/>
          </w:tcPr>
          <w:p>
            <w:pPr>
              <w:ind w:left="220"/>
              <w:spacing w:after="0"/>
              <w:rPr>
                <w:sz w:val="20"/>
                <w:szCs w:val="20"/>
                <w:color w:val="auto"/>
              </w:rPr>
            </w:pPr>
            <w:r>
              <w:rPr>
                <w:rFonts w:ascii="Arial" w:cs="Arial" w:eastAsia="Arial" w:hAnsi="Arial"/>
                <w:sz w:val="17"/>
                <w:szCs w:val="17"/>
                <w:color w:val="auto"/>
              </w:rPr>
              <w:t>Windows Products</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18,582,949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5,977,493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8,914,798</w:t>
            </w:r>
          </w:p>
        </w:tc>
      </w:tr>
      <w:tr>
        <w:trPr>
          <w:trHeight w:val="214"/>
        </w:trPr>
        <w:tc>
          <w:tcPr>
            <w:tcW w:w="3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Nanofiber Products</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18,400</w:t>
            </w:r>
          </w:p>
        </w:tc>
      </w:tr>
      <w:tr>
        <w:trPr>
          <w:trHeight w:val="214"/>
        </w:trPr>
        <w:tc>
          <w:tcPr>
            <w:tcW w:w="3800" w:type="dxa"/>
            <w:vAlign w:val="bottom"/>
          </w:tcPr>
          <w:p>
            <w:pPr>
              <w:ind w:left="220"/>
              <w:spacing w:after="0"/>
              <w:rPr>
                <w:sz w:val="20"/>
                <w:szCs w:val="20"/>
                <w:color w:val="auto"/>
              </w:rPr>
            </w:pPr>
            <w:r>
              <w:rPr>
                <w:rFonts w:ascii="Arial" w:cs="Arial" w:eastAsia="Arial" w:hAnsi="Arial"/>
                <w:sz w:val="17"/>
                <w:szCs w:val="17"/>
                <w:color w:val="auto"/>
              </w:rPr>
              <w:t>Medical</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44,786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w:t>
            </w: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44,554,753</w:t>
            </w: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44,215,585</w:t>
            </w: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33,981,895</w:t>
            </w:r>
          </w:p>
        </w:tc>
      </w:tr>
    </w:tbl>
    <w:p>
      <w:pPr>
        <w:spacing w:after="0" w:line="23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*Excludes HomeLink revenue related to HomeLink modules integrated into automotive mirrors.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-120650</wp:posOffset>
            </wp:positionV>
            <wp:extent cx="6278880" cy="135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78880" cy="135890"/>
                    </a:xfrm>
                    <a:prstGeom prst="rect">
                      <a:avLst/>
                    </a:prstGeom>
                    <a:noFill/>
                  </pic:spPr>
                </pic:pic>
              </a:graphicData>
            </a:graphic>
          </wp:anchor>
        </w:drawing>
      </w:r>
    </w:p>
    <w:p>
      <w:pPr>
        <w:spacing w:after="0" w:line="288" w:lineRule="exact"/>
        <w:rPr>
          <w:sz w:val="20"/>
          <w:szCs w:val="20"/>
          <w:color w:val="auto"/>
        </w:rPr>
      </w:pPr>
    </w:p>
    <w:p>
      <w:pPr>
        <w:ind w:left="600"/>
        <w:spacing w:after="0" w:line="279" w:lineRule="auto"/>
        <w:rPr>
          <w:sz w:val="20"/>
          <w:szCs w:val="20"/>
          <w:color w:val="auto"/>
        </w:rPr>
      </w:pPr>
      <w:r>
        <w:rPr>
          <w:rFonts w:ascii="Arial" w:cs="Arial" w:eastAsia="Arial" w:hAnsi="Arial"/>
          <w:sz w:val="17"/>
          <w:szCs w:val="17"/>
          <w:color w:val="auto"/>
        </w:rPr>
        <w:t>Revenue is recognized when obligations under the terms of a contract with the customer are satisfied. Such recognition generally occurs with the transfer of control of the products at a point in time. The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ind w:right="600"/>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Company's automotive OEM contracts generally include Long Term Supply Agreements ("LTSA") entered into in the ordinary course of business and Purchase Orders ("PO") whereby the LTSA sometimes stipulates the pricing and delivery terms and is evaluated together with a PO, which identifies the quantity, timing, and the type of product to be transferred. Certain customer contracts do not always have an LTSA, in which case, the contracts are governed by the PO from the customer in conjunction with other mutually agreed upon terms and conditions.</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does not generate revenue from arrangements with multiple deliverables. Revenue is measured as the amount of consideration the Company expects to receive in exchange for transferring goods excluding revenue amounts that are transferred to third parties, such as sales, value add, and other taxes the Company collects concurrently with revenue-producing activities. Costs are incurred to fulfill contracts with the OEM. However, such costs are accounted for under ASC 340-10, and are not treated as fulfillment costs under ASC 340-40.</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Automotive Products Segment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Automotive Rearview Mirrors and Electronics</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manufactures interior electrochromic automatic-dimming rearview mirrors that darken to reduce glare and improve visibility for the driver. These electronic interior mirrors can also include additional electronic features such as compass, microphones, HomeLink</w:t>
      </w:r>
      <w:r>
        <w:rPr>
          <w:rFonts w:ascii="Arial" w:cs="Arial" w:eastAsia="Arial" w:hAnsi="Arial"/>
          <w:sz w:val="20"/>
          <w:szCs w:val="20"/>
          <w:color w:val="auto"/>
          <w:vertAlign w:val="superscript"/>
        </w:rPr>
        <w:t>®</w:t>
      </w:r>
      <w:r>
        <w:rPr>
          <w:rFonts w:ascii="Arial" w:cs="Arial" w:eastAsia="Arial" w:hAnsi="Arial"/>
          <w:sz w:val="16"/>
          <w:szCs w:val="16"/>
          <w:color w:val="auto"/>
        </w:rPr>
        <w:t>, lighting assist and driver assist forward safety camera systems, various lighting systems, various telematics systems, Integrated Toll Module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systems, and a wide variety of displays. The Company also ships interior non-automatic-dimming rearview mirrors with features. 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also include additional features such as turn signal indicators, side blind zone indicators, and courtesy lighting. The Company also ships exterior non-automatic-dimming rearview mirrors with similar electronic features as what is available in its automatic-dimming applications. The Company manufactures other automotive electronics products both inside and outside of the rearview mirror through HomeLink</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applications in the vehicle including the rearview mirror, interior visor, overhead console, or center console.</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For the majority of automotive products, transfer of control and revenue recognition occurs when the Company ships the product from the manufacturing facility to the customer. The Company generally receives payment equal to the price that applies at the time of invoice for most automotive product sales.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Payment terms on automotive part sales to customers range from 15 days to 90 days. Estimated revenue is adjusted at the earlier of when the most likely amount of consideration expected to be received changes or when the consideration becomes fixed.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HomeLink</w:t>
      </w:r>
      <w:r>
        <w:rPr>
          <w:rFonts w:ascii="Arial" w:cs="Arial" w:eastAsia="Arial" w:hAnsi="Arial"/>
          <w:sz w:val="21"/>
          <w:szCs w:val="21"/>
          <w:b w:val="1"/>
          <w:bCs w:val="1"/>
          <w:color w:val="auto"/>
          <w:vertAlign w:val="superscript"/>
        </w:rPr>
        <w:t>®</w:t>
      </w:r>
      <w:r>
        <w:rPr>
          <w:rFonts w:ascii="Arial" w:cs="Arial" w:eastAsia="Arial" w:hAnsi="Arial"/>
          <w:sz w:val="17"/>
          <w:szCs w:val="17"/>
          <w:b w:val="1"/>
          <w:bCs w:val="1"/>
          <w:color w:val="auto"/>
        </w:rPr>
        <w:t xml:space="preserve"> Modules</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Company manufactures and sells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Modules individually, as well as in combination with the automotive mirrors and other advanced features, as described above. For the majority of automotive products, transfer of control and revenue recognition occurs when the Company ships the product from the manufacturing facility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65405</wp:posOffset>
            </wp:positionV>
            <wp:extent cx="716724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640"/>
          </w:cols>
          <w:pgMar w:left="9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0"/>
        <w:spacing w:after="0"/>
        <w:rPr>
          <w:sz w:val="20"/>
          <w:szCs w:val="20"/>
          <w:color w:val="auto"/>
        </w:rPr>
      </w:pPr>
      <w:r>
        <w:rPr>
          <w:rFonts w:ascii="Arial" w:cs="Arial" w:eastAsia="Arial" w:hAnsi="Arial"/>
          <w:sz w:val="17"/>
          <w:szCs w:val="17"/>
          <w:b w:val="1"/>
          <w:bCs w:val="1"/>
          <w:u w:val="single" w:color="auto"/>
          <w:color w:val="auto"/>
        </w:rPr>
        <w:t>Other Segment</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Dimmable Aircraft Windows</w:t>
      </w:r>
    </w:p>
    <w:p>
      <w:pPr>
        <w:spacing w:after="0" w:line="232" w:lineRule="exact"/>
        <w:rPr>
          <w:sz w:val="20"/>
          <w:szCs w:val="20"/>
          <w:color w:val="auto"/>
        </w:rPr>
      </w:pPr>
    </w:p>
    <w:p>
      <w:pPr>
        <w:jc w:val="both"/>
        <w:ind w:left="600"/>
        <w:spacing w:after="0" w:line="263" w:lineRule="auto"/>
        <w:rPr>
          <w:sz w:val="20"/>
          <w:szCs w:val="20"/>
          <w:color w:val="auto"/>
        </w:rPr>
      </w:pPr>
      <w:r>
        <w:rPr>
          <w:rFonts w:ascii="Arial" w:cs="Arial" w:eastAsia="Arial" w:hAnsi="Arial"/>
          <w:sz w:val="17"/>
          <w:szCs w:val="17"/>
          <w:color w:val="auto"/>
        </w:rPr>
        <w:t>The Company supplies variable dimmable windows for the passenger compartment on the Boeing 787 Dreamliner Series of Aircraft. For dimmable aircraft windows, transfer of control and revenue recognition occurs when the Company ships the product from the manufacturing facility to the customer. Payment terms on dimmable aircraft window sales range from 30 days to 45 days.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Fire Protection Products</w:t>
      </w:r>
    </w:p>
    <w:p>
      <w:pPr>
        <w:spacing w:after="0" w:line="232" w:lineRule="exact"/>
        <w:rPr>
          <w:sz w:val="20"/>
          <w:szCs w:val="20"/>
          <w:color w:val="auto"/>
        </w:rPr>
      </w:pPr>
    </w:p>
    <w:p>
      <w:pPr>
        <w:jc w:val="both"/>
        <w:ind w:left="600"/>
        <w:spacing w:after="0" w:line="255" w:lineRule="auto"/>
        <w:rPr>
          <w:sz w:val="20"/>
          <w:szCs w:val="20"/>
          <w:color w:val="auto"/>
        </w:rPr>
      </w:pPr>
      <w:r>
        <w:rPr>
          <w:rFonts w:ascii="Arial" w:cs="Arial" w:eastAsia="Arial" w:hAnsi="Arial"/>
          <w:sz w:val="17"/>
          <w:szCs w:val="17"/>
          <w:color w:val="auto"/>
        </w:rPr>
        <w:t>The Company manufactures photoelectric smoke detectors and alarms, visual signaling alarms, electrochemical carbon monoxide detectors and alarms, audible and visual signaling alarms, and bells and speakers for use in fire detection systems in office buildings, hotels, and other commercial and residential buildings. For fire protection parts, transfer of control and revenue recognition occurs when the Company ships the product from the manufacturing facility to the customer. Payment terms on fire protection part sales to customers range from 30 days to 75 days.</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Nanofiber</w:t>
      </w:r>
    </w:p>
    <w:p>
      <w:pPr>
        <w:spacing w:after="0" w:line="232" w:lineRule="exact"/>
        <w:rPr>
          <w:sz w:val="20"/>
          <w:szCs w:val="20"/>
          <w:color w:val="auto"/>
        </w:rPr>
      </w:pPr>
    </w:p>
    <w:p>
      <w:pPr>
        <w:jc w:val="both"/>
        <w:ind w:left="600"/>
        <w:spacing w:after="0" w:line="279" w:lineRule="auto"/>
        <w:rPr>
          <w:sz w:val="20"/>
          <w:szCs w:val="20"/>
          <w:color w:val="auto"/>
        </w:rPr>
      </w:pPr>
      <w:r>
        <w:rPr>
          <w:rFonts w:ascii="Arial" w:cs="Arial" w:eastAsia="Arial" w:hAnsi="Arial"/>
          <w:sz w:val="17"/>
          <w:szCs w:val="17"/>
          <w:color w:val="auto"/>
        </w:rPr>
        <w:t>The Company acquired Vaporsens in early 2020, which specializes in nanofiber chemical sensing research and development. Vaporsens is primarily involved with research and development of technology related to nanofibers sensing a variety of chemicals and/or compounds. </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Medical</w:t>
      </w:r>
    </w:p>
    <w:p>
      <w:pPr>
        <w:spacing w:after="0" w:line="232" w:lineRule="exact"/>
        <w:rPr>
          <w:sz w:val="20"/>
          <w:szCs w:val="20"/>
          <w:color w:val="auto"/>
        </w:rPr>
      </w:pPr>
    </w:p>
    <w:p>
      <w:pPr>
        <w:jc w:val="both"/>
        <w:ind w:left="600"/>
        <w:spacing w:after="0" w:line="251" w:lineRule="auto"/>
        <w:rPr>
          <w:sz w:val="20"/>
          <w:szCs w:val="20"/>
          <w:color w:val="auto"/>
        </w:rPr>
      </w:pPr>
      <w:r>
        <w:rPr>
          <w:rFonts w:ascii="Arial" w:cs="Arial" w:eastAsia="Arial" w:hAnsi="Arial"/>
          <w:sz w:val="17"/>
          <w:szCs w:val="17"/>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The Company continues to further develop and work on the intelligent medical lighting system in order to assess system performance and work toward obtaining any necessary approvals.</w:t>
      </w:r>
    </w:p>
    <w:p>
      <w:pPr>
        <w:spacing w:after="0" w:line="201" w:lineRule="exact"/>
        <w:rPr>
          <w:sz w:val="20"/>
          <w:szCs w:val="20"/>
          <w:color w:val="auto"/>
        </w:rPr>
      </w:pPr>
    </w:p>
    <w:p>
      <w:pPr>
        <w:jc w:val="both"/>
        <w:ind w:left="600"/>
        <w:spacing w:after="0" w:line="257" w:lineRule="auto"/>
        <w:rPr>
          <w:sz w:val="20"/>
          <w:szCs w:val="20"/>
          <w:color w:val="auto"/>
        </w:rPr>
      </w:pPr>
      <w:r>
        <w:rPr>
          <w:rFonts w:ascii="Arial" w:cs="Arial" w:eastAsia="Arial" w:hAnsi="Arial"/>
          <w:sz w:val="17"/>
          <w:szCs w:val="17"/>
          <w:color w:val="auto"/>
        </w:rPr>
        <w:t>On November 2, 2023, the Company acquired certain technology assets from eSight for approximately $18.9 million in cash, in addition to the 20% equity the Company previously held in the assets, as well as an earn out provision. The technology acquired from eSight provides advanced and versatile low-vision smart glasses for those with visual impairments and is compatible with more than 20 eye conditions including Macular Degeneration, Diabetic Retinopathy, and Stargardt disease.</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0000FF"/>
        </w:rPr>
        <w:t>Note 12, "Acquisitions"</w:t>
      </w:r>
      <w:r>
        <w:rPr>
          <w:rFonts w:ascii="Arial" w:cs="Arial" w:eastAsia="Arial" w:hAnsi="Arial"/>
          <w:sz w:val="17"/>
          <w:szCs w:val="17"/>
          <w:color w:val="auto"/>
        </w:rPr>
        <w:t>, for further information.</w:t>
      </w:r>
    </w:p>
    <w:p>
      <w:pPr>
        <w:spacing w:after="0" w:line="200" w:lineRule="exact"/>
        <w:rPr>
          <w:sz w:val="20"/>
          <w:szCs w:val="20"/>
          <w:color w:val="auto"/>
        </w:rPr>
      </w:pPr>
    </w:p>
    <w:p>
      <w:pPr>
        <w:spacing w:after="0" w:line="259" w:lineRule="exact"/>
        <w:rPr>
          <w:sz w:val="20"/>
          <w:szCs w:val="20"/>
          <w:color w:val="auto"/>
        </w:rPr>
      </w:pPr>
    </w:p>
    <w:p>
      <w:pPr>
        <w:ind w:left="480" w:hanging="479"/>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ACQUISITIONS</w:t>
      </w:r>
    </w:p>
    <w:p>
      <w:pPr>
        <w:spacing w:after="0" w:line="232" w:lineRule="exact"/>
        <w:rPr>
          <w:sz w:val="20"/>
          <w:szCs w:val="20"/>
          <w:color w:val="auto"/>
        </w:rPr>
      </w:pPr>
    </w:p>
    <w:p>
      <w:pPr>
        <w:jc w:val="both"/>
        <w:ind w:left="600"/>
        <w:spacing w:after="0" w:line="253" w:lineRule="auto"/>
        <w:rPr>
          <w:sz w:val="20"/>
          <w:szCs w:val="20"/>
          <w:color w:val="auto"/>
        </w:rPr>
      </w:pPr>
      <w:r>
        <w:rPr>
          <w:rFonts w:ascii="Arial" w:cs="Arial" w:eastAsia="Arial" w:hAnsi="Arial"/>
          <w:sz w:val="17"/>
          <w:szCs w:val="17"/>
          <w:color w:val="auto"/>
        </w:rPr>
        <w:t>On November 2, 2023, the Company acquired certain technology assets from eSight for approximately $18.9 million in cash, the assumption of a $9.4 million promissory note given in exchange for the 20% equity the Company previously held in the assets, as well as an earn out provision over a ten year period. The earn out provision consists of multiple potential payments based on the revenue over the next ten calendar years, with the total earn out not to exceed $70 million. The Company funded the acquisition with cash on hand. The technology acquired from eSight provides advanced and versatile low-vision smart glasses for those with visual impairments and is compatible with more than 20 eye conditions including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65405</wp:posOffset>
            </wp:positionV>
            <wp:extent cx="716724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ind w:right="600"/>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color w:val="auto"/>
        </w:rPr>
        <w:t>Macular Degeneration, Diabetic Retinopathy, and Stargardt disease. These assets will be classified within the Company's Other segment.</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The Company will account for the acquisition under the provisions of FASB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Company is still in the process of verifying data and finalizing information related to the valuation and recording of identifiable intangible assets, net working capital, contingent liabilities, and the resulting effects on the amount of recorded goodwill. The Company expects to finalize these matters within the measurement period, which is currently expected to remain open through the third quarter of 2023. Less than $0.1 million of revenue of the business of eSight was included in the Company's consolidated statement of income and comprehensive income for the year ended December 31, 2023.</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summarizes the fair values of the assets acquired, and the liabilities assumed, as of the acquisition date of November 2,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6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jc w:val="right"/>
              <w:ind w:right="918"/>
              <w:spacing w:after="0"/>
              <w:rPr>
                <w:sz w:val="20"/>
                <w:szCs w:val="20"/>
                <w:color w:val="auto"/>
              </w:rPr>
            </w:pPr>
            <w:r>
              <w:rPr>
                <w:rFonts w:ascii="Arial" w:cs="Arial" w:eastAsia="Arial" w:hAnsi="Arial"/>
                <w:sz w:val="13"/>
                <w:szCs w:val="13"/>
                <w:b w:val="1"/>
                <w:bCs w:val="1"/>
                <w:color w:val="auto"/>
              </w:rPr>
              <w:t>Fair Value</w:t>
            </w:r>
          </w:p>
        </w:tc>
      </w:tr>
      <w:tr>
        <w:trPr>
          <w:trHeight w:val="206"/>
        </w:trPr>
        <w:tc>
          <w:tcPr>
            <w:tcW w:w="72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56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441,228</w:t>
            </w:r>
          </w:p>
        </w:tc>
      </w:tr>
      <w:tr>
        <w:trPr>
          <w:trHeight w:val="214"/>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Personal Property</w:t>
            </w:r>
          </w:p>
        </w:tc>
        <w:tc>
          <w:tcPr>
            <w:tcW w:w="56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r>
      <w:tr>
        <w:trPr>
          <w:trHeight w:val="214"/>
        </w:trPr>
        <w:tc>
          <w:tcPr>
            <w:tcW w:w="7260" w:type="dxa"/>
            <w:vAlign w:val="bottom"/>
          </w:tcPr>
          <w:p>
            <w:pPr>
              <w:ind w:left="20"/>
              <w:spacing w:after="0"/>
              <w:rPr>
                <w:sz w:val="20"/>
                <w:szCs w:val="20"/>
                <w:color w:val="auto"/>
              </w:rPr>
            </w:pPr>
            <w:r>
              <w:rPr>
                <w:rFonts w:ascii="Arial" w:cs="Arial" w:eastAsia="Arial" w:hAnsi="Arial"/>
                <w:sz w:val="17"/>
                <w:szCs w:val="17"/>
                <w:color w:val="auto"/>
              </w:rPr>
              <w:t>Right of Use Asset (Lease)</w:t>
            </w:r>
          </w:p>
        </w:tc>
        <w:tc>
          <w:tcPr>
            <w:tcW w:w="5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116,562</w:t>
            </w:r>
          </w:p>
        </w:tc>
      </w:tr>
      <w:tr>
        <w:trPr>
          <w:trHeight w:val="214"/>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ESight Technology</w:t>
            </w:r>
          </w:p>
        </w:tc>
        <w:tc>
          <w:tcPr>
            <w:tcW w:w="56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12,000,000</w:t>
            </w:r>
          </w:p>
        </w:tc>
      </w:tr>
      <w:tr>
        <w:trPr>
          <w:trHeight w:val="214"/>
        </w:trPr>
        <w:tc>
          <w:tcPr>
            <w:tcW w:w="7260" w:type="dxa"/>
            <w:vAlign w:val="bottom"/>
          </w:tcPr>
          <w:p>
            <w:pPr>
              <w:ind w:left="20"/>
              <w:spacing w:after="0"/>
              <w:rPr>
                <w:sz w:val="20"/>
                <w:szCs w:val="20"/>
                <w:color w:val="auto"/>
              </w:rPr>
            </w:pPr>
            <w:r>
              <w:rPr>
                <w:rFonts w:ascii="Arial" w:cs="Arial" w:eastAsia="Arial" w:hAnsi="Arial"/>
                <w:sz w:val="17"/>
                <w:szCs w:val="17"/>
                <w:color w:val="auto"/>
              </w:rPr>
              <w:t>Trade Names and Trademarks</w:t>
            </w:r>
          </w:p>
        </w:tc>
        <w:tc>
          <w:tcPr>
            <w:tcW w:w="5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870,000</w:t>
            </w:r>
          </w:p>
        </w:tc>
      </w:tr>
      <w:tr>
        <w:trPr>
          <w:trHeight w:val="214"/>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56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26,696,012</w:t>
            </w:r>
          </w:p>
        </w:tc>
      </w:tr>
      <w:tr>
        <w:trPr>
          <w:trHeight w:val="206"/>
        </w:trPr>
        <w:tc>
          <w:tcPr>
            <w:tcW w:w="726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56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40,198,802</w:t>
            </w:r>
          </w:p>
        </w:tc>
      </w:tr>
      <w:tr>
        <w:trPr>
          <w:trHeight w:val="252"/>
        </w:trPr>
        <w:tc>
          <w:tcPr>
            <w:tcW w:w="7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r>
      <w:tr>
        <w:trPr>
          <w:trHeight w:val="214"/>
        </w:trPr>
        <w:tc>
          <w:tcPr>
            <w:tcW w:w="7260" w:type="dxa"/>
            <w:vAlign w:val="bottom"/>
          </w:tcPr>
          <w:p>
            <w:pPr>
              <w:ind w:left="20"/>
              <w:spacing w:after="0"/>
              <w:rPr>
                <w:sz w:val="20"/>
                <w:szCs w:val="20"/>
                <w:color w:val="auto"/>
              </w:rPr>
            </w:pPr>
            <w:r>
              <w:rPr>
                <w:rFonts w:ascii="Arial" w:cs="Arial" w:eastAsia="Arial" w:hAnsi="Arial"/>
                <w:sz w:val="17"/>
                <w:szCs w:val="17"/>
                <w:color w:val="auto"/>
              </w:rPr>
              <w:t>Lease Liability</w:t>
            </w:r>
          </w:p>
        </w:tc>
        <w:tc>
          <w:tcPr>
            <w:tcW w:w="56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116,562</w:t>
            </w:r>
          </w:p>
        </w:tc>
      </w:tr>
      <w:tr>
        <w:trPr>
          <w:trHeight w:val="214"/>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Earn Out Liability</w:t>
            </w:r>
          </w:p>
        </w:tc>
        <w:tc>
          <w:tcPr>
            <w:tcW w:w="56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12,000,000</w:t>
            </w:r>
          </w:p>
        </w:tc>
      </w:tr>
      <w:tr>
        <w:trPr>
          <w:trHeight w:val="206"/>
        </w:trPr>
        <w:tc>
          <w:tcPr>
            <w:tcW w:w="726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560" w:type="dxa"/>
            <w:vAlign w:val="bottom"/>
          </w:tcPr>
          <w:p>
            <w:pPr>
              <w:jc w:val="right"/>
              <w:ind w:right="356"/>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12,116,562</w:t>
            </w:r>
          </w:p>
        </w:tc>
      </w:tr>
      <w:tr>
        <w:trPr>
          <w:trHeight w:val="252"/>
        </w:trPr>
        <w:tc>
          <w:tcPr>
            <w:tcW w:w="7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65405</wp:posOffset>
            </wp:positionV>
            <wp:extent cx="716724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640"/>
          </w:cols>
          <w:pgMar w:left="920" w:top="12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95"/>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w w:val="96"/>
              </w:rPr>
              <w:t>EXHIBIT INDEX</w:t>
            </w:r>
          </w:p>
        </w:tc>
        <w:tc>
          <w:tcPr>
            <w:tcW w:w="5000" w:type="dxa"/>
            <w:vAlign w:val="bottom"/>
            <w:gridSpan w:val="29"/>
          </w:tcPr>
          <w:p>
            <w:pPr>
              <w:spacing w:after="0"/>
              <w:rPr>
                <w:sz w:val="16"/>
                <w:szCs w:val="16"/>
                <w:color w:val="auto"/>
              </w:rPr>
            </w:pPr>
          </w:p>
        </w:tc>
      </w:tr>
      <w:tr>
        <w:trPr>
          <w:trHeight w:val="496"/>
        </w:trPr>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24"/>
                <w:szCs w:val="24"/>
                <w:color w:val="auto"/>
              </w:rPr>
            </w:pPr>
          </w:p>
        </w:tc>
        <w:tc>
          <w:tcPr>
            <w:tcW w:w="9920" w:type="dxa"/>
            <w:vAlign w:val="bottom"/>
            <w:gridSpan w:val="39"/>
          </w:tcPr>
          <w:p>
            <w:pPr>
              <w:spacing w:after="0"/>
              <w:rPr>
                <w:sz w:val="20"/>
                <w:szCs w:val="20"/>
                <w:color w:val="auto"/>
              </w:rPr>
            </w:pPr>
            <w:r>
              <w:rPr>
                <w:rFonts w:ascii="Arial" w:cs="Arial" w:eastAsia="Arial" w:hAnsi="Arial"/>
                <w:sz w:val="13"/>
                <w:szCs w:val="13"/>
                <w:b w:val="1"/>
                <w:bCs w:val="1"/>
                <w:color w:val="auto"/>
              </w:rPr>
              <w:t>DESCRIPTION</w:t>
            </w:r>
          </w:p>
        </w:tc>
      </w:tr>
      <w:tr>
        <w:trPr>
          <w:trHeight w:val="207"/>
        </w:trPr>
        <w:tc>
          <w:tcPr>
            <w:tcW w:w="1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920" w:type="dxa"/>
            <w:vAlign w:val="bottom"/>
            <w:tcBorders>
              <w:top w:val="single" w:sz="8" w:color="auto"/>
            </w:tcBorders>
            <w:gridSpan w:val="39"/>
          </w:tcPr>
          <w:p>
            <w:pPr>
              <w:spacing w:after="0"/>
              <w:rPr>
                <w:rFonts w:ascii="Arial" w:cs="Arial" w:eastAsia="Arial" w:hAnsi="Arial"/>
                <w:sz w:val="17"/>
                <w:szCs w:val="17"/>
                <w:color w:val="0000FF"/>
                <w:w w:val="98"/>
              </w:rPr>
            </w:pPr>
            <w:hyperlink r:id="rId96">
              <w:r>
                <w:rPr>
                  <w:rFonts w:ascii="Arial" w:cs="Arial" w:eastAsia="Arial" w:hAnsi="Arial"/>
                  <w:sz w:val="17"/>
                  <w:szCs w:val="17"/>
                  <w:color w:val="0000FF"/>
                  <w:w w:val="98"/>
                </w:rPr>
                <w:t>Registrant's Restated Articles of Incorporation, adopted on August 20, 2004, were filed as Exhibit 3(a) to Registrant's Report on Form</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9"/>
          </w:tcPr>
          <w:p>
            <w:pPr>
              <w:spacing w:after="0" w:line="144" w:lineRule="exact"/>
              <w:rPr>
                <w:rFonts w:ascii="Arial" w:cs="Arial" w:eastAsia="Arial" w:hAnsi="Arial"/>
                <w:sz w:val="16"/>
                <w:szCs w:val="16"/>
                <w:color w:val="0000FF"/>
              </w:rPr>
            </w:pPr>
            <w:hyperlink r:id="rId97">
              <w:r>
                <w:rPr>
                  <w:rFonts w:ascii="Arial" w:cs="Arial" w:eastAsia="Arial" w:hAnsi="Arial"/>
                  <w:sz w:val="16"/>
                  <w:szCs w:val="16"/>
                  <w:color w:val="0000FF"/>
                </w:rPr>
                <w:t>10-Q dated November 2, 2004, and an Amendment to the Registrant's Restated Articles of Incorporation, adopted as of May 18,</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gridSpan w:val="20"/>
          </w:tcPr>
          <w:p>
            <w:pPr>
              <w:spacing w:after="0" w:line="144" w:lineRule="exact"/>
              <w:rPr>
                <w:rFonts w:ascii="Arial" w:cs="Arial" w:eastAsia="Arial" w:hAnsi="Arial"/>
                <w:sz w:val="16"/>
                <w:szCs w:val="16"/>
                <w:color w:val="0000FF"/>
              </w:rPr>
            </w:pPr>
            <w:hyperlink r:id="rId98">
              <w:r>
                <w:rPr>
                  <w:rFonts w:ascii="Arial" w:cs="Arial" w:eastAsia="Arial" w:hAnsi="Arial"/>
                  <w:sz w:val="16"/>
                  <w:szCs w:val="16"/>
                  <w:color w:val="0000FF"/>
                </w:rPr>
                <w:t>2012, was filed as Exhibit 3.1(i) to the Registrant's Form 8-K dated May 22, 2012, and the same are hereby incorporated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gridSpan w:val="39"/>
          </w:tcPr>
          <w:p>
            <w:pPr>
              <w:spacing w:after="0" w:line="156" w:lineRule="exact"/>
              <w:rPr>
                <w:rFonts w:ascii="Arial" w:cs="Arial" w:eastAsia="Arial" w:hAnsi="Arial"/>
                <w:sz w:val="17"/>
                <w:szCs w:val="17"/>
                <w:color w:val="0000FF"/>
                <w:w w:val="99"/>
              </w:rPr>
            </w:pPr>
            <w:hyperlink r:id="rId98">
              <w:r>
                <w:rPr>
                  <w:rFonts w:ascii="Arial" w:cs="Arial" w:eastAsia="Arial" w:hAnsi="Arial"/>
                  <w:sz w:val="17"/>
                  <w:szCs w:val="17"/>
                  <w:color w:val="0000FF"/>
                  <w:w w:val="99"/>
                </w:rPr>
                <w:t>reference, together with an Amendment to the Registrant's Restated Articles of Incorporation adopted as of May 15, 2014 which was</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bottom w:val="single" w:sz="8" w:color="0000FF"/>
            </w:tcBorders>
            <w:gridSpan w:val="22"/>
          </w:tcPr>
          <w:p>
            <w:pPr>
              <w:spacing w:after="0" w:line="144" w:lineRule="exact"/>
              <w:rPr>
                <w:rFonts w:ascii="Arial" w:cs="Arial" w:eastAsia="Arial" w:hAnsi="Arial"/>
                <w:sz w:val="16"/>
                <w:szCs w:val="16"/>
                <w:color w:val="0000FF"/>
              </w:rPr>
            </w:pPr>
            <w:hyperlink r:id="rId98">
              <w:r>
                <w:rPr>
                  <w:rFonts w:ascii="Arial" w:cs="Arial" w:eastAsia="Arial" w:hAnsi="Arial"/>
                  <w:sz w:val="16"/>
                  <w:szCs w:val="16"/>
                  <w:color w:val="0000FF"/>
                </w:rPr>
                <w:t>included in the Registrant's Proxy statement which was filed with the Commission March 31, 2014 and the same is hereby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Borders>
              <w:bottom w:val="single" w:sz="8" w:color="0000FF"/>
            </w:tcBorders>
            <w:gridSpan w:val="3"/>
          </w:tcPr>
          <w:p>
            <w:pPr>
              <w:spacing w:after="0" w:line="144" w:lineRule="exact"/>
              <w:rPr>
                <w:rFonts w:ascii="Arial" w:cs="Arial" w:eastAsia="Arial" w:hAnsi="Arial"/>
                <w:sz w:val="16"/>
                <w:szCs w:val="16"/>
                <w:color w:val="0000FF"/>
              </w:rPr>
            </w:pPr>
            <w:hyperlink r:id="rId98">
              <w:r>
                <w:rPr>
                  <w:rFonts w:ascii="Arial" w:cs="Arial" w:eastAsia="Arial" w:hAnsi="Arial"/>
                  <w:sz w:val="16"/>
                  <w:szCs w:val="16"/>
                  <w:color w:val="0000FF"/>
                </w:rPr>
                <w:t>incorporated by reference.</w:t>
              </w:r>
            </w:hyperlink>
          </w:p>
        </w:tc>
        <w:tc>
          <w:tcPr>
            <w:tcW w:w="8220" w:type="dxa"/>
            <w:vAlign w:val="bottom"/>
            <w:gridSpan w:val="2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99">
              <w:r>
                <w:rPr>
                  <w:rFonts w:ascii="Arial" w:cs="Arial" w:eastAsia="Arial" w:hAnsi="Arial"/>
                  <w:sz w:val="17"/>
                  <w:szCs w:val="17"/>
                  <w:color w:val="0000FF"/>
                </w:rPr>
                <w:t>Registrant’s Bylaws as amended and restated February 27, 2003, was filed as Exhibit 3(b)(1) to Registrant’s report on Form 10-Q</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23"/>
          </w:tcPr>
          <w:p>
            <w:pPr>
              <w:spacing w:after="0" w:line="144" w:lineRule="exact"/>
              <w:rPr>
                <w:rFonts w:ascii="Arial" w:cs="Arial" w:eastAsia="Arial" w:hAnsi="Arial"/>
                <w:sz w:val="16"/>
                <w:szCs w:val="16"/>
                <w:color w:val="0000FF"/>
              </w:rPr>
            </w:pPr>
            <w:hyperlink r:id="rId100">
              <w:r>
                <w:rPr>
                  <w:rFonts w:ascii="Arial" w:cs="Arial" w:eastAsia="Arial" w:hAnsi="Arial"/>
                  <w:sz w:val="16"/>
                  <w:szCs w:val="16"/>
                  <w:color w:val="0000FF"/>
                </w:rPr>
                <w:t>dated May 5, 2003, and an Amendment to Registrant’s Bylaws adopted as of February 16, 2012 was filed as Exhibit 3(b)(ii) to</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gridSpan w:val="26"/>
          </w:tcPr>
          <w:p>
            <w:pPr>
              <w:spacing w:after="0" w:line="144" w:lineRule="exact"/>
              <w:rPr>
                <w:rFonts w:ascii="Arial" w:cs="Arial" w:eastAsia="Arial" w:hAnsi="Arial"/>
                <w:sz w:val="16"/>
                <w:szCs w:val="16"/>
                <w:color w:val="0000FF"/>
              </w:rPr>
            </w:pPr>
            <w:hyperlink r:id="rId100">
              <w:r>
                <w:rPr>
                  <w:rFonts w:ascii="Arial" w:cs="Arial" w:eastAsia="Arial" w:hAnsi="Arial"/>
                  <w:sz w:val="16"/>
                  <w:szCs w:val="16"/>
                  <w:color w:val="0000FF"/>
                </w:rPr>
                <w:t>Registrant’s Form 8-K dated February 21, 2012 and the same is hereby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96">
              <w:r>
                <w:rPr>
                  <w:rFonts w:ascii="Arial" w:cs="Arial" w:eastAsia="Arial" w:hAnsi="Arial"/>
                  <w:sz w:val="17"/>
                  <w:szCs w:val="17"/>
                  <w:color w:val="0000FF"/>
                </w:rPr>
                <w:t>A specimen form of certificate for the Registrant’s common stock, par value $.06 per share, was filed as part of a Registration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bottom w:val="single" w:sz="8" w:color="0000FF"/>
            </w:tcBorders>
            <w:gridSpan w:val="25"/>
          </w:tcPr>
          <w:p>
            <w:pPr>
              <w:spacing w:after="0" w:line="144" w:lineRule="exact"/>
              <w:rPr>
                <w:rFonts w:ascii="Arial" w:cs="Arial" w:eastAsia="Arial" w:hAnsi="Arial"/>
                <w:sz w:val="16"/>
                <w:szCs w:val="16"/>
                <w:color w:val="0000FF"/>
              </w:rPr>
            </w:pPr>
            <w:hyperlink r:id="rId96">
              <w:r>
                <w:rPr>
                  <w:rFonts w:ascii="Arial" w:cs="Arial" w:eastAsia="Arial" w:hAnsi="Arial"/>
                  <w:sz w:val="16"/>
                  <w:szCs w:val="16"/>
                  <w:color w:val="0000FF"/>
                </w:rPr>
                <w:t>Statement (Registration Number 2-74226C) as Exhibit 3(a), as amended by Amendment No. 3 to such Registration Statement, and</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gridSpan w:val="28"/>
          </w:tcPr>
          <w:p>
            <w:pPr>
              <w:spacing w:after="0" w:line="144" w:lineRule="exact"/>
              <w:rPr>
                <w:rFonts w:ascii="Arial" w:cs="Arial" w:eastAsia="Arial" w:hAnsi="Arial"/>
                <w:sz w:val="16"/>
                <w:szCs w:val="16"/>
                <w:color w:val="0000FF"/>
              </w:rPr>
            </w:pPr>
            <w:hyperlink r:id="rId96">
              <w:r>
                <w:rPr>
                  <w:rFonts w:ascii="Arial" w:cs="Arial" w:eastAsia="Arial" w:hAnsi="Arial"/>
                  <w:sz w:val="16"/>
                  <w:szCs w:val="16"/>
                  <w:color w:val="0000FF"/>
                </w:rPr>
                <w:t>the same is hereby incorporated herein by reference.</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101">
              <w:r>
                <w:rPr>
                  <w:rFonts w:ascii="Arial" w:cs="Arial" w:eastAsia="Arial" w:hAnsi="Arial"/>
                  <w:sz w:val="17"/>
                  <w:szCs w:val="17"/>
                  <w:color w:val="0000FF"/>
                </w:rPr>
                <w:t>Description of Registrant's Securities Registered Pursuant to Section 12 of the Securities Exchange Act of 1934, as amended, was</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80" w:type="dxa"/>
            <w:vAlign w:val="bottom"/>
            <w:tcBorders>
              <w:top w:val="single" w:sz="8" w:color="0000FF"/>
            </w:tcBorders>
            <w:gridSpan w:val="37"/>
          </w:tcPr>
          <w:p>
            <w:pPr>
              <w:spacing w:after="0" w:line="144" w:lineRule="exact"/>
              <w:rPr>
                <w:rFonts w:ascii="Arial" w:cs="Arial" w:eastAsia="Arial" w:hAnsi="Arial"/>
                <w:sz w:val="16"/>
                <w:szCs w:val="16"/>
                <w:color w:val="0000FF"/>
              </w:rPr>
            </w:pPr>
            <w:hyperlink r:id="rId101">
              <w:r>
                <w:rPr>
                  <w:rFonts w:ascii="Arial" w:cs="Arial" w:eastAsia="Arial" w:hAnsi="Arial"/>
                  <w:sz w:val="16"/>
                  <w:szCs w:val="16"/>
                  <w:color w:val="0000FF"/>
                </w:rPr>
                <w:t>filed as Exhibit 4.2 of the Registrant's Form 10-K for the year ended December 31, 2019 with the Commission on February 26, 2020</w:t>
              </w:r>
            </w:hyperlink>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5"/>
          </w:tcPr>
          <w:p>
            <w:pPr>
              <w:spacing w:after="0" w:line="144" w:lineRule="exact"/>
              <w:rPr>
                <w:rFonts w:ascii="Arial" w:cs="Arial" w:eastAsia="Arial" w:hAnsi="Arial"/>
                <w:sz w:val="16"/>
                <w:szCs w:val="16"/>
                <w:color w:val="0000FF"/>
              </w:rPr>
            </w:pPr>
            <w:hyperlink r:id="rId101">
              <w:r>
                <w:rPr>
                  <w:rFonts w:ascii="Arial" w:cs="Arial" w:eastAsia="Arial" w:hAnsi="Arial"/>
                  <w:sz w:val="16"/>
                  <w:szCs w:val="16"/>
                  <w:color w:val="0000FF"/>
                </w:rPr>
                <w:t>and the same is incorporated herein by reference.</w:t>
              </w:r>
            </w:hyperlink>
          </w:p>
        </w:tc>
        <w:tc>
          <w:tcPr>
            <w:tcW w:w="644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102">
              <w:r>
                <w:rPr>
                  <w:rFonts w:ascii="Arial" w:cs="Arial" w:eastAsia="Arial" w:hAnsi="Arial"/>
                  <w:sz w:val="17"/>
                  <w:szCs w:val="17"/>
                  <w:color w:val="0000FF"/>
                </w:rPr>
                <w:t>Gentex Corporation Second Restricted Stock Plan was filed as Exhibit 10(b)(2) to Registrant’s Report on Form 10-Q dated April 27,</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tcBorders>
              <w:top w:val="single" w:sz="8" w:color="0000FF"/>
              <w:bottom w:val="single" w:sz="8" w:color="0000FF"/>
            </w:tcBorders>
            <w:gridSpan w:val="9"/>
          </w:tcPr>
          <w:p>
            <w:pPr>
              <w:spacing w:after="0" w:line="144" w:lineRule="exact"/>
              <w:rPr>
                <w:rFonts w:ascii="Arial" w:cs="Arial" w:eastAsia="Arial" w:hAnsi="Arial"/>
                <w:sz w:val="16"/>
                <w:szCs w:val="16"/>
                <w:color w:val="0000FF"/>
              </w:rPr>
            </w:pPr>
            <w:hyperlink r:id="rId102">
              <w:r>
                <w:rPr>
                  <w:rFonts w:ascii="Arial" w:cs="Arial" w:eastAsia="Arial" w:hAnsi="Arial"/>
                  <w:sz w:val="16"/>
                  <w:szCs w:val="16"/>
                  <w:color w:val="0000FF"/>
                </w:rPr>
                <w:t>2001, and the same is hereby incorporated herein by reference.</w:t>
              </w:r>
            </w:hyperlink>
          </w:p>
        </w:tc>
        <w:tc>
          <w:tcPr>
            <w:tcW w:w="5440" w:type="dxa"/>
            <w:vAlign w:val="bottom"/>
            <w:tcBorders>
              <w:top w:val="single" w:sz="8" w:color="0000FF"/>
            </w:tcBorders>
            <w:gridSpan w:val="2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w w:val="99"/>
              </w:rPr>
            </w:pPr>
            <w:hyperlink r:id="rId103">
              <w:r>
                <w:rPr>
                  <w:rFonts w:ascii="Arial" w:cs="Arial" w:eastAsia="Arial" w:hAnsi="Arial"/>
                  <w:sz w:val="17"/>
                  <w:szCs w:val="17"/>
                  <w:color w:val="0000FF"/>
                  <w:w w:val="99"/>
                </w:rPr>
                <w:t>First Amendment to the Gentex Corporation Second Restricted Stock Plan was filed as Exhibit 10(b)(5) to the Registrant’s Report 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0" w:type="dxa"/>
            <w:vAlign w:val="bottom"/>
            <w:tcBorders>
              <w:top w:val="single" w:sz="8" w:color="0000FF"/>
              <w:bottom w:val="single" w:sz="8" w:color="0000FF"/>
            </w:tcBorders>
            <w:gridSpan w:val="13"/>
          </w:tcPr>
          <w:p>
            <w:pPr>
              <w:spacing w:after="0" w:line="144" w:lineRule="exact"/>
              <w:rPr>
                <w:rFonts w:ascii="Arial" w:cs="Arial" w:eastAsia="Arial" w:hAnsi="Arial"/>
                <w:sz w:val="16"/>
                <w:szCs w:val="16"/>
                <w:color w:val="0000FF"/>
              </w:rPr>
            </w:pPr>
            <w:hyperlink r:id="rId103">
              <w:r>
                <w:rPr>
                  <w:rFonts w:ascii="Arial" w:cs="Arial" w:eastAsia="Arial" w:hAnsi="Arial"/>
                  <w:sz w:val="16"/>
                  <w:szCs w:val="16"/>
                  <w:color w:val="0000FF"/>
                </w:rPr>
                <w:t>Form 10-Q dated August 4, 2008, and the same is hereby incorporated herein by reference.</w:t>
              </w:r>
            </w:hyperlink>
          </w:p>
        </w:tc>
        <w:tc>
          <w:tcPr>
            <w:tcW w:w="3200" w:type="dxa"/>
            <w:vAlign w:val="bottom"/>
            <w:tcBorders>
              <w:top w:val="single" w:sz="8" w:color="0000FF"/>
            </w:tcBorders>
            <w:gridSpan w:val="11"/>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104">
              <w:r>
                <w:rPr>
                  <w:rFonts w:ascii="Arial" w:cs="Arial" w:eastAsia="Arial" w:hAnsi="Arial"/>
                  <w:sz w:val="17"/>
                  <w:szCs w:val="17"/>
                  <w:color w:val="0000FF"/>
                </w:rPr>
                <w:t>Gentex Corporation 2012 Amended and Restated Non-Employee Director Stock Option Plan (effective February 16, 2012 and</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0"/>
          </w:tcPr>
          <w:p>
            <w:pPr>
              <w:spacing w:after="0" w:line="144" w:lineRule="exact"/>
              <w:rPr>
                <w:rFonts w:ascii="Arial" w:cs="Arial" w:eastAsia="Arial" w:hAnsi="Arial"/>
                <w:sz w:val="16"/>
                <w:szCs w:val="16"/>
                <w:color w:val="0000FF"/>
              </w:rPr>
            </w:pPr>
            <w:hyperlink r:id="rId104">
              <w:r>
                <w:rPr>
                  <w:rFonts w:ascii="Arial" w:cs="Arial" w:eastAsia="Arial" w:hAnsi="Arial"/>
                  <w:sz w:val="16"/>
                  <w:szCs w:val="16"/>
                  <w:color w:val="0000FF"/>
                </w:rPr>
                <w:t>approved by the shareholders on May 17, 2012), was filed as Exhibit 10(b)(10) to Registrant's Report on Form 10-Q dated August 2,</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60" w:type="dxa"/>
            <w:vAlign w:val="bottom"/>
            <w:tcBorders>
              <w:top w:val="single" w:sz="8" w:color="0000FF"/>
              <w:bottom w:val="single" w:sz="8" w:color="0000FF"/>
            </w:tcBorders>
            <w:gridSpan w:val="8"/>
          </w:tcPr>
          <w:p>
            <w:pPr>
              <w:spacing w:after="0" w:line="144" w:lineRule="exact"/>
              <w:rPr>
                <w:rFonts w:ascii="Arial" w:cs="Arial" w:eastAsia="Arial" w:hAnsi="Arial"/>
                <w:sz w:val="16"/>
                <w:szCs w:val="16"/>
                <w:color w:val="0000FF"/>
              </w:rPr>
            </w:pPr>
            <w:hyperlink r:id="rId104">
              <w:r>
                <w:rPr>
                  <w:rFonts w:ascii="Arial" w:cs="Arial" w:eastAsia="Arial" w:hAnsi="Arial"/>
                  <w:sz w:val="16"/>
                  <w:szCs w:val="16"/>
                  <w:color w:val="0000FF"/>
                </w:rPr>
                <w:t>2012, and the same is incorporated herein by reference.</w:t>
              </w:r>
            </w:hyperlink>
          </w:p>
        </w:tc>
        <w:tc>
          <w:tcPr>
            <w:tcW w:w="5940" w:type="dxa"/>
            <w:vAlign w:val="bottom"/>
            <w:tcBorders>
              <w:top w:val="single" w:sz="8" w:color="0000FF"/>
            </w:tcBorders>
            <w:gridSpan w:val="21"/>
          </w:tcPr>
          <w:p>
            <w:pPr>
              <w:spacing w:after="0"/>
              <w:rPr>
                <w:sz w:val="12"/>
                <w:szCs w:val="12"/>
                <w:color w:val="auto"/>
              </w:rPr>
            </w:pPr>
          </w:p>
        </w:tc>
        <w:tc>
          <w:tcPr>
            <w:tcW w:w="1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105">
              <w:r>
                <w:rPr>
                  <w:rFonts w:ascii="Arial" w:cs="Arial" w:eastAsia="Arial" w:hAnsi="Arial"/>
                  <w:sz w:val="17"/>
                  <w:szCs w:val="17"/>
                  <w:color w:val="0000FF"/>
                </w:rPr>
                <w:t>Specimen form of Grant Agreement for the Gentex Corporation 2012 Amended and Restated Non-Employee Director Stock Option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40" w:type="dxa"/>
            <w:vAlign w:val="bottom"/>
            <w:tcBorders>
              <w:top w:val="single" w:sz="8" w:color="0000FF"/>
              <w:bottom w:val="single" w:sz="8" w:color="0000FF"/>
            </w:tcBorders>
            <w:gridSpan w:val="35"/>
          </w:tcPr>
          <w:p>
            <w:pPr>
              <w:spacing w:after="0" w:line="144" w:lineRule="exact"/>
              <w:rPr>
                <w:rFonts w:ascii="Arial" w:cs="Arial" w:eastAsia="Arial" w:hAnsi="Arial"/>
                <w:sz w:val="16"/>
                <w:szCs w:val="16"/>
                <w:color w:val="0000FF"/>
              </w:rPr>
            </w:pPr>
            <w:hyperlink r:id="rId105">
              <w:r>
                <w:rPr>
                  <w:rFonts w:ascii="Arial" w:cs="Arial" w:eastAsia="Arial" w:hAnsi="Arial"/>
                  <w:sz w:val="16"/>
                  <w:szCs w:val="16"/>
                  <w:color w:val="0000FF"/>
                </w:rPr>
                <w:t>Plan, was filed as Exhibit 10(b)(11) to Registrant's Report on Form 10-Q dated August 2, 2012, and the same is incorporated herein</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bottom w:val="single" w:sz="8" w:color="0000FF"/>
            </w:tcBorders>
            <w:gridSpan w:val="2"/>
          </w:tcPr>
          <w:p>
            <w:pPr>
              <w:spacing w:after="0" w:line="144" w:lineRule="exact"/>
              <w:rPr>
                <w:rFonts w:ascii="Arial" w:cs="Arial" w:eastAsia="Arial" w:hAnsi="Arial"/>
                <w:sz w:val="16"/>
                <w:szCs w:val="16"/>
                <w:color w:val="0000FF"/>
              </w:rPr>
            </w:pPr>
            <w:hyperlink r:id="rId105">
              <w:r>
                <w:rPr>
                  <w:rFonts w:ascii="Arial" w:cs="Arial" w:eastAsia="Arial" w:hAnsi="Arial"/>
                  <w:sz w:val="16"/>
                  <w:szCs w:val="16"/>
                  <w:color w:val="0000FF"/>
                </w:rPr>
                <w:t>by reference.</w:t>
              </w:r>
            </w:hyperlink>
          </w:p>
        </w:tc>
        <w:tc>
          <w:tcPr>
            <w:tcW w:w="9280" w:type="dxa"/>
            <w:vAlign w:val="bottom"/>
            <w:gridSpan w:val="34"/>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w w:val="98"/>
              </w:rPr>
            </w:pPr>
            <w:hyperlink r:id="rId106">
              <w:r>
                <w:rPr>
                  <w:rFonts w:ascii="Arial" w:cs="Arial" w:eastAsia="Arial" w:hAnsi="Arial"/>
                  <w:sz w:val="17"/>
                  <w:szCs w:val="17"/>
                  <w:color w:val="0000FF"/>
                  <w:w w:val="98"/>
                </w:rPr>
                <w:t>2013 Gentex Corporation Employee Stock Purchase Plan was included in Registrant's Proxy Statement filed with the Commission 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top w:val="single" w:sz="8" w:color="0000FF"/>
              <w:bottom w:val="single" w:sz="8" w:color="0000FF"/>
            </w:tcBorders>
            <w:gridSpan w:val="7"/>
          </w:tcPr>
          <w:p>
            <w:pPr>
              <w:spacing w:after="0" w:line="144" w:lineRule="exact"/>
              <w:rPr>
                <w:rFonts w:ascii="Arial" w:cs="Arial" w:eastAsia="Arial" w:hAnsi="Arial"/>
                <w:sz w:val="16"/>
                <w:szCs w:val="16"/>
                <w:color w:val="0000FF"/>
              </w:rPr>
            </w:pPr>
            <w:hyperlink r:id="rId106">
              <w:r>
                <w:rPr>
                  <w:rFonts w:ascii="Arial" w:cs="Arial" w:eastAsia="Arial" w:hAnsi="Arial"/>
                  <w:sz w:val="16"/>
                  <w:szCs w:val="16"/>
                  <w:color w:val="0000FF"/>
                </w:rPr>
                <w:t>April 5, 2013, and is incorporated herein by reference.</w:t>
              </w:r>
            </w:hyperlink>
          </w:p>
        </w:tc>
        <w:tc>
          <w:tcPr>
            <w:tcW w:w="6140" w:type="dxa"/>
            <w:vAlign w:val="bottom"/>
            <w:tcBorders>
              <w:top w:val="single" w:sz="8" w:color="0000FF"/>
            </w:tcBorders>
            <w:gridSpan w:val="2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6917" w:type="dxa"/>
            <w:vAlign w:val="bottom"/>
          </w:tcPr>
          <w:p>
            <w:pPr>
              <w:spacing w:after="0"/>
              <w:rPr>
                <w:sz w:val="12"/>
                <w:szCs w:val="12"/>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107">
              <w:r>
                <w:rPr>
                  <w:rFonts w:ascii="Arial" w:cs="Arial" w:eastAsia="Arial" w:hAnsi="Arial"/>
                  <w:sz w:val="17"/>
                  <w:szCs w:val="17"/>
                  <w:color w:val="0000FF"/>
                </w:rPr>
                <w:t>The form of Indemnity Agreement between Registrant and each of the Registrant’s directors and certain officers was filed as Exhibit</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17"/>
          </w:tcPr>
          <w:p>
            <w:pPr>
              <w:spacing w:after="0" w:line="144" w:lineRule="exact"/>
              <w:rPr>
                <w:rFonts w:ascii="Arial" w:cs="Arial" w:eastAsia="Arial" w:hAnsi="Arial"/>
                <w:sz w:val="16"/>
                <w:szCs w:val="16"/>
                <w:color w:val="0000FF"/>
              </w:rPr>
            </w:pPr>
            <w:hyperlink r:id="rId107">
              <w:r>
                <w:rPr>
                  <w:rFonts w:ascii="Arial" w:cs="Arial" w:eastAsia="Arial" w:hAnsi="Arial"/>
                  <w:sz w:val="16"/>
                  <w:szCs w:val="16"/>
                  <w:color w:val="0000FF"/>
                </w:rPr>
                <w:t>10(e) to Registrant’s Report on Form 10-Q dated October 31, 2002, and the same is hereby incorporated herein by reference.</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14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6840" w:type="dxa"/>
            <w:vAlign w:val="bottom"/>
            <w:gridSpan w:val="11"/>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257"/>
        </w:trPr>
        <w:tc>
          <w:tcPr>
            <w:tcW w:w="1180" w:type="dxa"/>
            <w:vAlign w:val="bottom"/>
          </w:tcPr>
          <w:p>
            <w:pPr>
              <w:ind w:left="20"/>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20" w:type="dxa"/>
            <w:vAlign w:val="bottom"/>
            <w:gridSpan w:val="39"/>
          </w:tcPr>
          <w:p>
            <w:pPr>
              <w:spacing w:after="0"/>
              <w:rPr>
                <w:rFonts w:ascii="Arial" w:cs="Arial" w:eastAsia="Arial" w:hAnsi="Arial"/>
                <w:sz w:val="17"/>
                <w:szCs w:val="17"/>
                <w:color w:val="0000FF"/>
              </w:rPr>
            </w:pPr>
            <w:hyperlink r:id="rId98">
              <w:r>
                <w:rPr>
                  <w:rFonts w:ascii="Arial" w:cs="Arial" w:eastAsia="Arial" w:hAnsi="Arial"/>
                  <w:sz w:val="17"/>
                  <w:szCs w:val="17"/>
                  <w:color w:val="0000FF"/>
                </w:rPr>
                <w:t>Gentex Corporation Employee Stock Option Plan (as amended and restated, effective February 20, 2014) was included in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1"/>
          </w:tcPr>
          <w:p>
            <w:pPr>
              <w:spacing w:after="0" w:line="144" w:lineRule="exact"/>
              <w:rPr>
                <w:rFonts w:ascii="Arial" w:cs="Arial" w:eastAsia="Arial" w:hAnsi="Arial"/>
                <w:sz w:val="16"/>
                <w:szCs w:val="16"/>
                <w:color w:val="0000FF"/>
              </w:rPr>
            </w:pPr>
            <w:hyperlink r:id="rId98">
              <w:r>
                <w:rPr>
                  <w:rFonts w:ascii="Arial" w:cs="Arial" w:eastAsia="Arial" w:hAnsi="Arial"/>
                  <w:sz w:val="16"/>
                  <w:szCs w:val="16"/>
                  <w:color w:val="0000FF"/>
                </w:rPr>
                <w:t>Registrant's Proxy Statement filed with the Commission on March 31, 2014, and the same is hereby incorporated herein by</w:t>
              </w:r>
            </w:hyperlink>
          </w:p>
        </w:tc>
        <w:tc>
          <w:tcPr>
            <w:tcW w:w="120" w:type="dxa"/>
            <w:vAlign w:val="bottom"/>
            <w:gridSpan w:val="6"/>
          </w:tcPr>
          <w:p>
            <w:pPr>
              <w:spacing w:after="0"/>
              <w:rPr>
                <w:sz w:val="12"/>
                <w:szCs w:val="12"/>
                <w:color w:val="auto"/>
              </w:rPr>
            </w:pPr>
          </w:p>
        </w:tc>
        <w:tc>
          <w:tcPr>
            <w:tcW w:w="14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0"/>
          </w:tcPr>
          <w:p>
            <w:pPr>
              <w:spacing w:after="0" w:line="144" w:lineRule="exact"/>
              <w:rPr>
                <w:rFonts w:ascii="Arial" w:cs="Arial" w:eastAsia="Arial" w:hAnsi="Arial"/>
                <w:sz w:val="16"/>
                <w:szCs w:val="16"/>
                <w:color w:val="0000FF"/>
              </w:rPr>
            </w:pPr>
            <w:hyperlink r:id="rId98">
              <w:r>
                <w:rPr>
                  <w:rFonts w:ascii="Arial" w:cs="Arial" w:eastAsia="Arial" w:hAnsi="Arial"/>
                  <w:sz w:val="16"/>
                  <w:szCs w:val="16"/>
                  <w:color w:val="0000FF"/>
                </w:rPr>
                <w:t>reference.</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307"/>
        </w:trPr>
        <w:tc>
          <w:tcPr>
            <w:tcW w:w="1180" w:type="dxa"/>
            <w:vAlign w:val="bottom"/>
          </w:tcPr>
          <w:p>
            <w:pPr>
              <w:ind w:left="20"/>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9"/>
          </w:tcPr>
          <w:p>
            <w:pPr>
              <w:spacing w:after="0"/>
              <w:rPr>
                <w:rFonts w:ascii="Arial" w:cs="Arial" w:eastAsia="Arial" w:hAnsi="Arial"/>
                <w:sz w:val="17"/>
                <w:szCs w:val="17"/>
                <w:color w:val="0000FF"/>
              </w:rPr>
            </w:pPr>
            <w:hyperlink r:id="rId108">
              <w:r>
                <w:rPr>
                  <w:rFonts w:ascii="Arial" w:cs="Arial" w:eastAsia="Arial" w:hAnsi="Arial"/>
                  <w:sz w:val="17"/>
                  <w:szCs w:val="17"/>
                  <w:color w:val="0000FF"/>
                </w:rPr>
                <w:t>Specimen form of Grant Agreement for the Gentex Corporation Employee Stock Option Plan (as amended and restated, effective</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300" w:type="dxa"/>
            <w:vAlign w:val="bottom"/>
            <w:tcBorders>
              <w:top w:val="single" w:sz="8" w:color="0000FF"/>
            </w:tcBorders>
            <w:gridSpan w:val="38"/>
          </w:tcPr>
          <w:p>
            <w:pPr>
              <w:spacing w:after="0" w:line="144" w:lineRule="exact"/>
              <w:rPr>
                <w:rFonts w:ascii="Arial" w:cs="Arial" w:eastAsia="Arial" w:hAnsi="Arial"/>
                <w:sz w:val="16"/>
                <w:szCs w:val="16"/>
                <w:color w:val="0000FF"/>
              </w:rPr>
            </w:pPr>
            <w:hyperlink r:id="rId108">
              <w:r>
                <w:rPr>
                  <w:rFonts w:ascii="Arial" w:cs="Arial" w:eastAsia="Arial" w:hAnsi="Arial"/>
                  <w:sz w:val="16"/>
                  <w:szCs w:val="16"/>
                  <w:color w:val="0000FF"/>
                </w:rPr>
                <w:t>February 10, 2014 was filed as exhibit 10.3 to Registrant's Report on Form 10-Q filed August 7, 2014, and the same is hereby</w:t>
              </w:r>
            </w:hyperlink>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18"/>
          </w:tcPr>
          <w:p>
            <w:pPr>
              <w:spacing w:after="0" w:line="144" w:lineRule="exact"/>
              <w:rPr>
                <w:rFonts w:ascii="Arial" w:cs="Arial" w:eastAsia="Arial" w:hAnsi="Arial"/>
                <w:sz w:val="16"/>
                <w:szCs w:val="16"/>
                <w:color w:val="0000FF"/>
              </w:rPr>
            </w:pPr>
            <w:hyperlink r:id="rId108">
              <w:r>
                <w:rPr>
                  <w:rFonts w:ascii="Arial" w:cs="Arial" w:eastAsia="Arial" w:hAnsi="Arial"/>
                  <w:sz w:val="16"/>
                  <w:szCs w:val="16"/>
                  <w:color w:val="0000FF"/>
                </w:rPr>
                <w:t>incorporated herein by reference.</w:t>
              </w:r>
            </w:hyperlink>
          </w:p>
        </w:tc>
        <w:tc>
          <w:tcPr>
            <w:tcW w:w="180" w:type="dxa"/>
            <w:vAlign w:val="bottom"/>
            <w:gridSpan w:val="9"/>
          </w:tcPr>
          <w:p>
            <w:pPr>
              <w:spacing w:after="0"/>
              <w:rPr>
                <w:sz w:val="12"/>
                <w:szCs w:val="12"/>
                <w:color w:val="auto"/>
              </w:rPr>
            </w:pPr>
          </w:p>
        </w:tc>
        <w:tc>
          <w:tcPr>
            <w:tcW w:w="14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294966997" w:type="dxa"/>
            <w:vAlign w:val="bottom"/>
            <w:gridSpan w:val="5"/>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97" w:type="dxa"/>
            <w:vAlign w:val="bottom"/>
            <w:gridSpan w:val="5"/>
          </w:tcPr>
          <w:p>
            <w:pPr>
              <w:spacing w:after="0" w:line="20" w:lineRule="exact"/>
              <w:rPr>
                <w:sz w:val="1"/>
                <w:szCs w:val="1"/>
                <w:color w:val="auto"/>
              </w:rPr>
            </w:pPr>
          </w:p>
        </w:tc>
      </w:tr>
      <w:tr>
        <w:trPr>
          <w:trHeight w:val="307"/>
        </w:trPr>
        <w:tc>
          <w:tcPr>
            <w:tcW w:w="1180" w:type="dxa"/>
            <w:vAlign w:val="bottom"/>
          </w:tcPr>
          <w:p>
            <w:pPr>
              <w:ind w:left="20"/>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9"/>
          </w:tcPr>
          <w:p>
            <w:pPr>
              <w:spacing w:after="0"/>
              <w:rPr>
                <w:rFonts w:ascii="Arial" w:cs="Arial" w:eastAsia="Arial" w:hAnsi="Arial"/>
                <w:sz w:val="17"/>
                <w:szCs w:val="17"/>
                <w:color w:val="0000FF"/>
              </w:rPr>
            </w:pPr>
            <w:hyperlink r:id="rId98">
              <w:r>
                <w:rPr>
                  <w:rFonts w:ascii="Arial" w:cs="Arial" w:eastAsia="Arial" w:hAnsi="Arial"/>
                  <w:sz w:val="17"/>
                  <w:szCs w:val="17"/>
                  <w:color w:val="0000FF"/>
                </w:rPr>
                <w:t>Amendment to the Gentex Corporation 2012 Amended and Restated Non-Employee Director Stock Option Plan (effective February</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tcBorders>
              <w:top w:val="single" w:sz="8" w:color="0000FF"/>
            </w:tcBorders>
            <w:gridSpan w:val="33"/>
          </w:tcPr>
          <w:p>
            <w:pPr>
              <w:spacing w:after="0" w:line="144" w:lineRule="exact"/>
              <w:rPr>
                <w:rFonts w:ascii="Arial" w:cs="Arial" w:eastAsia="Arial" w:hAnsi="Arial"/>
                <w:sz w:val="16"/>
                <w:szCs w:val="16"/>
                <w:color w:val="0000FF"/>
              </w:rPr>
            </w:pPr>
            <w:hyperlink r:id="rId98">
              <w:r>
                <w:rPr>
                  <w:rFonts w:ascii="Arial" w:cs="Arial" w:eastAsia="Arial" w:hAnsi="Arial"/>
                  <w:sz w:val="16"/>
                  <w:szCs w:val="16"/>
                  <w:color w:val="0000FF"/>
                </w:rPr>
                <w:t>16, 2012) was included in the Registrant's Proxy Statement filed with the Commission on March 31, 2014, and the same is hereby</w:t>
              </w:r>
            </w:hyperlink>
          </w:p>
        </w:tc>
        <w:tc>
          <w:tcPr>
            <w:tcW w:w="20" w:type="dxa"/>
            <w:vAlign w:val="bottom"/>
          </w:tcPr>
          <w:p>
            <w:pPr>
              <w:spacing w:after="0"/>
              <w:rPr>
                <w:sz w:val="12"/>
                <w:szCs w:val="12"/>
                <w:color w:val="auto"/>
              </w:rPr>
            </w:pPr>
          </w:p>
        </w:tc>
        <w:tc>
          <w:tcPr>
            <w:tcW w:w="4294966997" w:type="dxa"/>
            <w:vAlign w:val="bottom"/>
            <w:gridSpan w:val="5"/>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7"/>
          </w:tcPr>
          <w:p>
            <w:pPr>
              <w:spacing w:after="0" w:line="144" w:lineRule="exact"/>
              <w:rPr>
                <w:rFonts w:ascii="Arial" w:cs="Arial" w:eastAsia="Arial" w:hAnsi="Arial"/>
                <w:sz w:val="16"/>
                <w:szCs w:val="16"/>
                <w:color w:val="0000FF"/>
              </w:rPr>
            </w:pPr>
            <w:hyperlink r:id="rId98">
              <w:r>
                <w:rPr>
                  <w:rFonts w:ascii="Arial" w:cs="Arial" w:eastAsia="Arial" w:hAnsi="Arial"/>
                  <w:sz w:val="16"/>
                  <w:szCs w:val="16"/>
                  <w:color w:val="0000FF"/>
                </w:rPr>
                <w:t>incorporated herein by reference.</w:t>
              </w:r>
            </w:hyperlink>
          </w:p>
        </w:tc>
        <w:tc>
          <w:tcPr>
            <w:tcW w:w="160" w:type="dxa"/>
            <w:vAlign w:val="bottom"/>
            <w:gridSpan w:val="7"/>
          </w:tcPr>
          <w:p>
            <w:pPr>
              <w:spacing w:after="0"/>
              <w:rPr>
                <w:sz w:val="12"/>
                <w:szCs w:val="12"/>
                <w:color w:val="auto"/>
              </w:rPr>
            </w:pPr>
          </w:p>
        </w:tc>
        <w:tc>
          <w:tcPr>
            <w:tcW w:w="4294966997" w:type="dxa"/>
            <w:vAlign w:val="bottom"/>
            <w:gridSpan w:val="5"/>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560" w:type="dxa"/>
            <w:vAlign w:val="bottom"/>
            <w:gridSpan w:val="18"/>
          </w:tcPr>
          <w:p>
            <w:pPr>
              <w:spacing w:after="0" w:line="20" w:lineRule="exact"/>
              <w:rPr>
                <w:sz w:val="1"/>
                <w:szCs w:val="1"/>
                <w:color w:val="auto"/>
              </w:rPr>
            </w:pPr>
          </w:p>
        </w:tc>
        <w:tc>
          <w:tcPr>
            <w:tcW w:w="4294966997" w:type="dxa"/>
            <w:vAlign w:val="bottom"/>
            <w:gridSpan w:val="5"/>
          </w:tcPr>
          <w:p>
            <w:pPr>
              <w:spacing w:after="0" w:line="20" w:lineRule="exact"/>
              <w:rPr>
                <w:sz w:val="1"/>
                <w:szCs w:val="1"/>
                <w:color w:val="auto"/>
              </w:rPr>
            </w:pPr>
          </w:p>
        </w:tc>
      </w:tr>
      <w:tr>
        <w:trPr>
          <w:trHeight w:val="307"/>
        </w:trPr>
        <w:tc>
          <w:tcPr>
            <w:tcW w:w="1180" w:type="dxa"/>
            <w:vAlign w:val="bottom"/>
          </w:tcPr>
          <w:p>
            <w:pPr>
              <w:ind w:left="20"/>
              <w:spacing w:after="0"/>
              <w:rPr>
                <w:sz w:val="20"/>
                <w:szCs w:val="20"/>
                <w:color w:val="auto"/>
              </w:rPr>
            </w:pPr>
            <w:r>
              <w:rPr>
                <w:rFonts w:ascii="Arial" w:cs="Arial" w:eastAsia="Arial" w:hAnsi="Arial"/>
                <w:sz w:val="17"/>
                <w:szCs w:val="17"/>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9"/>
          </w:tcPr>
          <w:p>
            <w:pPr>
              <w:spacing w:after="0"/>
              <w:rPr>
                <w:rFonts w:ascii="Arial" w:cs="Arial" w:eastAsia="Arial" w:hAnsi="Arial"/>
                <w:sz w:val="17"/>
                <w:szCs w:val="17"/>
                <w:color w:val="0000FF"/>
              </w:rPr>
            </w:pPr>
            <w:hyperlink r:id="rId109">
              <w:r>
                <w:rPr>
                  <w:rFonts w:ascii="Arial" w:cs="Arial" w:eastAsia="Arial" w:hAnsi="Arial"/>
                  <w:sz w:val="17"/>
                  <w:szCs w:val="17"/>
                  <w:color w:val="0000FF"/>
                </w:rPr>
                <w:t>Specimen form of Grant Agreement for the Gentex Corporation 2012 Amended and Restated Non-Employee Director Stock Option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20" w:type="dxa"/>
            <w:vAlign w:val="bottom"/>
            <w:tcBorders>
              <w:top w:val="single" w:sz="8" w:color="0000FF"/>
            </w:tcBorders>
            <w:gridSpan w:val="34"/>
          </w:tcPr>
          <w:p>
            <w:pPr>
              <w:spacing w:after="0" w:line="144" w:lineRule="exact"/>
              <w:rPr>
                <w:rFonts w:ascii="Arial" w:cs="Arial" w:eastAsia="Arial" w:hAnsi="Arial"/>
                <w:sz w:val="16"/>
                <w:szCs w:val="16"/>
                <w:color w:val="0000FF"/>
              </w:rPr>
            </w:pPr>
            <w:hyperlink r:id="rId109">
              <w:r>
                <w:rPr>
                  <w:rFonts w:ascii="Arial" w:cs="Arial" w:eastAsia="Arial" w:hAnsi="Arial"/>
                  <w:sz w:val="16"/>
                  <w:szCs w:val="16"/>
                  <w:color w:val="0000FF"/>
                </w:rPr>
                <w:t>Plan, as amended was filed as exhibit 10.5 to Registrant's Report on Form 10-Q filed August 7, 2014, and the same is hereby</w:t>
              </w:r>
            </w:hyperlink>
          </w:p>
        </w:tc>
        <w:tc>
          <w:tcPr>
            <w:tcW w:w="4294966997" w:type="dxa"/>
            <w:vAlign w:val="bottom"/>
            <w:gridSpan w:val="5"/>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9"/>
          </w:tcPr>
          <w:p>
            <w:pPr>
              <w:spacing w:after="0" w:line="144" w:lineRule="exact"/>
              <w:rPr>
                <w:rFonts w:ascii="Arial" w:cs="Arial" w:eastAsia="Arial" w:hAnsi="Arial"/>
                <w:sz w:val="16"/>
                <w:szCs w:val="16"/>
                <w:color w:val="0000FF"/>
              </w:rPr>
            </w:pPr>
            <w:hyperlink r:id="rId109">
              <w:r>
                <w:rPr>
                  <w:rFonts w:ascii="Arial" w:cs="Arial" w:eastAsia="Arial" w:hAnsi="Arial"/>
                  <w:sz w:val="16"/>
                  <w:szCs w:val="16"/>
                  <w:color w:val="0000FF"/>
                </w:rPr>
                <w:t>incorporated herein by reference.</w:t>
              </w:r>
            </w:hyperlink>
          </w:p>
        </w:tc>
        <w:tc>
          <w:tcPr>
            <w:tcW w:w="4294967117" w:type="dxa"/>
            <w:vAlign w:val="bottom"/>
            <w:gridSpan w:val="10"/>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260" w:type="dxa"/>
            <w:vAlign w:val="bottom"/>
            <w:gridSpan w:val="23"/>
          </w:tcPr>
          <w:p>
            <w:pPr>
              <w:spacing w:after="0" w:line="20" w:lineRule="exact"/>
              <w:rPr>
                <w:sz w:val="1"/>
                <w:szCs w:val="1"/>
                <w:color w:val="auto"/>
              </w:rPr>
            </w:pPr>
          </w:p>
        </w:tc>
      </w:tr>
      <w:tr>
        <w:trPr>
          <w:trHeight w:val="307"/>
        </w:trPr>
        <w:tc>
          <w:tcPr>
            <w:tcW w:w="1180" w:type="dxa"/>
            <w:vAlign w:val="bottom"/>
          </w:tcPr>
          <w:p>
            <w:pPr>
              <w:ind w:left="20"/>
              <w:spacing w:after="0"/>
              <w:rPr>
                <w:sz w:val="20"/>
                <w:szCs w:val="20"/>
                <w:color w:val="auto"/>
              </w:rPr>
            </w:pPr>
            <w:r>
              <w:rPr>
                <w:rFonts w:ascii="Arial" w:cs="Arial" w:eastAsia="Arial" w:hAnsi="Arial"/>
                <w:sz w:val="17"/>
                <w:szCs w:val="17"/>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9"/>
          </w:tcPr>
          <w:p>
            <w:pPr>
              <w:spacing w:after="0"/>
              <w:rPr>
                <w:rFonts w:ascii="Arial" w:cs="Arial" w:eastAsia="Arial" w:hAnsi="Arial"/>
                <w:sz w:val="17"/>
                <w:szCs w:val="17"/>
                <w:color w:val="0000FF"/>
                <w:w w:val="99"/>
              </w:rPr>
            </w:pPr>
            <w:hyperlink r:id="rId110">
              <w:r>
                <w:rPr>
                  <w:rFonts w:ascii="Arial" w:cs="Arial" w:eastAsia="Arial" w:hAnsi="Arial"/>
                  <w:sz w:val="17"/>
                  <w:szCs w:val="17"/>
                  <w:color w:val="0000FF"/>
                  <w:w w:val="99"/>
                </w:rPr>
                <w:t>Second amendment to the Gentex Corporation Second Restricted Stock Plan (as amended on February 8, 2008) was included in the</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0"/>
          </w:tcPr>
          <w:p>
            <w:pPr>
              <w:spacing w:after="0" w:line="144" w:lineRule="exact"/>
              <w:rPr>
                <w:rFonts w:ascii="Arial" w:cs="Arial" w:eastAsia="Arial" w:hAnsi="Arial"/>
                <w:sz w:val="16"/>
                <w:szCs w:val="16"/>
                <w:color w:val="0000FF"/>
              </w:rPr>
            </w:pPr>
            <w:hyperlink r:id="rId110">
              <w:r>
                <w:rPr>
                  <w:rFonts w:ascii="Arial" w:cs="Arial" w:eastAsia="Arial" w:hAnsi="Arial"/>
                  <w:sz w:val="16"/>
                  <w:szCs w:val="16"/>
                  <w:color w:val="0000FF"/>
                </w:rPr>
                <w:t>Registrant's proxy Statement filed with the Commission on April 2, 2015, and the same is hereby incorporated herein by reference.</w:t>
              </w:r>
            </w:hyperlink>
          </w:p>
        </w:tc>
        <w:tc>
          <w:tcPr>
            <w:tcW w:w="4294967077" w:type="dxa"/>
            <w:vAlign w:val="bottom"/>
            <w:gridSpan w:val="9"/>
          </w:tcPr>
          <w:p>
            <w:pPr>
              <w:spacing w:after="0"/>
              <w:rPr>
                <w:sz w:val="12"/>
                <w:szCs w:val="12"/>
                <w:color w:val="auto"/>
              </w:rPr>
            </w:pPr>
          </w:p>
        </w:tc>
      </w:tr>
      <w:tr>
        <w:trPr>
          <w:trHeight w:val="927"/>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tcBorders>
              <w:top w:val="single" w:sz="8" w:color="0000FF"/>
            </w:tcBorders>
            <w:gridSpan w:val="9"/>
          </w:tcPr>
          <w:p>
            <w:pPr>
              <w:ind w:left="4220"/>
              <w:spacing w:after="0"/>
              <w:rPr>
                <w:sz w:val="20"/>
                <w:szCs w:val="20"/>
                <w:color w:val="auto"/>
              </w:rPr>
            </w:pPr>
            <w:r>
              <w:rPr>
                <w:rFonts w:ascii="Arial" w:cs="Arial" w:eastAsia="Arial" w:hAnsi="Arial"/>
                <w:sz w:val="17"/>
                <w:szCs w:val="17"/>
                <w:color w:val="auto"/>
              </w:rPr>
              <w:t>76</w:t>
            </w:r>
          </w:p>
        </w:tc>
        <w:tc>
          <w:tcPr>
            <w:tcW w:w="20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5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6917" w:type="dxa"/>
            <w:vAlign w:val="bottom"/>
          </w:tcPr>
          <w:p>
            <w:pPr>
              <w:spacing w:after="0"/>
              <w:rPr>
                <w:sz w:val="24"/>
                <w:szCs w:val="24"/>
                <w:color w:val="auto"/>
              </w:rPr>
            </w:pPr>
          </w:p>
        </w:tc>
      </w:tr>
      <w:tr>
        <w:trPr>
          <w:trHeight w:val="102"/>
        </w:trPr>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94966917"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78" w:name="page79"/>
    <w:bookmarkEnd w:id="78"/>
    <w:tbl>
      <w:tblPr>
        <w:tblLayout w:type="fixed"/>
        <w:tblInd w:w="3" w:type="dxa"/>
        <w:tblCellMar>
          <w:top w:w="0" w:type="dxa"/>
          <w:left w:w="0" w:type="dxa"/>
          <w:bottom w:w="0" w:type="dxa"/>
          <w:right w:w="0" w:type="dxa"/>
        </w:tblCellMar>
      </w:tblPr>
      <w:tr>
        <w:trPr>
          <w:trHeight w:val="195"/>
        </w:trPr>
        <w:tc>
          <w:tcPr>
            <w:tcW w:w="1280" w:type="dxa"/>
            <w:vAlign w:val="bottom"/>
          </w:tcPr>
          <w:p>
            <w:pPr>
              <w:spacing w:after="0"/>
              <w:rPr>
                <w:sz w:val="20"/>
                <w:szCs w:val="20"/>
                <w:color w:val="auto"/>
              </w:rPr>
            </w:pPr>
            <w:r>
              <w:rPr>
                <w:rFonts w:ascii="Arial" w:cs="Arial" w:eastAsia="Arial" w:hAnsi="Arial"/>
                <w:sz w:val="17"/>
                <w:szCs w:val="17"/>
                <w:color w:val="auto"/>
              </w:rPr>
              <w:t>*10.12</w:t>
            </w:r>
          </w:p>
        </w:tc>
        <w:tc>
          <w:tcPr>
            <w:tcW w:w="10100" w:type="dxa"/>
            <w:vAlign w:val="bottom"/>
            <w:gridSpan w:val="25"/>
          </w:tcPr>
          <w:p>
            <w:pPr>
              <w:spacing w:after="0"/>
              <w:rPr>
                <w:rFonts w:ascii="Arial" w:cs="Arial" w:eastAsia="Arial" w:hAnsi="Arial"/>
                <w:sz w:val="17"/>
                <w:szCs w:val="17"/>
                <w:color w:val="0000FF"/>
              </w:rPr>
            </w:pPr>
            <w:hyperlink r:id="rId110">
              <w:r>
                <w:rPr>
                  <w:rFonts w:ascii="Arial" w:cs="Arial" w:eastAsia="Arial" w:hAnsi="Arial"/>
                  <w:sz w:val="17"/>
                  <w:szCs w:val="17"/>
                  <w:color w:val="0000FF"/>
                </w:rPr>
                <w:t>Amendment to the Gentex Corporation 2013 Employee Stock Purchase Plan (effective February 14, 2013) was included in the</w:t>
              </w:r>
            </w:hyperlink>
          </w:p>
        </w:tc>
      </w:tr>
      <w:tr>
        <w:trPr>
          <w:trHeight w:val="144"/>
        </w:trPr>
        <w:tc>
          <w:tcPr>
            <w:tcW w:w="1280" w:type="dxa"/>
            <w:vAlign w:val="bottom"/>
          </w:tcPr>
          <w:p>
            <w:pPr>
              <w:spacing w:after="0"/>
              <w:rPr>
                <w:sz w:val="12"/>
                <w:szCs w:val="12"/>
                <w:color w:val="auto"/>
              </w:rPr>
            </w:pPr>
          </w:p>
        </w:tc>
        <w:tc>
          <w:tcPr>
            <w:tcW w:w="8960" w:type="dxa"/>
            <w:vAlign w:val="bottom"/>
            <w:tcBorders>
              <w:top w:val="single" w:sz="8" w:color="0000FF"/>
              <w:bottom w:val="single" w:sz="8" w:color="0000FF"/>
            </w:tcBorders>
            <w:gridSpan w:val="11"/>
          </w:tcPr>
          <w:p>
            <w:pPr>
              <w:spacing w:after="0" w:line="144" w:lineRule="exact"/>
              <w:rPr>
                <w:rFonts w:ascii="Arial" w:cs="Arial" w:eastAsia="Arial" w:hAnsi="Arial"/>
                <w:sz w:val="16"/>
                <w:szCs w:val="16"/>
                <w:color w:val="0000FF"/>
              </w:rPr>
            </w:pPr>
            <w:hyperlink r:id="rId110">
              <w:r>
                <w:rPr>
                  <w:rFonts w:ascii="Arial" w:cs="Arial" w:eastAsia="Arial" w:hAnsi="Arial"/>
                  <w:sz w:val="16"/>
                  <w:szCs w:val="16"/>
                  <w:color w:val="0000FF"/>
                </w:rPr>
                <w:t>Registrant's Proxy Statement filed with the Commission on April 2, 2015, and is hereby incorporated herein by reference.</w:t>
              </w:r>
            </w:hyperlink>
          </w:p>
        </w:tc>
        <w:tc>
          <w:tcPr>
            <w:tcW w:w="112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r>
      <w:tr>
        <w:trPr>
          <w:trHeight w:val="307"/>
        </w:trPr>
        <w:tc>
          <w:tcPr>
            <w:tcW w:w="1280" w:type="dxa"/>
            <w:vAlign w:val="bottom"/>
          </w:tcPr>
          <w:p>
            <w:pPr>
              <w:spacing w:after="0"/>
              <w:rPr>
                <w:sz w:val="20"/>
                <w:szCs w:val="20"/>
                <w:color w:val="auto"/>
              </w:rPr>
            </w:pPr>
            <w:r>
              <w:rPr>
                <w:rFonts w:ascii="Arial" w:cs="Arial" w:eastAsia="Arial" w:hAnsi="Arial"/>
                <w:sz w:val="17"/>
                <w:szCs w:val="17"/>
                <w:color w:val="auto"/>
              </w:rPr>
              <w:t>*10.13</w:t>
            </w:r>
          </w:p>
        </w:tc>
        <w:tc>
          <w:tcPr>
            <w:tcW w:w="10100" w:type="dxa"/>
            <w:vAlign w:val="bottom"/>
            <w:gridSpan w:val="25"/>
          </w:tcPr>
          <w:p>
            <w:pPr>
              <w:spacing w:after="0"/>
              <w:rPr>
                <w:rFonts w:ascii="Arial" w:cs="Arial" w:eastAsia="Arial" w:hAnsi="Arial"/>
                <w:sz w:val="17"/>
                <w:szCs w:val="17"/>
                <w:color w:val="0000FF"/>
              </w:rPr>
            </w:pPr>
            <w:hyperlink r:id="rId113">
              <w:r>
                <w:rPr>
                  <w:rFonts w:ascii="Arial" w:cs="Arial" w:eastAsia="Arial" w:hAnsi="Arial"/>
                  <w:sz w:val="17"/>
                  <w:szCs w:val="17"/>
                  <w:color w:val="0000FF"/>
                </w:rPr>
                <w:t>Gentex Corporation Amended and Restated Annual Incentive Performance-Based Bonus Plan (as amended on February 15, 2018)</w:t>
              </w:r>
            </w:hyperlink>
          </w:p>
        </w:tc>
      </w:tr>
      <w:tr>
        <w:trPr>
          <w:trHeight w:val="144"/>
        </w:trPr>
        <w:tc>
          <w:tcPr>
            <w:tcW w:w="1280" w:type="dxa"/>
            <w:vAlign w:val="bottom"/>
          </w:tcPr>
          <w:p>
            <w:pPr>
              <w:spacing w:after="0"/>
              <w:rPr>
                <w:sz w:val="12"/>
                <w:szCs w:val="12"/>
                <w:color w:val="auto"/>
              </w:rPr>
            </w:pPr>
          </w:p>
        </w:tc>
        <w:tc>
          <w:tcPr>
            <w:tcW w:w="9880" w:type="dxa"/>
            <w:vAlign w:val="bottom"/>
            <w:tcBorders>
              <w:top w:val="single" w:sz="8" w:color="0000FF"/>
            </w:tcBorders>
            <w:gridSpan w:val="14"/>
          </w:tcPr>
          <w:p>
            <w:pPr>
              <w:spacing w:after="0" w:line="144" w:lineRule="exact"/>
              <w:rPr>
                <w:rFonts w:ascii="Arial" w:cs="Arial" w:eastAsia="Arial" w:hAnsi="Arial"/>
                <w:sz w:val="16"/>
                <w:szCs w:val="16"/>
                <w:color w:val="0000FF"/>
              </w:rPr>
            </w:pPr>
            <w:hyperlink r:id="rId113">
              <w:r>
                <w:rPr>
                  <w:rFonts w:ascii="Arial" w:cs="Arial" w:eastAsia="Arial" w:hAnsi="Arial"/>
                  <w:sz w:val="16"/>
                  <w:szCs w:val="16"/>
                  <w:color w:val="0000FF"/>
                </w:rPr>
                <w:t>filed as an exhibit to Registrant's Report on Form 10-K dated February 21,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7"/>
        </w:trPr>
        <w:tc>
          <w:tcPr>
            <w:tcW w:w="1280" w:type="dxa"/>
            <w:vAlign w:val="bottom"/>
          </w:tcPr>
          <w:p>
            <w:pPr>
              <w:spacing w:after="0"/>
              <w:rPr>
                <w:sz w:val="20"/>
                <w:szCs w:val="20"/>
                <w:color w:val="auto"/>
              </w:rPr>
            </w:pPr>
            <w:r>
              <w:rPr>
                <w:rFonts w:ascii="Arial" w:cs="Arial" w:eastAsia="Arial" w:hAnsi="Arial"/>
                <w:sz w:val="17"/>
                <w:szCs w:val="17"/>
                <w:color w:val="auto"/>
              </w:rPr>
              <w:t>*10.14</w:t>
            </w:r>
          </w:p>
        </w:tc>
        <w:tc>
          <w:tcPr>
            <w:tcW w:w="10100" w:type="dxa"/>
            <w:vAlign w:val="bottom"/>
            <w:gridSpan w:val="25"/>
          </w:tcPr>
          <w:p>
            <w:pPr>
              <w:spacing w:after="0"/>
              <w:rPr>
                <w:rFonts w:ascii="Arial" w:cs="Arial" w:eastAsia="Arial" w:hAnsi="Arial"/>
                <w:sz w:val="17"/>
                <w:szCs w:val="17"/>
                <w:color w:val="0000FF"/>
              </w:rPr>
            </w:pPr>
            <w:hyperlink r:id="rId114">
              <w:r>
                <w:rPr>
                  <w:rFonts w:ascii="Arial" w:cs="Arial" w:eastAsia="Arial" w:hAnsi="Arial"/>
                  <w:sz w:val="17"/>
                  <w:szCs w:val="17"/>
                  <w:color w:val="0000FF"/>
                </w:rPr>
                <w:t>Amended Credit Agreement by Gentex Corporation as the Borrower, the Guarantors from Time to Time Party Hereto, and the</w:t>
              </w:r>
            </w:hyperlink>
          </w:p>
        </w:tc>
      </w:tr>
      <w:tr>
        <w:trPr>
          <w:trHeight w:val="144"/>
        </w:trPr>
        <w:tc>
          <w:tcPr>
            <w:tcW w:w="128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5"/>
          </w:tcPr>
          <w:p>
            <w:pPr>
              <w:spacing w:after="0" w:line="144" w:lineRule="exact"/>
              <w:rPr>
                <w:rFonts w:ascii="Arial" w:cs="Arial" w:eastAsia="Arial" w:hAnsi="Arial"/>
                <w:sz w:val="16"/>
                <w:szCs w:val="16"/>
                <w:color w:val="0000FF"/>
              </w:rPr>
            </w:pPr>
            <w:hyperlink r:id="rId114">
              <w:r>
                <w:rPr>
                  <w:rFonts w:ascii="Arial" w:cs="Arial" w:eastAsia="Arial" w:hAnsi="Arial"/>
                  <w:sz w:val="16"/>
                  <w:szCs w:val="16"/>
                  <w:color w:val="0000FF"/>
                </w:rPr>
                <w:t>Lenders Party Hereto, and PNC, National Association as Administrative Agent, dated as of February 21, 2023, filed as exhibit to</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56"/>
        </w:trPr>
        <w:tc>
          <w:tcPr>
            <w:tcW w:w="1280" w:type="dxa"/>
            <w:vAlign w:val="bottom"/>
          </w:tcPr>
          <w:p>
            <w:pPr>
              <w:spacing w:after="0"/>
              <w:rPr>
                <w:sz w:val="13"/>
                <w:szCs w:val="13"/>
                <w:color w:val="auto"/>
              </w:rPr>
            </w:pPr>
          </w:p>
        </w:tc>
        <w:tc>
          <w:tcPr>
            <w:tcW w:w="4320" w:type="dxa"/>
            <w:vAlign w:val="bottom"/>
            <w:tcBorders>
              <w:bottom w:val="single" w:sz="8" w:color="0000FF"/>
            </w:tcBorders>
            <w:gridSpan w:val="3"/>
          </w:tcPr>
          <w:p>
            <w:pPr>
              <w:spacing w:after="0" w:line="156" w:lineRule="exact"/>
              <w:rPr>
                <w:rFonts w:ascii="Arial" w:cs="Arial" w:eastAsia="Arial" w:hAnsi="Arial"/>
                <w:sz w:val="17"/>
                <w:szCs w:val="17"/>
                <w:color w:val="0000FF"/>
                <w:w w:val="98"/>
              </w:rPr>
            </w:pPr>
            <w:hyperlink r:id="rId114">
              <w:r>
                <w:rPr>
                  <w:rFonts w:ascii="Arial" w:cs="Arial" w:eastAsia="Arial" w:hAnsi="Arial"/>
                  <w:sz w:val="17"/>
                  <w:szCs w:val="17"/>
                  <w:color w:val="0000FF"/>
                  <w:w w:val="98"/>
                </w:rPr>
                <w:t>Registrant's Report on Form 10-K filed February 22, 2023.</w:t>
              </w:r>
            </w:hyperlink>
          </w:p>
        </w:tc>
        <w:tc>
          <w:tcPr>
            <w:tcW w:w="560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44"/>
        </w:trPr>
        <w:tc>
          <w:tcPr>
            <w:tcW w:w="1280" w:type="dxa"/>
            <w:vAlign w:val="bottom"/>
          </w:tcPr>
          <w:p>
            <w:pPr>
              <w:spacing w:after="0"/>
              <w:rPr>
                <w:sz w:val="20"/>
                <w:szCs w:val="20"/>
                <w:color w:val="auto"/>
              </w:rPr>
            </w:pPr>
            <w:r>
              <w:rPr>
                <w:rFonts w:ascii="Arial" w:cs="Arial" w:eastAsia="Arial" w:hAnsi="Arial"/>
                <w:sz w:val="17"/>
                <w:szCs w:val="17"/>
                <w:color w:val="auto"/>
              </w:rPr>
              <w:t>*10.15</w:t>
            </w:r>
          </w:p>
        </w:tc>
        <w:tc>
          <w:tcPr>
            <w:tcW w:w="10100" w:type="dxa"/>
            <w:vAlign w:val="bottom"/>
            <w:gridSpan w:val="25"/>
          </w:tcPr>
          <w:p>
            <w:pPr>
              <w:spacing w:after="0"/>
              <w:rPr>
                <w:rFonts w:ascii="Arial" w:cs="Arial" w:eastAsia="Arial" w:hAnsi="Arial"/>
                <w:sz w:val="17"/>
                <w:szCs w:val="17"/>
                <w:color w:val="0000FF"/>
              </w:rPr>
            </w:pPr>
            <w:hyperlink r:id="rId115">
              <w:r>
                <w:rPr>
                  <w:rFonts w:ascii="Arial" w:cs="Arial" w:eastAsia="Arial" w:hAnsi="Arial"/>
                  <w:sz w:val="17"/>
                  <w:szCs w:val="17"/>
                  <w:color w:val="0000FF"/>
                </w:rPr>
                <w:t>Gentex Corporation 2019 Omnibus Incentive Plan filed as exhibit to Registrant's Report on Form 10-K dated February 22, 2019</w:t>
              </w:r>
            </w:hyperlink>
          </w:p>
        </w:tc>
      </w:tr>
      <w:tr>
        <w:trPr>
          <w:trHeight w:val="20"/>
        </w:trPr>
        <w:tc>
          <w:tcPr>
            <w:tcW w:w="1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4"/>
        </w:trPr>
        <w:tc>
          <w:tcPr>
            <w:tcW w:w="1280" w:type="dxa"/>
            <w:vAlign w:val="bottom"/>
          </w:tcPr>
          <w:p>
            <w:pPr>
              <w:spacing w:after="0"/>
              <w:rPr>
                <w:sz w:val="20"/>
                <w:szCs w:val="20"/>
                <w:color w:val="auto"/>
              </w:rPr>
            </w:pPr>
            <w:r>
              <w:rPr>
                <w:rFonts w:ascii="Arial" w:cs="Arial" w:eastAsia="Arial" w:hAnsi="Arial"/>
                <w:sz w:val="17"/>
                <w:szCs w:val="17"/>
                <w:color w:val="auto"/>
              </w:rPr>
              <w:t>*10.16</w:t>
            </w:r>
          </w:p>
        </w:tc>
        <w:tc>
          <w:tcPr>
            <w:tcW w:w="10100" w:type="dxa"/>
            <w:vAlign w:val="bottom"/>
            <w:gridSpan w:val="25"/>
          </w:tcPr>
          <w:p>
            <w:pPr>
              <w:spacing w:after="0"/>
              <w:rPr>
                <w:rFonts w:ascii="Arial" w:cs="Arial" w:eastAsia="Arial" w:hAnsi="Arial"/>
                <w:sz w:val="17"/>
                <w:szCs w:val="17"/>
                <w:color w:val="0000FF"/>
              </w:rPr>
            </w:pPr>
            <w:hyperlink r:id="rId116">
              <w:r>
                <w:rPr>
                  <w:rFonts w:ascii="Arial" w:cs="Arial" w:eastAsia="Arial" w:hAnsi="Arial"/>
                  <w:sz w:val="17"/>
                  <w:szCs w:val="17"/>
                  <w:color w:val="0000FF"/>
                </w:rPr>
                <w:t>Israeli Appendix to the Gentex Corporation 2019 Omnibus Incentive Plan filed as an exhibit to Registrant's Form 10-K dated February</w:t>
              </w:r>
            </w:hyperlink>
          </w:p>
        </w:tc>
      </w:tr>
      <w:tr>
        <w:trPr>
          <w:trHeight w:val="144"/>
        </w:trPr>
        <w:tc>
          <w:tcPr>
            <w:tcW w:w="1280" w:type="dxa"/>
            <w:vAlign w:val="bottom"/>
          </w:tcPr>
          <w:p>
            <w:pPr>
              <w:spacing w:after="0"/>
              <w:rPr>
                <w:sz w:val="12"/>
                <w:szCs w:val="12"/>
                <w:color w:val="auto"/>
              </w:rPr>
            </w:pPr>
          </w:p>
        </w:tc>
        <w:tc>
          <w:tcPr>
            <w:tcW w:w="660" w:type="dxa"/>
            <w:vAlign w:val="bottom"/>
            <w:tcBorders>
              <w:top w:val="single" w:sz="8" w:color="0000FF"/>
              <w:bottom w:val="single" w:sz="8" w:color="0000FF"/>
            </w:tcBorders>
          </w:tcPr>
          <w:p>
            <w:pPr>
              <w:spacing w:after="0" w:line="144" w:lineRule="exact"/>
              <w:rPr>
                <w:rFonts w:ascii="Arial" w:cs="Arial" w:eastAsia="Arial" w:hAnsi="Arial"/>
                <w:sz w:val="16"/>
                <w:szCs w:val="16"/>
                <w:color w:val="0000FF"/>
              </w:rPr>
            </w:pPr>
            <w:hyperlink r:id="rId116">
              <w:r>
                <w:rPr>
                  <w:rFonts w:ascii="Arial" w:cs="Arial" w:eastAsia="Arial" w:hAnsi="Arial"/>
                  <w:sz w:val="16"/>
                  <w:szCs w:val="16"/>
                  <w:color w:val="0000FF"/>
                </w:rPr>
                <w:t>22, 2021</w:t>
              </w:r>
            </w:hyperlink>
          </w:p>
        </w:tc>
        <w:tc>
          <w:tcPr>
            <w:tcW w:w="35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1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*10.17</w:t>
            </w:r>
          </w:p>
        </w:tc>
        <w:tc>
          <w:tcPr>
            <w:tcW w:w="9140" w:type="dxa"/>
            <w:vAlign w:val="bottom"/>
            <w:tcBorders>
              <w:bottom w:val="single" w:sz="8" w:color="0000FF"/>
            </w:tcBorders>
            <w:gridSpan w:val="12"/>
          </w:tcPr>
          <w:p>
            <w:pPr>
              <w:spacing w:after="0"/>
              <w:rPr>
                <w:rFonts w:ascii="Arial" w:cs="Arial" w:eastAsia="Arial" w:hAnsi="Arial"/>
                <w:sz w:val="17"/>
                <w:szCs w:val="17"/>
                <w:color w:val="0000FF"/>
                <w:w w:val="98"/>
              </w:rPr>
            </w:pPr>
            <w:hyperlink r:id="rId117">
              <w:r>
                <w:rPr>
                  <w:rFonts w:ascii="Arial" w:cs="Arial" w:eastAsia="Arial" w:hAnsi="Arial"/>
                  <w:sz w:val="17"/>
                  <w:szCs w:val="17"/>
                  <w:color w:val="0000FF"/>
                  <w:w w:val="98"/>
                </w:rPr>
                <w:t>Gentex Corporation Long-Term Incentive Plan filed as exhibit to Registrant's Report on Form 10-K dated February 22, 2019</w:t>
              </w:r>
            </w:hyperlink>
          </w:p>
        </w:tc>
        <w:tc>
          <w:tcPr>
            <w:tcW w:w="960" w:type="dxa"/>
            <w:vAlign w:val="bottom"/>
            <w:gridSpan w:val="13"/>
          </w:tcPr>
          <w:p>
            <w:pPr>
              <w:spacing w:after="0"/>
              <w:rPr>
                <w:sz w:val="22"/>
                <w:szCs w:val="22"/>
                <w:color w:val="auto"/>
              </w:rPr>
            </w:pPr>
          </w:p>
        </w:tc>
      </w:tr>
      <w:tr>
        <w:trPr>
          <w:trHeight w:val="244"/>
        </w:trPr>
        <w:tc>
          <w:tcPr>
            <w:tcW w:w="1280" w:type="dxa"/>
            <w:vAlign w:val="bottom"/>
          </w:tcPr>
          <w:p>
            <w:pPr>
              <w:spacing w:after="0"/>
              <w:rPr>
                <w:sz w:val="20"/>
                <w:szCs w:val="20"/>
                <w:color w:val="auto"/>
              </w:rPr>
            </w:pPr>
            <w:r>
              <w:rPr>
                <w:rFonts w:ascii="Arial" w:cs="Arial" w:eastAsia="Arial" w:hAnsi="Arial"/>
                <w:sz w:val="17"/>
                <w:szCs w:val="17"/>
                <w:color w:val="auto"/>
              </w:rPr>
              <w:t>*10.18</w:t>
            </w:r>
          </w:p>
        </w:tc>
        <w:tc>
          <w:tcPr>
            <w:tcW w:w="10100" w:type="dxa"/>
            <w:vAlign w:val="bottom"/>
            <w:gridSpan w:val="25"/>
          </w:tcPr>
          <w:p>
            <w:pPr>
              <w:spacing w:after="0"/>
              <w:rPr>
                <w:rFonts w:ascii="Arial" w:cs="Arial" w:eastAsia="Arial" w:hAnsi="Arial"/>
                <w:sz w:val="17"/>
                <w:szCs w:val="17"/>
                <w:color w:val="0000FF"/>
              </w:rPr>
            </w:pPr>
            <w:hyperlink r:id="rId118">
              <w:r>
                <w:rPr>
                  <w:rFonts w:ascii="Arial" w:cs="Arial" w:eastAsia="Arial" w:hAnsi="Arial"/>
                  <w:sz w:val="17"/>
                  <w:szCs w:val="17"/>
                  <w:color w:val="0000FF"/>
                </w:rPr>
                <w:t>Specimen form of Performance Share Award Agreement for the Gentex Corporation Long-Term Incentive Plan filed as exhibit to</w:t>
              </w:r>
            </w:hyperlink>
          </w:p>
        </w:tc>
      </w:tr>
      <w:tr>
        <w:trPr>
          <w:trHeight w:val="144"/>
        </w:trPr>
        <w:tc>
          <w:tcPr>
            <w:tcW w:w="1280" w:type="dxa"/>
            <w:vAlign w:val="bottom"/>
          </w:tcPr>
          <w:p>
            <w:pPr>
              <w:spacing w:after="0"/>
              <w:rPr>
                <w:sz w:val="12"/>
                <w:szCs w:val="12"/>
                <w:color w:val="auto"/>
              </w:rPr>
            </w:pPr>
          </w:p>
        </w:tc>
        <w:tc>
          <w:tcPr>
            <w:tcW w:w="4320" w:type="dxa"/>
            <w:vAlign w:val="bottom"/>
            <w:tcBorders>
              <w:top w:val="single" w:sz="8" w:color="0000FF"/>
              <w:bottom w:val="single" w:sz="8" w:color="0000FF"/>
            </w:tcBorders>
            <w:gridSpan w:val="3"/>
          </w:tcPr>
          <w:p>
            <w:pPr>
              <w:spacing w:after="0" w:line="144" w:lineRule="exact"/>
              <w:rPr>
                <w:rFonts w:ascii="Arial" w:cs="Arial" w:eastAsia="Arial" w:hAnsi="Arial"/>
                <w:sz w:val="16"/>
                <w:szCs w:val="16"/>
                <w:color w:val="0000FF"/>
              </w:rPr>
            </w:pPr>
            <w:hyperlink r:id="rId118">
              <w:r>
                <w:rPr>
                  <w:rFonts w:ascii="Arial" w:cs="Arial" w:eastAsia="Arial" w:hAnsi="Arial"/>
                  <w:sz w:val="16"/>
                  <w:szCs w:val="16"/>
                  <w:color w:val="0000FF"/>
                </w:rPr>
                <w:t>Registrant's Report on Form 10-K filed February 22, 2019.</w:t>
              </w:r>
            </w:hyperlink>
          </w:p>
        </w:tc>
        <w:tc>
          <w:tcPr>
            <w:tcW w:w="570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*10.19</w:t>
            </w:r>
          </w:p>
        </w:tc>
        <w:tc>
          <w:tcPr>
            <w:tcW w:w="10100" w:type="dxa"/>
            <w:vAlign w:val="bottom"/>
            <w:gridSpan w:val="25"/>
          </w:tcPr>
          <w:p>
            <w:pPr>
              <w:spacing w:after="0"/>
              <w:rPr>
                <w:rFonts w:ascii="Arial" w:cs="Arial" w:eastAsia="Arial" w:hAnsi="Arial"/>
                <w:sz w:val="17"/>
                <w:szCs w:val="17"/>
                <w:color w:val="0000FF"/>
              </w:rPr>
            </w:pPr>
            <w:hyperlink r:id="rId119">
              <w:r>
                <w:rPr>
                  <w:rFonts w:ascii="Arial" w:cs="Arial" w:eastAsia="Arial" w:hAnsi="Arial"/>
                  <w:sz w:val="17"/>
                  <w:szCs w:val="17"/>
                  <w:color w:val="0000FF"/>
                </w:rPr>
                <w:t>Specimen form of Restricted Share Award Agreement for the Gentex Corporation Long-Term Incentive Plan filed as exhibit to</w:t>
              </w:r>
            </w:hyperlink>
          </w:p>
        </w:tc>
      </w:tr>
      <w:tr>
        <w:trPr>
          <w:trHeight w:val="144"/>
        </w:trPr>
        <w:tc>
          <w:tcPr>
            <w:tcW w:w="1280" w:type="dxa"/>
            <w:vAlign w:val="bottom"/>
          </w:tcPr>
          <w:p>
            <w:pPr>
              <w:spacing w:after="0"/>
              <w:rPr>
                <w:sz w:val="12"/>
                <w:szCs w:val="12"/>
                <w:color w:val="auto"/>
              </w:rPr>
            </w:pPr>
          </w:p>
        </w:tc>
        <w:tc>
          <w:tcPr>
            <w:tcW w:w="9940" w:type="dxa"/>
            <w:vAlign w:val="bottom"/>
            <w:tcBorders>
              <w:top w:val="single" w:sz="8" w:color="0000FF"/>
            </w:tcBorders>
            <w:gridSpan w:val="17"/>
          </w:tcPr>
          <w:p>
            <w:pPr>
              <w:spacing w:after="0" w:line="144" w:lineRule="exact"/>
              <w:rPr>
                <w:rFonts w:ascii="Arial" w:cs="Arial" w:eastAsia="Arial" w:hAnsi="Arial"/>
                <w:sz w:val="16"/>
                <w:szCs w:val="16"/>
                <w:color w:val="0000FF"/>
              </w:rPr>
            </w:pPr>
            <w:hyperlink r:id="rId119">
              <w:r>
                <w:rPr>
                  <w:rFonts w:ascii="Arial" w:cs="Arial" w:eastAsia="Arial" w:hAnsi="Arial"/>
                  <w:sz w:val="16"/>
                  <w:szCs w:val="16"/>
                  <w:color w:val="0000FF"/>
                </w:rPr>
                <w:t>Registrant's Report on Form 10-K filed February 22,2019</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6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*10.20</w:t>
            </w:r>
          </w:p>
        </w:tc>
        <w:tc>
          <w:tcPr>
            <w:tcW w:w="10100" w:type="dxa"/>
            <w:vAlign w:val="bottom"/>
            <w:gridSpan w:val="25"/>
          </w:tcPr>
          <w:p>
            <w:pPr>
              <w:spacing w:after="0"/>
              <w:rPr>
                <w:rFonts w:ascii="Arial" w:cs="Arial" w:eastAsia="Arial" w:hAnsi="Arial"/>
                <w:sz w:val="17"/>
                <w:szCs w:val="17"/>
                <w:color w:val="0000FF"/>
              </w:rPr>
            </w:pPr>
            <w:hyperlink r:id="rId120">
              <w:r>
                <w:rPr>
                  <w:rFonts w:ascii="Arial" w:cs="Arial" w:eastAsia="Arial" w:hAnsi="Arial"/>
                  <w:sz w:val="17"/>
                  <w:szCs w:val="17"/>
                  <w:color w:val="0000FF"/>
                </w:rPr>
                <w:t>Gentex Corporation Executive Deferred Compensation Plan dated as of May 1, 2019 was filed as an exhibit to Registrant's Report on</w:t>
              </w:r>
            </w:hyperlink>
          </w:p>
        </w:tc>
      </w:tr>
      <w:tr>
        <w:trPr>
          <w:trHeight w:val="144"/>
        </w:trPr>
        <w:tc>
          <w:tcPr>
            <w:tcW w:w="1280" w:type="dxa"/>
            <w:vAlign w:val="bottom"/>
          </w:tcPr>
          <w:p>
            <w:pPr>
              <w:spacing w:after="0"/>
              <w:rPr>
                <w:sz w:val="12"/>
                <w:szCs w:val="12"/>
                <w:color w:val="auto"/>
              </w:rPr>
            </w:pPr>
          </w:p>
        </w:tc>
        <w:tc>
          <w:tcPr>
            <w:tcW w:w="9960" w:type="dxa"/>
            <w:vAlign w:val="bottom"/>
            <w:tcBorders>
              <w:top w:val="single" w:sz="8" w:color="0000FF"/>
            </w:tcBorders>
            <w:gridSpan w:val="18"/>
          </w:tcPr>
          <w:p>
            <w:pPr>
              <w:spacing w:after="0" w:line="144" w:lineRule="exact"/>
              <w:rPr>
                <w:rFonts w:ascii="Arial" w:cs="Arial" w:eastAsia="Arial" w:hAnsi="Arial"/>
                <w:sz w:val="16"/>
                <w:szCs w:val="16"/>
                <w:color w:val="0000FF"/>
              </w:rPr>
            </w:pPr>
            <w:hyperlink r:id="rId120">
              <w:r>
                <w:rPr>
                  <w:rFonts w:ascii="Arial" w:cs="Arial" w:eastAsia="Arial" w:hAnsi="Arial"/>
                  <w:sz w:val="16"/>
                  <w:szCs w:val="16"/>
                  <w:color w:val="0000FF"/>
                </w:rPr>
                <w:t>Form 10-Q dated May 3, 2019, and is hereby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6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*10.21</w:t>
            </w:r>
          </w:p>
        </w:tc>
        <w:tc>
          <w:tcPr>
            <w:tcW w:w="10100" w:type="dxa"/>
            <w:vAlign w:val="bottom"/>
            <w:gridSpan w:val="25"/>
          </w:tcPr>
          <w:p>
            <w:pPr>
              <w:spacing w:after="0"/>
              <w:rPr>
                <w:rFonts w:ascii="Arial" w:cs="Arial" w:eastAsia="Arial" w:hAnsi="Arial"/>
                <w:sz w:val="17"/>
                <w:szCs w:val="17"/>
                <w:color w:val="0000FF"/>
              </w:rPr>
            </w:pPr>
            <w:hyperlink r:id="rId121">
              <w:r>
                <w:rPr>
                  <w:rFonts w:ascii="Arial" w:cs="Arial" w:eastAsia="Arial" w:hAnsi="Arial"/>
                  <w:sz w:val="17"/>
                  <w:szCs w:val="17"/>
                  <w:color w:val="0000FF"/>
                </w:rPr>
                <w:t>Rabbi Trust Agreement between Wells Fargo Bank, N.A. and Gentex Corporation dated as of May 1, 2019 was filed as an exhibit to</w:t>
              </w:r>
            </w:hyperlink>
          </w:p>
        </w:tc>
      </w:tr>
      <w:tr>
        <w:trPr>
          <w:trHeight w:val="144"/>
        </w:trPr>
        <w:tc>
          <w:tcPr>
            <w:tcW w:w="1280" w:type="dxa"/>
            <w:vAlign w:val="bottom"/>
          </w:tcPr>
          <w:p>
            <w:pPr>
              <w:spacing w:after="0"/>
              <w:rPr>
                <w:sz w:val="12"/>
                <w:szCs w:val="12"/>
                <w:color w:val="auto"/>
              </w:rPr>
            </w:pPr>
          </w:p>
        </w:tc>
        <w:tc>
          <w:tcPr>
            <w:tcW w:w="7580" w:type="dxa"/>
            <w:vAlign w:val="bottom"/>
            <w:tcBorders>
              <w:top w:val="single" w:sz="8" w:color="0000FF"/>
              <w:bottom w:val="single" w:sz="8" w:color="0000FF"/>
            </w:tcBorders>
            <w:gridSpan w:val="8"/>
          </w:tcPr>
          <w:p>
            <w:pPr>
              <w:spacing w:after="0" w:line="144" w:lineRule="exact"/>
              <w:rPr>
                <w:rFonts w:ascii="Arial" w:cs="Arial" w:eastAsia="Arial" w:hAnsi="Arial"/>
                <w:sz w:val="16"/>
                <w:szCs w:val="16"/>
                <w:color w:val="0000FF"/>
              </w:rPr>
            </w:pPr>
            <w:hyperlink r:id="rId121">
              <w:r>
                <w:rPr>
                  <w:rFonts w:ascii="Arial" w:cs="Arial" w:eastAsia="Arial" w:hAnsi="Arial"/>
                  <w:sz w:val="16"/>
                  <w:szCs w:val="16"/>
                  <w:color w:val="0000FF"/>
                </w:rPr>
                <w:t>Registrant's Report on Form 10-Q dated May 3, 2019, and is hereby incorporated herein by reference.</w:t>
              </w:r>
            </w:hyperlink>
          </w:p>
        </w:tc>
        <w:tc>
          <w:tcPr>
            <w:tcW w:w="240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*10.22</w:t>
            </w:r>
          </w:p>
        </w:tc>
        <w:tc>
          <w:tcPr>
            <w:tcW w:w="10100" w:type="dxa"/>
            <w:vAlign w:val="bottom"/>
            <w:gridSpan w:val="25"/>
          </w:tcPr>
          <w:p>
            <w:pPr>
              <w:spacing w:after="0"/>
              <w:rPr>
                <w:rFonts w:ascii="Arial" w:cs="Arial" w:eastAsia="Arial" w:hAnsi="Arial"/>
                <w:sz w:val="17"/>
                <w:szCs w:val="17"/>
                <w:color w:val="0000FF"/>
              </w:rPr>
            </w:pPr>
            <w:hyperlink r:id="rId122">
              <w:r>
                <w:rPr>
                  <w:rFonts w:ascii="Arial" w:cs="Arial" w:eastAsia="Arial" w:hAnsi="Arial"/>
                  <w:sz w:val="17"/>
                  <w:szCs w:val="17"/>
                  <w:color w:val="0000FF"/>
                </w:rPr>
                <w:t>Specimen Form of Gentex Corporation Non-Employee Director Restricted Stock Agreement was filed as an exhibit to Registrant's</w:t>
              </w:r>
            </w:hyperlink>
          </w:p>
        </w:tc>
      </w:tr>
      <w:tr>
        <w:trPr>
          <w:trHeight w:val="144"/>
        </w:trPr>
        <w:tc>
          <w:tcPr>
            <w:tcW w:w="1280" w:type="dxa"/>
            <w:vAlign w:val="bottom"/>
          </w:tcPr>
          <w:p>
            <w:pPr>
              <w:spacing w:after="0"/>
              <w:rPr>
                <w:sz w:val="12"/>
                <w:szCs w:val="12"/>
                <w:color w:val="auto"/>
              </w:rPr>
            </w:pPr>
          </w:p>
        </w:tc>
        <w:tc>
          <w:tcPr>
            <w:tcW w:w="10060" w:type="dxa"/>
            <w:vAlign w:val="bottom"/>
            <w:tcBorders>
              <w:top w:val="single" w:sz="8" w:color="0000FF"/>
            </w:tcBorders>
            <w:gridSpan w:val="23"/>
          </w:tcPr>
          <w:p>
            <w:pPr>
              <w:spacing w:after="0" w:line="144" w:lineRule="exact"/>
              <w:rPr>
                <w:rFonts w:ascii="Arial" w:cs="Arial" w:eastAsia="Arial" w:hAnsi="Arial"/>
                <w:sz w:val="16"/>
                <w:szCs w:val="16"/>
                <w:color w:val="0000FF"/>
              </w:rPr>
            </w:pPr>
            <w:hyperlink r:id="rId122">
              <w:r>
                <w:rPr>
                  <w:rFonts w:ascii="Arial" w:cs="Arial" w:eastAsia="Arial" w:hAnsi="Arial"/>
                  <w:sz w:val="16"/>
                  <w:szCs w:val="16"/>
                  <w:color w:val="0000FF"/>
                </w:rPr>
                <w:t>Report on Form 10-Q dated November 1, 2019, and is hereby incorporated herein by reference.</w:t>
              </w:r>
            </w:hyperlink>
          </w:p>
        </w:tc>
        <w:tc>
          <w:tcPr>
            <w:tcW w:w="40" w:type="dxa"/>
            <w:vAlign w:val="bottom"/>
            <w:gridSpan w:val="2"/>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700" w:type="dxa"/>
            <w:vAlign w:val="bottom"/>
            <w:tcBorders>
              <w:left w:val="single" w:sz="8" w:color="0000FF"/>
            </w:tcBorders>
            <w:gridSpan w:val="3"/>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*10.23</w:t>
            </w:r>
          </w:p>
        </w:tc>
        <w:tc>
          <w:tcPr>
            <w:tcW w:w="10100" w:type="dxa"/>
            <w:vAlign w:val="bottom"/>
            <w:gridSpan w:val="25"/>
          </w:tcPr>
          <w:p>
            <w:pPr>
              <w:spacing w:after="0"/>
              <w:rPr>
                <w:rFonts w:ascii="Arial" w:cs="Arial" w:eastAsia="Arial" w:hAnsi="Arial"/>
                <w:sz w:val="17"/>
                <w:szCs w:val="17"/>
                <w:color w:val="0000FF"/>
              </w:rPr>
            </w:pPr>
            <w:hyperlink r:id="rId123">
              <w:r>
                <w:rPr>
                  <w:rFonts w:ascii="Arial" w:cs="Arial" w:eastAsia="Arial" w:hAnsi="Arial"/>
                  <w:sz w:val="17"/>
                  <w:szCs w:val="17"/>
                  <w:color w:val="0000FF"/>
                </w:rPr>
                <w:t>Specimen form of Performance Share Award Agreement for the Gentex Corporation Long-Term Incentive Plan filed as exhibit to</w:t>
              </w:r>
            </w:hyperlink>
          </w:p>
        </w:tc>
      </w:tr>
      <w:tr>
        <w:trPr>
          <w:trHeight w:val="144"/>
        </w:trPr>
        <w:tc>
          <w:tcPr>
            <w:tcW w:w="1280" w:type="dxa"/>
            <w:vAlign w:val="bottom"/>
          </w:tcPr>
          <w:p>
            <w:pPr>
              <w:spacing w:after="0"/>
              <w:rPr>
                <w:sz w:val="12"/>
                <w:szCs w:val="12"/>
                <w:color w:val="auto"/>
              </w:rPr>
            </w:pPr>
          </w:p>
        </w:tc>
        <w:tc>
          <w:tcPr>
            <w:tcW w:w="10020" w:type="dxa"/>
            <w:vAlign w:val="bottom"/>
            <w:tcBorders>
              <w:top w:val="single" w:sz="8" w:color="0000FF"/>
            </w:tcBorders>
            <w:gridSpan w:val="21"/>
          </w:tcPr>
          <w:p>
            <w:pPr>
              <w:spacing w:after="0" w:line="144" w:lineRule="exact"/>
              <w:rPr>
                <w:rFonts w:ascii="Arial" w:cs="Arial" w:eastAsia="Arial" w:hAnsi="Arial"/>
                <w:sz w:val="16"/>
                <w:szCs w:val="16"/>
                <w:color w:val="0000FF"/>
              </w:rPr>
            </w:pPr>
            <w:hyperlink r:id="rId123">
              <w:r>
                <w:rPr>
                  <w:rFonts w:ascii="Arial" w:cs="Arial" w:eastAsia="Arial" w:hAnsi="Arial"/>
                  <w:sz w:val="16"/>
                  <w:szCs w:val="16"/>
                  <w:color w:val="0000FF"/>
                </w:rPr>
                <w:t>Registrant's Report on Form 10-K filed February 23, 2022, and is hereby incorporated herein by reference.</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700" w:type="dxa"/>
            <w:vAlign w:val="bottom"/>
            <w:tcBorders>
              <w:left w:val="single" w:sz="8" w:color="0000FF"/>
            </w:tcBorders>
            <w:gridSpan w:val="3"/>
            <w:shd w:val="clear" w:color="auto" w:fill="0000FF"/>
          </w:tcPr>
          <w:p>
            <w:pPr>
              <w:spacing w:after="0" w:line="20" w:lineRule="exact"/>
              <w:rPr>
                <w:sz w:val="1"/>
                <w:szCs w:val="1"/>
                <w:color w:val="auto"/>
              </w:rPr>
            </w:pPr>
          </w:p>
        </w:tc>
        <w:tc>
          <w:tcPr>
            <w:tcW w:w="200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*10.24</w:t>
            </w:r>
          </w:p>
        </w:tc>
        <w:tc>
          <w:tcPr>
            <w:tcW w:w="10100" w:type="dxa"/>
            <w:vAlign w:val="bottom"/>
            <w:gridSpan w:val="25"/>
          </w:tcPr>
          <w:p>
            <w:pPr>
              <w:spacing w:after="0"/>
              <w:rPr>
                <w:rFonts w:ascii="Arial" w:cs="Arial" w:eastAsia="Arial" w:hAnsi="Arial"/>
                <w:sz w:val="17"/>
                <w:szCs w:val="17"/>
                <w:color w:val="0000FF"/>
              </w:rPr>
            </w:pPr>
            <w:hyperlink r:id="rId124">
              <w:r>
                <w:rPr>
                  <w:rFonts w:ascii="Arial" w:cs="Arial" w:eastAsia="Arial" w:hAnsi="Arial"/>
                  <w:sz w:val="17"/>
                  <w:szCs w:val="17"/>
                  <w:color w:val="0000FF"/>
                </w:rPr>
                <w:t>2022 Gentex Corporation Employee Stock Purchase Plan was included in Registrant's Proxy Statement filed with the Commission on</w:t>
              </w:r>
            </w:hyperlink>
          </w:p>
        </w:tc>
      </w:tr>
      <w:tr>
        <w:trPr>
          <w:trHeight w:val="144"/>
        </w:trPr>
        <w:tc>
          <w:tcPr>
            <w:tcW w:w="1280" w:type="dxa"/>
            <w:vAlign w:val="bottom"/>
          </w:tcPr>
          <w:p>
            <w:pPr>
              <w:spacing w:after="0"/>
              <w:rPr>
                <w:sz w:val="12"/>
                <w:szCs w:val="12"/>
                <w:color w:val="auto"/>
              </w:rPr>
            </w:pPr>
          </w:p>
        </w:tc>
        <w:tc>
          <w:tcPr>
            <w:tcW w:w="10000" w:type="dxa"/>
            <w:vAlign w:val="bottom"/>
            <w:tcBorders>
              <w:top w:val="single" w:sz="8" w:color="0000FF"/>
            </w:tcBorders>
            <w:gridSpan w:val="20"/>
          </w:tcPr>
          <w:p>
            <w:pPr>
              <w:spacing w:after="0" w:line="144" w:lineRule="exact"/>
              <w:rPr>
                <w:rFonts w:ascii="Arial" w:cs="Arial" w:eastAsia="Arial" w:hAnsi="Arial"/>
                <w:sz w:val="16"/>
                <w:szCs w:val="16"/>
                <w:color w:val="0000FF"/>
              </w:rPr>
            </w:pPr>
            <w:hyperlink r:id="rId124">
              <w:r>
                <w:rPr>
                  <w:rFonts w:ascii="Arial" w:cs="Arial" w:eastAsia="Arial" w:hAnsi="Arial"/>
                  <w:sz w:val="16"/>
                  <w:szCs w:val="16"/>
                  <w:color w:val="0000FF"/>
                </w:rPr>
                <w:t>August 5, 2022, and is incorporated herein by reference.</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*10.25</w:t>
            </w:r>
          </w:p>
        </w:tc>
        <w:tc>
          <w:tcPr>
            <w:tcW w:w="10100" w:type="dxa"/>
            <w:vAlign w:val="bottom"/>
            <w:gridSpan w:val="25"/>
          </w:tcPr>
          <w:p>
            <w:pPr>
              <w:spacing w:after="0"/>
              <w:rPr>
                <w:rFonts w:ascii="Arial" w:cs="Arial" w:eastAsia="Arial" w:hAnsi="Arial"/>
                <w:sz w:val="17"/>
                <w:szCs w:val="17"/>
                <w:color w:val="0000FF"/>
              </w:rPr>
            </w:pPr>
            <w:hyperlink r:id="rId125">
              <w:r>
                <w:rPr>
                  <w:rFonts w:ascii="Arial" w:cs="Arial" w:eastAsia="Arial" w:hAnsi="Arial"/>
                  <w:sz w:val="17"/>
                  <w:szCs w:val="17"/>
                  <w:color w:val="0000FF"/>
                </w:rPr>
                <w:t>Specimen form of Performance Share Award Agreement for the Gentex Corporation Long-Term Incentive Plan filed as an exhibit to</w:t>
              </w:r>
            </w:hyperlink>
          </w:p>
        </w:tc>
      </w:tr>
      <w:tr>
        <w:trPr>
          <w:trHeight w:val="144"/>
        </w:trPr>
        <w:tc>
          <w:tcPr>
            <w:tcW w:w="1280" w:type="dxa"/>
            <w:vAlign w:val="bottom"/>
          </w:tcPr>
          <w:p>
            <w:pPr>
              <w:spacing w:after="0"/>
              <w:rPr>
                <w:sz w:val="12"/>
                <w:szCs w:val="12"/>
                <w:color w:val="auto"/>
              </w:rPr>
            </w:pPr>
          </w:p>
        </w:tc>
        <w:tc>
          <w:tcPr>
            <w:tcW w:w="7940" w:type="dxa"/>
            <w:vAlign w:val="bottom"/>
            <w:tcBorders>
              <w:top w:val="single" w:sz="8" w:color="0000FF"/>
              <w:bottom w:val="single" w:sz="8" w:color="0000FF"/>
            </w:tcBorders>
            <w:gridSpan w:val="10"/>
          </w:tcPr>
          <w:p>
            <w:pPr>
              <w:spacing w:after="0" w:line="144" w:lineRule="exact"/>
              <w:rPr>
                <w:rFonts w:ascii="Arial" w:cs="Arial" w:eastAsia="Arial" w:hAnsi="Arial"/>
                <w:sz w:val="16"/>
                <w:szCs w:val="16"/>
                <w:color w:val="0000FF"/>
              </w:rPr>
            </w:pPr>
            <w:hyperlink r:id="rId125">
              <w:r>
                <w:rPr>
                  <w:rFonts w:ascii="Arial" w:cs="Arial" w:eastAsia="Arial" w:hAnsi="Arial"/>
                  <w:sz w:val="16"/>
                  <w:szCs w:val="16"/>
                  <w:color w:val="0000FF"/>
                </w:rPr>
                <w:t>Registrant's Report on Form 10-K filed February 22, 2023., and is hereby incorporated herein by reference.</w:t>
              </w:r>
            </w:hyperlink>
          </w:p>
        </w:tc>
        <w:tc>
          <w:tcPr>
            <w:tcW w:w="1980" w:type="dxa"/>
            <w:vAlign w:val="bottom"/>
            <w:tcBorders>
              <w:top w:val="single" w:sz="8" w:color="0000FF"/>
            </w:tcBorders>
            <w:gridSpan w:val="6"/>
          </w:tcPr>
          <w:p>
            <w:pPr>
              <w:spacing w:after="0"/>
              <w:rPr>
                <w:sz w:val="12"/>
                <w:szCs w:val="12"/>
                <w:color w:val="auto"/>
              </w:rPr>
            </w:pPr>
          </w:p>
        </w:tc>
        <w:tc>
          <w:tcPr>
            <w:tcW w:w="12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*10.26</w:t>
            </w:r>
          </w:p>
        </w:tc>
        <w:tc>
          <w:tcPr>
            <w:tcW w:w="10100" w:type="dxa"/>
            <w:vAlign w:val="bottom"/>
            <w:gridSpan w:val="25"/>
          </w:tcPr>
          <w:p>
            <w:pPr>
              <w:spacing w:after="0"/>
              <w:rPr>
                <w:rFonts w:ascii="Arial" w:cs="Arial" w:eastAsia="Arial" w:hAnsi="Arial"/>
                <w:sz w:val="17"/>
                <w:szCs w:val="17"/>
                <w:color w:val="0000FF"/>
              </w:rPr>
            </w:pPr>
            <w:hyperlink r:id="rId126">
              <w:r>
                <w:rPr>
                  <w:rFonts w:ascii="Arial" w:cs="Arial" w:eastAsia="Arial" w:hAnsi="Arial"/>
                  <w:sz w:val="17"/>
                  <w:szCs w:val="17"/>
                  <w:color w:val="0000FF"/>
                </w:rPr>
                <w:t>Specimen form of Gentex Corporation Restricted Stock Unit Award Agreement was filed as an exhibit to Registrant's Report on Form</w:t>
              </w:r>
            </w:hyperlink>
          </w:p>
        </w:tc>
      </w:tr>
      <w:tr>
        <w:trPr>
          <w:trHeight w:val="144"/>
        </w:trPr>
        <w:tc>
          <w:tcPr>
            <w:tcW w:w="1280" w:type="dxa"/>
            <w:vAlign w:val="bottom"/>
          </w:tcPr>
          <w:p>
            <w:pPr>
              <w:spacing w:after="0"/>
              <w:rPr>
                <w:sz w:val="12"/>
                <w:szCs w:val="12"/>
                <w:color w:val="auto"/>
              </w:rPr>
            </w:pPr>
          </w:p>
        </w:tc>
        <w:tc>
          <w:tcPr>
            <w:tcW w:w="10080" w:type="dxa"/>
            <w:vAlign w:val="bottom"/>
            <w:tcBorders>
              <w:top w:val="single" w:sz="8" w:color="0000FF"/>
            </w:tcBorders>
            <w:gridSpan w:val="24"/>
          </w:tcPr>
          <w:p>
            <w:pPr>
              <w:spacing w:after="0" w:line="144" w:lineRule="exact"/>
              <w:rPr>
                <w:rFonts w:ascii="Arial" w:cs="Arial" w:eastAsia="Arial" w:hAnsi="Arial"/>
                <w:sz w:val="16"/>
                <w:szCs w:val="16"/>
                <w:color w:val="0000FF"/>
              </w:rPr>
            </w:pPr>
            <w:hyperlink r:id="rId126">
              <w:r>
                <w:rPr>
                  <w:rFonts w:ascii="Arial" w:cs="Arial" w:eastAsia="Arial" w:hAnsi="Arial"/>
                  <w:sz w:val="16"/>
                  <w:szCs w:val="16"/>
                  <w:color w:val="0000FF"/>
                </w:rPr>
                <w:t>10-Q dated November 3, 2023, and is hereby incorporated herein by reference.</w:t>
              </w:r>
            </w:hyperlink>
          </w:p>
        </w:tc>
        <w:tc>
          <w:tcPr>
            <w:tcW w:w="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5880" w:type="dxa"/>
            <w:vAlign w:val="bottom"/>
            <w:gridSpan w:val="5"/>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16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17"/>
                <w:szCs w:val="17"/>
                <w:color w:val="auto"/>
              </w:rPr>
              <w:t>10.27</w:t>
            </w:r>
          </w:p>
        </w:tc>
        <w:tc>
          <w:tcPr>
            <w:tcW w:w="10100" w:type="dxa"/>
            <w:vAlign w:val="bottom"/>
            <w:gridSpan w:val="25"/>
          </w:tcPr>
          <w:p>
            <w:pPr>
              <w:spacing w:after="0"/>
              <w:rPr>
                <w:sz w:val="20"/>
                <w:szCs w:val="20"/>
                <w:color w:val="auto"/>
              </w:rPr>
            </w:pPr>
            <w:r>
              <w:rPr>
                <w:rFonts w:ascii="Arial" w:cs="Arial" w:eastAsia="Arial" w:hAnsi="Arial"/>
                <w:sz w:val="17"/>
                <w:szCs w:val="17"/>
                <w:color w:val="0000FF"/>
              </w:rPr>
              <w:t>Stock Purchase Agreement by and among Gentex Corporation, Avalon Park International LLC and Avalon Park Group Holding AG,</w:t>
            </w:r>
          </w:p>
        </w:tc>
      </w:tr>
      <w:tr>
        <w:trPr>
          <w:trHeight w:val="144"/>
        </w:trPr>
        <w:tc>
          <w:tcPr>
            <w:tcW w:w="1280" w:type="dxa"/>
            <w:vAlign w:val="bottom"/>
          </w:tcPr>
          <w:p>
            <w:pPr>
              <w:spacing w:after="0"/>
              <w:rPr>
                <w:sz w:val="12"/>
                <w:szCs w:val="12"/>
                <w:color w:val="auto"/>
              </w:rPr>
            </w:pPr>
          </w:p>
        </w:tc>
        <w:tc>
          <w:tcPr>
            <w:tcW w:w="7880" w:type="dxa"/>
            <w:vAlign w:val="bottom"/>
            <w:tcBorders>
              <w:top w:val="single" w:sz="8" w:color="0000FF"/>
              <w:bottom w:val="single" w:sz="8" w:color="0000FF"/>
            </w:tcBorders>
            <w:gridSpan w:val="9"/>
          </w:tcPr>
          <w:p>
            <w:pPr>
              <w:spacing w:after="0" w:line="144" w:lineRule="exact"/>
              <w:rPr>
                <w:sz w:val="20"/>
                <w:szCs w:val="20"/>
                <w:color w:val="auto"/>
              </w:rPr>
            </w:pPr>
            <w:r>
              <w:rPr>
                <w:rFonts w:ascii="Arial" w:cs="Arial" w:eastAsia="Arial" w:hAnsi="Arial"/>
                <w:sz w:val="16"/>
                <w:szCs w:val="16"/>
                <w:color w:val="0000FF"/>
              </w:rPr>
              <w:t>dated as of October 4, 2023, filed as exhibit to Registrant's Report on Form 10-K filed February 22, 2024..</w:t>
            </w:r>
          </w:p>
        </w:tc>
        <w:tc>
          <w:tcPr>
            <w:tcW w:w="2160" w:type="dxa"/>
            <w:vAlign w:val="bottom"/>
            <w:tcBorders>
              <w:top w:val="single" w:sz="8" w:color="0000FF"/>
            </w:tcBorders>
            <w:gridSpan w:val="13"/>
          </w:tcPr>
          <w:p>
            <w:pPr>
              <w:spacing w:after="0"/>
              <w:rPr>
                <w:sz w:val="12"/>
                <w:szCs w:val="12"/>
                <w:color w:val="auto"/>
              </w:rPr>
            </w:pPr>
          </w:p>
        </w:tc>
        <w:tc>
          <w:tcPr>
            <w:tcW w:w="60" w:type="dxa"/>
            <w:vAlign w:val="bottom"/>
            <w:gridSpan w:val="3"/>
          </w:tcPr>
          <w:p>
            <w:pPr>
              <w:spacing w:after="0"/>
              <w:rPr>
                <w:sz w:val="12"/>
                <w:szCs w:val="12"/>
                <w:color w:val="auto"/>
              </w:rPr>
            </w:pPr>
          </w:p>
        </w:tc>
      </w:tr>
    </w:tbl>
    <w:p>
      <w:pPr>
        <w:spacing w:after="0" w:line="122" w:lineRule="exact"/>
        <w:rPr>
          <w:sz w:val="20"/>
          <w:szCs w:val="20"/>
          <w:color w:val="auto"/>
        </w:rPr>
      </w:pPr>
    </w:p>
    <w:p>
      <w:pPr>
        <w:ind w:left="1283" w:hanging="1283"/>
        <w:spacing w:after="0"/>
        <w:tabs>
          <w:tab w:leader="none" w:pos="1283"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0000FF"/>
        </w:rPr>
        <w:t>List of Company Subsidiaries</w:t>
      </w:r>
    </w:p>
    <w:p>
      <w:pPr>
        <w:spacing w:after="0" w:line="54"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1280" w:type="dxa"/>
            <w:vAlign w:val="bottom"/>
          </w:tcPr>
          <w:p>
            <w:pPr>
              <w:jc w:val="right"/>
              <w:ind w:right="876"/>
              <w:spacing w:after="0"/>
              <w:rPr>
                <w:sz w:val="20"/>
                <w:szCs w:val="20"/>
                <w:color w:val="auto"/>
              </w:rPr>
            </w:pPr>
            <w:r>
              <w:rPr>
                <w:rFonts w:ascii="Arial" w:cs="Arial" w:eastAsia="Arial" w:hAnsi="Arial"/>
                <w:sz w:val="17"/>
                <w:szCs w:val="17"/>
                <w:color w:val="auto"/>
                <w:w w:val="90"/>
              </w:rPr>
              <w:t>23.1</w:t>
            </w:r>
          </w:p>
        </w:tc>
        <w:tc>
          <w:tcPr>
            <w:tcW w:w="9900" w:type="dxa"/>
            <w:vAlign w:val="bottom"/>
            <w:gridSpan w:val="5"/>
          </w:tcPr>
          <w:p>
            <w:pPr>
              <w:spacing w:after="0"/>
              <w:rPr>
                <w:sz w:val="20"/>
                <w:szCs w:val="20"/>
                <w:color w:val="auto"/>
              </w:rPr>
            </w:pPr>
            <w:r>
              <w:rPr>
                <w:rFonts w:ascii="Arial" w:cs="Arial" w:eastAsia="Arial" w:hAnsi="Arial"/>
                <w:sz w:val="17"/>
                <w:szCs w:val="17"/>
                <w:color w:val="0000FF"/>
              </w:rPr>
              <w:t>Consent of Independent Registered Public Accounting Firm</w:t>
            </w:r>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5"/>
        </w:trPr>
        <w:tc>
          <w:tcPr>
            <w:tcW w:w="1280" w:type="dxa"/>
            <w:vAlign w:val="bottom"/>
          </w:tcPr>
          <w:p>
            <w:pPr>
              <w:jc w:val="right"/>
              <w:ind w:right="876"/>
              <w:spacing w:after="0"/>
              <w:rPr>
                <w:sz w:val="20"/>
                <w:szCs w:val="20"/>
                <w:color w:val="auto"/>
              </w:rPr>
            </w:pPr>
            <w:r>
              <w:rPr>
                <w:rFonts w:ascii="Arial" w:cs="Arial" w:eastAsia="Arial" w:hAnsi="Arial"/>
                <w:sz w:val="17"/>
                <w:szCs w:val="17"/>
                <w:color w:val="auto"/>
                <w:w w:val="90"/>
              </w:rPr>
              <w:t>31.1</w:t>
            </w:r>
          </w:p>
        </w:tc>
        <w:tc>
          <w:tcPr>
            <w:tcW w:w="9900" w:type="dxa"/>
            <w:vAlign w:val="bottom"/>
            <w:gridSpan w:val="5"/>
          </w:tcPr>
          <w:p>
            <w:pPr>
              <w:spacing w:after="0"/>
              <w:rPr>
                <w:sz w:val="20"/>
                <w:szCs w:val="20"/>
                <w:color w:val="auto"/>
              </w:rPr>
            </w:pPr>
            <w:r>
              <w:rPr>
                <w:rFonts w:ascii="Arial" w:cs="Arial" w:eastAsia="Arial" w:hAnsi="Arial"/>
                <w:sz w:val="17"/>
                <w:szCs w:val="17"/>
                <w:color w:val="0000FF"/>
              </w:rPr>
              <w:t>Certificate of the Chief Executive Officer of Gentex Corporation pursuant to Section 302 of the Sarbanes-Oxley Act of 2002 (18</w:t>
            </w:r>
          </w:p>
        </w:tc>
      </w:tr>
      <w:tr>
        <w:trPr>
          <w:trHeight w:val="144"/>
        </w:trPr>
        <w:tc>
          <w:tcPr>
            <w:tcW w:w="128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2"/>
          </w:tcPr>
          <w:p>
            <w:pPr>
              <w:spacing w:after="0" w:line="144" w:lineRule="exact"/>
              <w:rPr>
                <w:sz w:val="20"/>
                <w:szCs w:val="20"/>
                <w:color w:val="auto"/>
              </w:rPr>
            </w:pPr>
            <w:r>
              <w:rPr>
                <w:rFonts w:ascii="Arial" w:cs="Arial" w:eastAsia="Arial" w:hAnsi="Arial"/>
                <w:sz w:val="16"/>
                <w:szCs w:val="16"/>
                <w:color w:val="0000FF"/>
              </w:rPr>
              <w:t>U.S.C. 1350).</w:t>
            </w:r>
          </w:p>
        </w:tc>
        <w:tc>
          <w:tcPr>
            <w:tcW w:w="886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57"/>
        </w:trPr>
        <w:tc>
          <w:tcPr>
            <w:tcW w:w="1280" w:type="dxa"/>
            <w:vAlign w:val="bottom"/>
          </w:tcPr>
          <w:p>
            <w:pPr>
              <w:jc w:val="right"/>
              <w:ind w:right="876"/>
              <w:spacing w:after="0"/>
              <w:rPr>
                <w:sz w:val="20"/>
                <w:szCs w:val="20"/>
                <w:color w:val="auto"/>
              </w:rPr>
            </w:pPr>
            <w:r>
              <w:rPr>
                <w:rFonts w:ascii="Arial" w:cs="Arial" w:eastAsia="Arial" w:hAnsi="Arial"/>
                <w:sz w:val="17"/>
                <w:szCs w:val="17"/>
                <w:color w:val="auto"/>
                <w:w w:val="90"/>
              </w:rPr>
              <w:t>31.2</w:t>
            </w:r>
          </w:p>
        </w:tc>
        <w:tc>
          <w:tcPr>
            <w:tcW w:w="990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8"/>
              </w:rPr>
              <w:t>Certificate of the Chief Financial Officer of Gentex Corporation pursuant to Section 302 of the Sarbanes-Oxley Act of 2002 (18 U.S.C.</w:t>
            </w:r>
          </w:p>
        </w:tc>
      </w:tr>
      <w:tr>
        <w:trPr>
          <w:trHeight w:val="144"/>
        </w:trPr>
        <w:tc>
          <w:tcPr>
            <w:tcW w:w="1280" w:type="dxa"/>
            <w:vAlign w:val="bottom"/>
          </w:tcPr>
          <w:p>
            <w:pPr>
              <w:spacing w:after="0"/>
              <w:rPr>
                <w:sz w:val="12"/>
                <w:szCs w:val="12"/>
                <w:color w:val="auto"/>
              </w:rPr>
            </w:pPr>
          </w:p>
        </w:tc>
        <w:tc>
          <w:tcPr>
            <w:tcW w:w="480" w:type="dxa"/>
            <w:vAlign w:val="bottom"/>
            <w:tcBorders>
              <w:bottom w:val="single" w:sz="8" w:color="0000FF"/>
            </w:tcBorders>
          </w:tcPr>
          <w:p>
            <w:pPr>
              <w:spacing w:after="0" w:line="144" w:lineRule="exact"/>
              <w:rPr>
                <w:sz w:val="20"/>
                <w:szCs w:val="20"/>
                <w:color w:val="auto"/>
              </w:rPr>
            </w:pPr>
            <w:r>
              <w:rPr>
                <w:rFonts w:ascii="Arial" w:cs="Arial" w:eastAsia="Arial" w:hAnsi="Arial"/>
                <w:sz w:val="16"/>
                <w:szCs w:val="16"/>
                <w:color w:val="0000FF"/>
              </w:rPr>
              <w:t>1350).</w:t>
            </w:r>
          </w:p>
        </w:tc>
        <w:tc>
          <w:tcPr>
            <w:tcW w:w="5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84" w:lineRule="exact"/>
        <w:rPr>
          <w:sz w:val="20"/>
          <w:szCs w:val="20"/>
          <w:color w:val="auto"/>
        </w:rPr>
      </w:pPr>
    </w:p>
    <w:p>
      <w:pPr>
        <w:ind w:left="1283" w:hanging="1283"/>
        <w:spacing w:after="0" w:line="236" w:lineRule="auto"/>
        <w:tabs>
          <w:tab w:leader="none" w:pos="1283"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0000FF"/>
        </w:rPr>
        <w:t>Certificate of the Chief Executive Officer and Chief Financial Officer of Gentex Corporation pursuant to Section 906 of the Sarbanes-Oxley Act of 2002 (18 U.S.C. § 1350).</w:t>
      </w:r>
    </w:p>
    <w:p>
      <w:pPr>
        <w:spacing w:after="0" w:line="200" w:lineRule="exact"/>
        <w:rPr>
          <w:sz w:val="20"/>
          <w:szCs w:val="20"/>
          <w:color w:val="auto"/>
        </w:rPr>
      </w:pPr>
    </w:p>
    <w:p>
      <w:pPr>
        <w:spacing w:after="0" w:line="397" w:lineRule="exact"/>
        <w:rPr>
          <w:sz w:val="20"/>
          <w:szCs w:val="20"/>
          <w:color w:val="auto"/>
        </w:rPr>
      </w:pPr>
    </w:p>
    <w:p>
      <w:pPr>
        <w:jc w:val="center"/>
        <w:ind w:right="-22"/>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65405</wp:posOffset>
            </wp:positionV>
            <wp:extent cx="716724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83"/>
          </w:cols>
          <w:pgMar w:left="337" w:top="862" w:right="379" w:bottom="1440" w:gutter="0" w:footer="0" w:header="0"/>
        </w:sectPr>
      </w:pPr>
    </w:p>
    <w:bookmarkStart w:id="79" w:name="page80"/>
    <w:bookmarkEnd w:id="79"/>
    <w:p>
      <w:pPr>
        <w:ind w:left="1283" w:hanging="1283"/>
        <w:spacing w:after="0"/>
        <w:tabs>
          <w:tab w:leader="none" w:pos="1283"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0000FF"/>
        </w:rPr>
        <w:t>Gentex Corporation Incentive-Based Compensation Recoupment Policy, effective November 16, 2023</w:t>
      </w:r>
    </w:p>
    <w:p>
      <w:pPr>
        <w:spacing w:after="0" w:line="38" w:lineRule="exact"/>
        <w:rPr>
          <w:sz w:val="20"/>
          <w:szCs w:val="20"/>
          <w:color w:val="auto"/>
        </w:rPr>
      </w:pPr>
    </w:p>
    <w:tbl>
      <w:tblPr>
        <w:tblLayout w:type="fixed"/>
        <w:tblInd w:w="3" w:type="dxa"/>
        <w:tblCellMar>
          <w:top w:w="0" w:type="dxa"/>
          <w:left w:w="0" w:type="dxa"/>
          <w:bottom w:w="0" w:type="dxa"/>
          <w:right w:w="0" w:type="dxa"/>
        </w:tblCellMar>
      </w:tblPr>
      <w:tr>
        <w:trPr>
          <w:trHeight w:val="206"/>
        </w:trPr>
        <w:tc>
          <w:tcPr>
            <w:tcW w:w="980" w:type="dxa"/>
            <w:vAlign w:val="bottom"/>
          </w:tcPr>
          <w:p>
            <w:pPr>
              <w:spacing w:after="0"/>
              <w:rPr>
                <w:sz w:val="20"/>
                <w:szCs w:val="20"/>
                <w:color w:val="auto"/>
              </w:rPr>
            </w:pPr>
            <w:r>
              <w:rPr>
                <w:rFonts w:ascii="Arial" w:cs="Arial" w:eastAsia="Arial" w:hAnsi="Arial"/>
                <w:sz w:val="17"/>
                <w:szCs w:val="17"/>
                <w:color w:val="auto"/>
              </w:rPr>
              <w:t>101.INS</w:t>
            </w:r>
          </w:p>
        </w:tc>
        <w:tc>
          <w:tcPr>
            <w:tcW w:w="4040" w:type="dxa"/>
            <w:vAlign w:val="bottom"/>
          </w:tcPr>
          <w:p>
            <w:pPr>
              <w:ind w:left="300"/>
              <w:spacing w:after="0"/>
              <w:rPr>
                <w:sz w:val="20"/>
                <w:szCs w:val="20"/>
                <w:color w:val="auto"/>
              </w:rPr>
            </w:pPr>
            <w:r>
              <w:rPr>
                <w:rFonts w:ascii="Arial" w:cs="Arial" w:eastAsia="Arial" w:hAnsi="Arial"/>
                <w:sz w:val="17"/>
                <w:szCs w:val="17"/>
                <w:color w:val="auto"/>
              </w:rPr>
              <w:t>XBRL Instance Document</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101.SCH</w:t>
            </w:r>
          </w:p>
        </w:tc>
        <w:tc>
          <w:tcPr>
            <w:tcW w:w="4040" w:type="dxa"/>
            <w:vAlign w:val="bottom"/>
          </w:tcPr>
          <w:p>
            <w:pPr>
              <w:ind w:left="300"/>
              <w:spacing w:after="0"/>
              <w:rPr>
                <w:sz w:val="20"/>
                <w:szCs w:val="20"/>
                <w:color w:val="auto"/>
              </w:rPr>
            </w:pPr>
            <w:r>
              <w:rPr>
                <w:rFonts w:ascii="Arial" w:cs="Arial" w:eastAsia="Arial" w:hAnsi="Arial"/>
                <w:sz w:val="17"/>
                <w:szCs w:val="17"/>
                <w:color w:val="auto"/>
              </w:rPr>
              <w:t>XBRL Taxonomy Extension Schema</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101.CAL</w:t>
            </w:r>
          </w:p>
        </w:tc>
        <w:tc>
          <w:tcPr>
            <w:tcW w:w="4040" w:type="dxa"/>
            <w:vAlign w:val="bottom"/>
          </w:tcPr>
          <w:p>
            <w:pPr>
              <w:ind w:left="300"/>
              <w:spacing w:after="0"/>
              <w:rPr>
                <w:sz w:val="20"/>
                <w:szCs w:val="20"/>
                <w:color w:val="auto"/>
              </w:rPr>
            </w:pPr>
            <w:r>
              <w:rPr>
                <w:rFonts w:ascii="Arial" w:cs="Arial" w:eastAsia="Arial" w:hAnsi="Arial"/>
                <w:sz w:val="17"/>
                <w:szCs w:val="17"/>
                <w:color w:val="auto"/>
              </w:rPr>
              <w:t>XBRL Taxonomy Extension Calculation Linkbase</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101.DEF</w:t>
            </w:r>
          </w:p>
        </w:tc>
        <w:tc>
          <w:tcPr>
            <w:tcW w:w="4040" w:type="dxa"/>
            <w:vAlign w:val="bottom"/>
          </w:tcPr>
          <w:p>
            <w:pPr>
              <w:ind w:left="300"/>
              <w:spacing w:after="0"/>
              <w:rPr>
                <w:sz w:val="20"/>
                <w:szCs w:val="20"/>
                <w:color w:val="auto"/>
              </w:rPr>
            </w:pPr>
            <w:r>
              <w:rPr>
                <w:rFonts w:ascii="Arial" w:cs="Arial" w:eastAsia="Arial" w:hAnsi="Arial"/>
                <w:sz w:val="17"/>
                <w:szCs w:val="17"/>
                <w:color w:val="auto"/>
              </w:rPr>
              <w:t>XBRL Taxonomy Extension Definition Linkbase</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101.LAB</w:t>
            </w:r>
          </w:p>
        </w:tc>
        <w:tc>
          <w:tcPr>
            <w:tcW w:w="4040" w:type="dxa"/>
            <w:vAlign w:val="bottom"/>
          </w:tcPr>
          <w:p>
            <w:pPr>
              <w:ind w:left="300"/>
              <w:spacing w:after="0"/>
              <w:rPr>
                <w:sz w:val="20"/>
                <w:szCs w:val="20"/>
                <w:color w:val="auto"/>
              </w:rPr>
            </w:pPr>
            <w:r>
              <w:rPr>
                <w:rFonts w:ascii="Arial" w:cs="Arial" w:eastAsia="Arial" w:hAnsi="Arial"/>
                <w:sz w:val="17"/>
                <w:szCs w:val="17"/>
                <w:color w:val="auto"/>
              </w:rPr>
              <w:t>XBRL Taxonomy Extension Label Linkbase</w:t>
            </w:r>
          </w:p>
        </w:tc>
      </w:tr>
      <w:tr>
        <w:trPr>
          <w:trHeight w:val="222"/>
        </w:trPr>
        <w:tc>
          <w:tcPr>
            <w:tcW w:w="980" w:type="dxa"/>
            <w:vAlign w:val="bottom"/>
          </w:tcPr>
          <w:p>
            <w:pPr>
              <w:spacing w:after="0"/>
              <w:rPr>
                <w:sz w:val="20"/>
                <w:szCs w:val="20"/>
                <w:color w:val="auto"/>
              </w:rPr>
            </w:pPr>
            <w:r>
              <w:rPr>
                <w:rFonts w:ascii="Arial" w:cs="Arial" w:eastAsia="Arial" w:hAnsi="Arial"/>
                <w:sz w:val="17"/>
                <w:szCs w:val="17"/>
                <w:color w:val="auto"/>
              </w:rPr>
              <w:t>101.PRE</w:t>
            </w:r>
          </w:p>
        </w:tc>
        <w:tc>
          <w:tcPr>
            <w:tcW w:w="4040" w:type="dxa"/>
            <w:vAlign w:val="bottom"/>
          </w:tcPr>
          <w:p>
            <w:pPr>
              <w:ind w:left="300"/>
              <w:spacing w:after="0"/>
              <w:rPr>
                <w:sz w:val="20"/>
                <w:szCs w:val="20"/>
                <w:color w:val="auto"/>
              </w:rPr>
            </w:pPr>
            <w:r>
              <w:rPr>
                <w:rFonts w:ascii="Arial" w:cs="Arial" w:eastAsia="Arial" w:hAnsi="Arial"/>
                <w:sz w:val="17"/>
                <w:szCs w:val="17"/>
                <w:color w:val="auto"/>
                <w:w w:val="97"/>
              </w:rPr>
              <w:t>XBRL Taxonomy Extension Presentation Linkbase</w:t>
            </w:r>
          </w:p>
        </w:tc>
      </w:tr>
    </w:tbl>
    <w:p>
      <w:pPr>
        <w:spacing w:after="0" w:line="68" w:lineRule="exact"/>
        <w:rPr>
          <w:sz w:val="20"/>
          <w:szCs w:val="20"/>
          <w:color w:val="auto"/>
        </w:rPr>
      </w:pPr>
    </w:p>
    <w:p>
      <w:pPr>
        <w:ind w:left="23"/>
        <w:spacing w:after="0"/>
        <w:rPr>
          <w:sz w:val="20"/>
          <w:szCs w:val="20"/>
          <w:color w:val="auto"/>
        </w:rPr>
      </w:pPr>
      <w:r>
        <w:rPr>
          <w:rFonts w:ascii="Arial" w:cs="Arial" w:eastAsia="Arial" w:hAnsi="Arial"/>
          <w:sz w:val="17"/>
          <w:szCs w:val="17"/>
          <w:color w:val="auto"/>
        </w:rPr>
        <w:t>*Indicates a compensatory plan or arrangement.</w:t>
      </w:r>
    </w:p>
    <w:p>
      <w:pPr>
        <w:spacing w:after="0" w:line="200" w:lineRule="exact"/>
        <w:rPr>
          <w:sz w:val="20"/>
          <w:szCs w:val="20"/>
          <w:color w:val="auto"/>
        </w:rPr>
      </w:pPr>
    </w:p>
    <w:p>
      <w:pPr>
        <w:spacing w:after="0" w:line="322" w:lineRule="exact"/>
        <w:rPr>
          <w:sz w:val="20"/>
          <w:szCs w:val="20"/>
          <w:color w:val="auto"/>
        </w:rPr>
      </w:pPr>
    </w:p>
    <w:p>
      <w:pPr>
        <w:ind w:left="5523"/>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122"/>
          </w:cols>
          <w:pgMar w:left="337" w:top="877" w:right="1440"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STOCK PURCHASE AGREEMENT</w:t>
      </w:r>
    </w:p>
    <w:p>
      <w:pPr>
        <w:spacing w:after="0" w:line="177" w:lineRule="exact"/>
        <w:rPr>
          <w:sz w:val="20"/>
          <w:szCs w:val="20"/>
          <w:color w:val="auto"/>
        </w:rPr>
      </w:pPr>
    </w:p>
    <w:p>
      <w:pPr>
        <w:ind w:right="720" w:firstLine="604"/>
        <w:spacing w:after="0" w:line="242" w:lineRule="auto"/>
        <w:rPr>
          <w:sz w:val="20"/>
          <w:szCs w:val="20"/>
          <w:color w:val="auto"/>
        </w:rPr>
      </w:pPr>
      <w:r>
        <w:rPr>
          <w:rFonts w:ascii="Times New Roman" w:cs="Times New Roman" w:eastAsia="Times New Roman" w:hAnsi="Times New Roman"/>
          <w:sz w:val="20"/>
          <w:szCs w:val="20"/>
          <w:color w:val="auto"/>
        </w:rPr>
        <w:t>This Stock Purchase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as of October 4, 2023, by and among Gentex Corporation (the “</w:t>
      </w:r>
      <w:r>
        <w:rPr>
          <w:rFonts w:ascii="Times New Roman" w:cs="Times New Roman" w:eastAsia="Times New Roman" w:hAnsi="Times New Roman"/>
          <w:sz w:val="20"/>
          <w:szCs w:val="20"/>
          <w:u w:val="single" w:color="auto"/>
          <w:color w:val="auto"/>
        </w:rPr>
        <w:t>Purchaser</w:t>
      </w:r>
      <w:r>
        <w:rPr>
          <w:rFonts w:ascii="Times New Roman" w:cs="Times New Roman" w:eastAsia="Times New Roman" w:hAnsi="Times New Roman"/>
          <w:sz w:val="20"/>
          <w:szCs w:val="20"/>
          <w:color w:val="auto"/>
        </w:rPr>
        <w:t xml:space="preserve">”), and the entities identified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Sellers</w:t>
      </w:r>
      <w:r>
        <w:rPr>
          <w:rFonts w:ascii="Times New Roman" w:cs="Times New Roman" w:eastAsia="Times New Roman" w:hAnsi="Times New Roman"/>
          <w:sz w:val="20"/>
          <w:szCs w:val="20"/>
          <w:color w:val="auto"/>
        </w:rPr>
        <w:t>”).</w:t>
      </w:r>
    </w:p>
    <w:p>
      <w:pPr>
        <w:spacing w:after="0" w:line="140" w:lineRule="exact"/>
        <w:rPr>
          <w:sz w:val="20"/>
          <w:szCs w:val="20"/>
          <w:color w:val="auto"/>
        </w:rPr>
      </w:pPr>
    </w:p>
    <w:p>
      <w:pPr>
        <w:ind w:right="60" w:firstLine="604"/>
        <w:spacing w:after="0" w:line="225" w:lineRule="auto"/>
        <w:rPr>
          <w:sz w:val="20"/>
          <w:szCs w:val="20"/>
          <w:color w:val="auto"/>
        </w:rPr>
      </w:pPr>
      <w:r>
        <w:rPr>
          <w:rFonts w:ascii="Times New Roman" w:cs="Times New Roman" w:eastAsia="Times New Roman" w:hAnsi="Times New Roman"/>
          <w:sz w:val="20"/>
          <w:szCs w:val="20"/>
          <w:color w:val="auto"/>
        </w:rPr>
        <w:t>WHEREAS, the Sellers wish to transfer, assign, sell, convey and deliver to the Purchaser, and the Purchaser wishes to purchase from the Sellers, an aggregate of up to 3,137,500 shares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of Class A Common Stock, $0.01 par value per share (the “</w:t>
      </w:r>
      <w:r>
        <w:rPr>
          <w:rFonts w:ascii="Times New Roman" w:cs="Times New Roman" w:eastAsia="Times New Roman" w:hAnsi="Times New Roman"/>
          <w:sz w:val="20"/>
          <w:szCs w:val="20"/>
          <w:u w:val="single" w:color="auto"/>
          <w:color w:val="auto"/>
        </w:rPr>
        <w:t>Class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of VOXX International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in two tranches, in the amounts, at the prices, on the dates and on the terms and subject to the conditions set forth in this Agreement (the “</w:t>
      </w:r>
      <w:r>
        <w:rPr>
          <w:rFonts w:ascii="Times New Roman" w:cs="Times New Roman" w:eastAsia="Times New Roman" w:hAnsi="Times New Roman"/>
          <w:sz w:val="20"/>
          <w:szCs w:val="20"/>
          <w:u w:val="single" w:color="auto"/>
          <w:color w:val="auto"/>
        </w:rPr>
        <w:t>Offerings</w:t>
      </w:r>
      <w:r>
        <w:rPr>
          <w:rFonts w:ascii="Times New Roman" w:cs="Times New Roman" w:eastAsia="Times New Roman" w:hAnsi="Times New Roman"/>
          <w:sz w:val="20"/>
          <w:szCs w:val="20"/>
          <w:color w:val="auto"/>
        </w:rPr>
        <w:t>”); and</w:t>
      </w:r>
    </w:p>
    <w:p>
      <w:pPr>
        <w:spacing w:after="0" w:line="144" w:lineRule="exact"/>
        <w:rPr>
          <w:sz w:val="20"/>
          <w:szCs w:val="20"/>
          <w:color w:val="auto"/>
        </w:rPr>
      </w:pPr>
    </w:p>
    <w:p>
      <w:pPr>
        <w:ind w:right="740" w:firstLine="604"/>
        <w:spacing w:after="0" w:line="242" w:lineRule="auto"/>
        <w:rPr>
          <w:sz w:val="20"/>
          <w:szCs w:val="20"/>
          <w:color w:val="auto"/>
        </w:rPr>
      </w:pPr>
      <w:r>
        <w:rPr>
          <w:rFonts w:ascii="Times New Roman" w:cs="Times New Roman" w:eastAsia="Times New Roman" w:hAnsi="Times New Roman"/>
          <w:sz w:val="20"/>
          <w:szCs w:val="20"/>
          <w:color w:val="auto"/>
        </w:rPr>
        <w:t>NOW, THEREFORE, in consideration of the mutual covenants and agreements herein set forth, and for good and valuable consideration, the Purchaser and each Seller, severally and not jointly, agree as follows:</w:t>
      </w:r>
    </w:p>
    <w:p>
      <w:pPr>
        <w:spacing w:after="0" w:line="140" w:lineRule="exact"/>
        <w:rPr>
          <w:sz w:val="20"/>
          <w:szCs w:val="20"/>
          <w:color w:val="auto"/>
        </w:rPr>
      </w:pPr>
    </w:p>
    <w:p>
      <w:pPr>
        <w:ind w:left="1200" w:hanging="596"/>
        <w:spacing w:after="0"/>
        <w:tabs>
          <w:tab w:leader="none" w:pos="12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and Sale of the Shares</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600" w:right="80" w:firstLine="608"/>
        <w:spacing w:after="0" w:line="217" w:lineRule="auto"/>
        <w:tabs>
          <w:tab w:leader="none" w:pos="1805"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closing of the Offering of the Shares listed under “Tranche 1” of Schedule 2 (“</w:t>
      </w:r>
      <w:r>
        <w:rPr>
          <w:rFonts w:ascii="Times New Roman" w:cs="Times New Roman" w:eastAsia="Times New Roman" w:hAnsi="Times New Roman"/>
          <w:sz w:val="20"/>
          <w:szCs w:val="20"/>
          <w:u w:val="single" w:color="auto"/>
          <w:color w:val="auto"/>
        </w:rPr>
        <w:t>Tranche 1 Shares</w:t>
      </w:r>
      <w:r>
        <w:rPr>
          <w:rFonts w:ascii="Times New Roman" w:cs="Times New Roman" w:eastAsia="Times New Roman" w:hAnsi="Times New Roman"/>
          <w:sz w:val="20"/>
          <w:szCs w:val="20"/>
          <w:color w:val="auto"/>
        </w:rPr>
        <w:t>” and such closing, the “</w:t>
      </w:r>
      <w:r>
        <w:rPr>
          <w:rFonts w:ascii="Times New Roman" w:cs="Times New Roman" w:eastAsia="Times New Roman" w:hAnsi="Times New Roman"/>
          <w:sz w:val="20"/>
          <w:szCs w:val="20"/>
          <w:u w:val="single" w:color="auto"/>
          <w:color w:val="auto"/>
        </w:rPr>
        <w:t>Tranche 1 Closing</w:t>
      </w:r>
      <w:r>
        <w:rPr>
          <w:rFonts w:ascii="Times New Roman" w:cs="Times New Roman" w:eastAsia="Times New Roman" w:hAnsi="Times New Roman"/>
          <w:sz w:val="20"/>
          <w:szCs w:val="20"/>
          <w:color w:val="auto"/>
        </w:rPr>
        <w:t xml:space="preserve">”), and subject to the terms and conditions hereof, each of the Sellers, severally and not jointly, will transfer, assign, sell, convey and deliver to the Purchaser, the number of Shares set forth opposite such Seller’s name in the table entitled “Tranche 1”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and the Purchaser will purchase from the Sellers the number of Shares set forth opposite the Purchaser’s name in the table entitled “Tranche 1” in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In connection with such transfer, each of the Sellers will deliver the Tranche 1 Shares to be sold by it to the Purchaser (as provided in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 xml:space="preserve"> below). In exchange for the transfer of the Tranche 1 Shares, the Purchaser will pay each Seller the aggregate amount obtained by multiplying the Tranche 1 Shares by the Tranche 1 Share Purchase Price (as defined in Schedule 1) (the “</w:t>
      </w:r>
      <w:r>
        <w:rPr>
          <w:rFonts w:ascii="Times New Roman" w:cs="Times New Roman" w:eastAsia="Times New Roman" w:hAnsi="Times New Roman"/>
          <w:sz w:val="20"/>
          <w:szCs w:val="20"/>
          <w:u w:val="single" w:color="auto"/>
          <w:color w:val="auto"/>
        </w:rPr>
        <w:t>Tranche 1 Purchase Consideration</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ind w:left="600" w:right="100" w:firstLine="608"/>
        <w:spacing w:after="0" w:line="217" w:lineRule="auto"/>
        <w:tabs>
          <w:tab w:leader="none" w:pos="1803"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closing of the Offering of the Shares listed under “Tranche 2” of Schedule 2 (“</w:t>
      </w:r>
      <w:r>
        <w:rPr>
          <w:rFonts w:ascii="Times New Roman" w:cs="Times New Roman" w:eastAsia="Times New Roman" w:hAnsi="Times New Roman"/>
          <w:sz w:val="20"/>
          <w:szCs w:val="20"/>
          <w:u w:val="single" w:color="auto"/>
          <w:color w:val="auto"/>
        </w:rPr>
        <w:t>Tranche 2 Shares</w:t>
      </w:r>
      <w:r>
        <w:rPr>
          <w:rFonts w:ascii="Times New Roman" w:cs="Times New Roman" w:eastAsia="Times New Roman" w:hAnsi="Times New Roman"/>
          <w:sz w:val="20"/>
          <w:szCs w:val="20"/>
          <w:color w:val="auto"/>
        </w:rPr>
        <w:t>” and such closing, the “</w:t>
      </w:r>
      <w:r>
        <w:rPr>
          <w:rFonts w:ascii="Times New Roman" w:cs="Times New Roman" w:eastAsia="Times New Roman" w:hAnsi="Times New Roman"/>
          <w:sz w:val="20"/>
          <w:szCs w:val="20"/>
          <w:u w:val="single" w:color="auto"/>
          <w:color w:val="auto"/>
        </w:rPr>
        <w:t>Tranche 2 Closing</w:t>
      </w:r>
      <w:r>
        <w:rPr>
          <w:rFonts w:ascii="Times New Roman" w:cs="Times New Roman" w:eastAsia="Times New Roman" w:hAnsi="Times New Roman"/>
          <w:sz w:val="20"/>
          <w:szCs w:val="20"/>
          <w:color w:val="auto"/>
        </w:rPr>
        <w:t>” and with the Tranche 1 Closing, each an “</w:t>
      </w:r>
      <w:r>
        <w:rPr>
          <w:rFonts w:ascii="Times New Roman" w:cs="Times New Roman" w:eastAsia="Times New Roman" w:hAnsi="Times New Roman"/>
          <w:sz w:val="20"/>
          <w:szCs w:val="20"/>
          <w:u w:val="single" w:color="auto"/>
          <w:color w:val="auto"/>
        </w:rPr>
        <w:t>Offering Closing</w:t>
      </w:r>
      <w:r>
        <w:rPr>
          <w:rFonts w:ascii="Times New Roman" w:cs="Times New Roman" w:eastAsia="Times New Roman" w:hAnsi="Times New Roman"/>
          <w:sz w:val="20"/>
          <w:szCs w:val="20"/>
          <w:color w:val="auto"/>
        </w:rPr>
        <w:t xml:space="preserve">”), and subject to the terms and conditions hereof, each of the Sellers, severally and not jointly, will transfer, assign, sell, convey and deliver to the Purchaser, the number of Shares set forth opposite such Seller’s name in the table entitled “Tranche 2”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and the Purchaser will purchase from the Sellers the number of Shares set forth opposite the Purchaser’s name in the table entitled “Tranche 2” in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In connection with such transfer, each of the Sellers will deliver the Tranche 2 Shares to be sold by it to the Purchaser (as provided in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 xml:space="preserve"> below). In exchange for the transfer of the Tranche 2 Shares, the Purchaser will pay each Seller the aggregate amount obtained by multiplying the Tranche 2 Shares by the Tranche 2 Share Purchase Price (as defined in Schedule 1) (the “</w:t>
      </w:r>
      <w:r>
        <w:rPr>
          <w:rFonts w:ascii="Times New Roman" w:cs="Times New Roman" w:eastAsia="Times New Roman" w:hAnsi="Times New Roman"/>
          <w:sz w:val="20"/>
          <w:szCs w:val="20"/>
          <w:u w:val="single" w:color="auto"/>
          <w:color w:val="auto"/>
        </w:rPr>
        <w:t>Tranche 2 Purchase Consideration</w:t>
      </w:r>
      <w:r>
        <w:rPr>
          <w:rFonts w:ascii="Times New Roman" w:cs="Times New Roman" w:eastAsia="Times New Roman" w:hAnsi="Times New Roman"/>
          <w:sz w:val="20"/>
          <w:szCs w:val="20"/>
          <w:color w:val="auto"/>
        </w:rPr>
        <w:t>” and, together with the Tranche 1 Purchase Consideration, the “</w:t>
      </w:r>
      <w:r>
        <w:rPr>
          <w:rFonts w:ascii="Times New Roman" w:cs="Times New Roman" w:eastAsia="Times New Roman" w:hAnsi="Times New Roman"/>
          <w:sz w:val="20"/>
          <w:szCs w:val="20"/>
          <w:u w:val="single" w:color="auto"/>
          <w:color w:val="auto"/>
        </w:rPr>
        <w:t>Purchase Consideration</w:t>
      </w:r>
      <w:r>
        <w:rPr>
          <w:rFonts w:ascii="Times New Roman" w:cs="Times New Roman" w:eastAsia="Times New Roman" w:hAnsi="Times New Roman"/>
          <w:sz w:val="20"/>
          <w:szCs w:val="20"/>
          <w:color w:val="auto"/>
        </w:rPr>
        <w:t>”).</w:t>
      </w:r>
    </w:p>
    <w:p>
      <w:pPr>
        <w:spacing w:after="0" w:line="141" w:lineRule="exact"/>
        <w:rPr>
          <w:rFonts w:ascii="Times New Roman" w:cs="Times New Roman" w:eastAsia="Times New Roman" w:hAnsi="Times New Roman"/>
          <w:sz w:val="20"/>
          <w:szCs w:val="20"/>
          <w:color w:val="auto"/>
        </w:rPr>
      </w:pPr>
    </w:p>
    <w:p>
      <w:pPr>
        <w:ind w:left="600" w:firstLine="608"/>
        <w:spacing w:after="0" w:line="242" w:lineRule="auto"/>
        <w:tabs>
          <w:tab w:leader="none" w:pos="1805"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satisfaction or waiver of the conditions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 (other than conditions that by their nature are to be satisfied at the applicable Offering Closing, but subject to the satisfaction or waiver of those conditions 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138827006_3</w:t>
      </w:r>
    </w:p>
    <w:p>
      <w:pPr>
        <w:sectPr>
          <w:pgSz w:w="11900" w:h="16838" w:orient="portrait"/>
          <w:cols w:equalWidth="0" w:num="1">
            <w:col w:w="11220"/>
          </w:cols>
          <w:pgMar w:left="320" w:top="1305" w:right="359" w:bottom="1440" w:gutter="0" w:footer="0" w:header="0"/>
        </w:sectPr>
      </w:pPr>
    </w:p>
    <w:bookmarkStart w:id="81" w:name="page82"/>
    <w:bookmarkEnd w:id="81"/>
    <w:p>
      <w:pPr>
        <w:jc w:val="both"/>
        <w:ind w:left="600" w:right="220"/>
        <w:spacing w:after="0" w:line="230" w:lineRule="auto"/>
        <w:rPr>
          <w:sz w:val="20"/>
          <w:szCs w:val="20"/>
          <w:color w:val="auto"/>
        </w:rPr>
      </w:pPr>
      <w:r>
        <w:rPr>
          <w:rFonts w:ascii="Times New Roman" w:cs="Times New Roman" w:eastAsia="Times New Roman" w:hAnsi="Times New Roman"/>
          <w:sz w:val="20"/>
          <w:szCs w:val="20"/>
          <w:color w:val="auto"/>
        </w:rPr>
        <w:t>time), (i) the Tranche 1 Closing shall occur on October 6, 2023 (the “</w:t>
      </w:r>
      <w:r>
        <w:rPr>
          <w:rFonts w:ascii="Times New Roman" w:cs="Times New Roman" w:eastAsia="Times New Roman" w:hAnsi="Times New Roman"/>
          <w:sz w:val="20"/>
          <w:szCs w:val="20"/>
          <w:u w:val="single" w:color="auto"/>
          <w:color w:val="auto"/>
        </w:rPr>
        <w:t>Tranche 1 Settlement Date</w:t>
      </w:r>
      <w:r>
        <w:rPr>
          <w:rFonts w:ascii="Times New Roman" w:cs="Times New Roman" w:eastAsia="Times New Roman" w:hAnsi="Times New Roman"/>
          <w:sz w:val="20"/>
          <w:szCs w:val="20"/>
          <w:color w:val="auto"/>
        </w:rPr>
        <w:t>”) and (ii) the Tranche 2 Closing shall occur on or about January 5, 2024 (the “</w:t>
      </w:r>
      <w:r>
        <w:rPr>
          <w:rFonts w:ascii="Times New Roman" w:cs="Times New Roman" w:eastAsia="Times New Roman" w:hAnsi="Times New Roman"/>
          <w:sz w:val="20"/>
          <w:szCs w:val="20"/>
          <w:u w:val="single" w:color="auto"/>
          <w:color w:val="auto"/>
        </w:rPr>
        <w:t>Tranche 2 Settlement Date</w:t>
      </w:r>
      <w:r>
        <w:rPr>
          <w:rFonts w:ascii="Times New Roman" w:cs="Times New Roman" w:eastAsia="Times New Roman" w:hAnsi="Times New Roman"/>
          <w:sz w:val="20"/>
          <w:szCs w:val="20"/>
          <w:color w:val="auto"/>
        </w:rPr>
        <w:t>” and, together with the Tranche 1 Settlement Date, the “</w:t>
      </w:r>
      <w:r>
        <w:rPr>
          <w:rFonts w:ascii="Times New Roman" w:cs="Times New Roman" w:eastAsia="Times New Roman" w:hAnsi="Times New Roman"/>
          <w:sz w:val="20"/>
          <w:szCs w:val="20"/>
          <w:u w:val="single" w:color="auto"/>
          <w:color w:val="auto"/>
        </w:rPr>
        <w:t>Settlement Dates</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ind w:left="1200" w:hanging="596"/>
        <w:spacing w:after="0"/>
        <w:tabs>
          <w:tab w:leader="none" w:pos="12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Deliveries at Closing</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600" w:right="160" w:firstLine="608"/>
        <w:spacing w:after="0" w:line="230" w:lineRule="auto"/>
        <w:tabs>
          <w:tab w:leader="none" w:pos="1805"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Tranche 1 Closing, each Seller shall, severally and not jointly, transfer or cause to be transferred to the Purchaser the number of Shares set forth opposite such Seller’s name in the table entitled “Tranche 1”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in electronic form via book-entry record through the Transfer Agent.</w:t>
      </w:r>
    </w:p>
    <w:p>
      <w:pPr>
        <w:spacing w:after="0" w:line="143" w:lineRule="exact"/>
        <w:rPr>
          <w:rFonts w:ascii="Times New Roman" w:cs="Times New Roman" w:eastAsia="Times New Roman" w:hAnsi="Times New Roman"/>
          <w:sz w:val="20"/>
          <w:szCs w:val="20"/>
          <w:color w:val="auto"/>
        </w:rPr>
      </w:pPr>
    </w:p>
    <w:p>
      <w:pPr>
        <w:ind w:left="600" w:right="60" w:firstLine="608"/>
        <w:spacing w:after="0" w:line="230" w:lineRule="auto"/>
        <w:tabs>
          <w:tab w:leader="none" w:pos="1803"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Tranche 1 Closing, the Purchaser shall deliver or cause to be delivered to each Seller the Tranche 1 Purchase Consideration set forth opposite such Seller’s name in the table entitled “Tranche 1”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by transfer of immediately available funds to the accounts designated by the Sellers.</w:t>
      </w:r>
    </w:p>
    <w:p>
      <w:pPr>
        <w:spacing w:after="0" w:line="143" w:lineRule="exact"/>
        <w:rPr>
          <w:rFonts w:ascii="Times New Roman" w:cs="Times New Roman" w:eastAsia="Times New Roman" w:hAnsi="Times New Roman"/>
          <w:sz w:val="20"/>
          <w:szCs w:val="20"/>
          <w:color w:val="auto"/>
        </w:rPr>
      </w:pPr>
    </w:p>
    <w:p>
      <w:pPr>
        <w:ind w:left="600" w:right="160" w:firstLine="608"/>
        <w:spacing w:after="0" w:line="230" w:lineRule="auto"/>
        <w:tabs>
          <w:tab w:leader="none" w:pos="1805"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Tranche 2 Closing, each Seller shall, severally and not jointly, transfer or cause to be transferred to the Purchaser the number of Shares set forth opposite such Seller’s name in the table entitled “Tranche 2”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in electronic form via book-entry record through the Transfer Agent.</w:t>
      </w:r>
    </w:p>
    <w:p>
      <w:pPr>
        <w:spacing w:after="0" w:line="143" w:lineRule="exact"/>
        <w:rPr>
          <w:rFonts w:ascii="Times New Roman" w:cs="Times New Roman" w:eastAsia="Times New Roman" w:hAnsi="Times New Roman"/>
          <w:sz w:val="20"/>
          <w:szCs w:val="20"/>
          <w:color w:val="auto"/>
        </w:rPr>
      </w:pPr>
    </w:p>
    <w:p>
      <w:pPr>
        <w:ind w:left="600" w:right="60" w:firstLine="608"/>
        <w:spacing w:after="0" w:line="230" w:lineRule="auto"/>
        <w:tabs>
          <w:tab w:leader="none" w:pos="1803"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Tranche 2 Closing, the Purchaser shall deliver or cause to be delivered to each Seller the Tranche 2 Purchase Consideration set forth opposite such Seller’s name under the table entitled “Tranche 2” in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by transfer of immediately available funds to the accounts designated by the Sellers.</w:t>
      </w:r>
    </w:p>
    <w:p>
      <w:pPr>
        <w:spacing w:after="0" w:line="143" w:lineRule="exact"/>
        <w:rPr>
          <w:rFonts w:ascii="Times New Roman" w:cs="Times New Roman" w:eastAsia="Times New Roman" w:hAnsi="Times New Roman"/>
          <w:sz w:val="20"/>
          <w:szCs w:val="20"/>
          <w:color w:val="auto"/>
        </w:rPr>
      </w:pPr>
    </w:p>
    <w:p>
      <w:pPr>
        <w:ind w:firstLine="604"/>
        <w:spacing w:after="0" w:line="242" w:lineRule="auto"/>
        <w:tabs>
          <w:tab w:leader="none" w:pos="120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Purchaser Representations</w:t>
      </w:r>
      <w:r>
        <w:rPr>
          <w:rFonts w:ascii="Times New Roman" w:cs="Times New Roman" w:eastAsia="Times New Roman" w:hAnsi="Times New Roman"/>
          <w:sz w:val="20"/>
          <w:szCs w:val="20"/>
          <w:color w:val="auto"/>
        </w:rPr>
        <w:t>. In purchasing the Shares, the Purchaser acknowledges, represents and warrants to the Sellers on the date hereof and on each Settlement Date that:</w:t>
      </w:r>
    </w:p>
    <w:p>
      <w:pPr>
        <w:spacing w:after="0" w:line="140" w:lineRule="exact"/>
        <w:rPr>
          <w:rFonts w:ascii="Times New Roman" w:cs="Times New Roman" w:eastAsia="Times New Roman" w:hAnsi="Times New Roman"/>
          <w:sz w:val="20"/>
          <w:szCs w:val="20"/>
          <w:color w:val="auto"/>
        </w:rPr>
      </w:pPr>
    </w:p>
    <w:p>
      <w:pPr>
        <w:ind w:left="600" w:right="60" w:firstLine="608"/>
        <w:spacing w:after="0" w:line="230" w:lineRule="auto"/>
        <w:tabs>
          <w:tab w:leader="none" w:pos="1805"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is an entity duly organized, validly existing and in good standing under the laws of its jurisdiction of organization. The Purchaser has requisite right, power, capacity and authority to enter into, execute, deliver and perform this Agreement.</w:t>
      </w:r>
    </w:p>
    <w:p>
      <w:pPr>
        <w:spacing w:after="0" w:line="143" w:lineRule="exact"/>
        <w:rPr>
          <w:rFonts w:ascii="Times New Roman" w:cs="Times New Roman" w:eastAsia="Times New Roman" w:hAnsi="Times New Roman"/>
          <w:sz w:val="20"/>
          <w:szCs w:val="20"/>
          <w:color w:val="auto"/>
        </w:rPr>
      </w:pPr>
    </w:p>
    <w:p>
      <w:pPr>
        <w:ind w:left="600" w:right="100" w:firstLine="608"/>
        <w:spacing w:after="0" w:line="225" w:lineRule="auto"/>
        <w:tabs>
          <w:tab w:leader="none" w:pos="1803"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authorized by the Purchaser, has been duly executed and delivered by the Purchaser and constitutes the legal, valid and binding obligation of the Purchaser, enforceable against the Purchaser in accordance with its terms, except to the extent that enforcement thereof may be limited by bankruptcy, insolvency, reorganization or other laws affecting enforcement of creditors’ rights or by general equitable principles.</w:t>
      </w:r>
    </w:p>
    <w:p>
      <w:pPr>
        <w:spacing w:after="0" w:line="143" w:lineRule="exact"/>
        <w:rPr>
          <w:rFonts w:ascii="Times New Roman" w:cs="Times New Roman" w:eastAsia="Times New Roman" w:hAnsi="Times New Roman"/>
          <w:sz w:val="20"/>
          <w:szCs w:val="20"/>
          <w:color w:val="auto"/>
        </w:rPr>
      </w:pPr>
    </w:p>
    <w:p>
      <w:pPr>
        <w:ind w:left="600" w:right="220" w:firstLine="608"/>
        <w:spacing w:after="0" w:line="222" w:lineRule="auto"/>
        <w:tabs>
          <w:tab w:leader="none" w:pos="1805"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of the Shares by the Purchaser hereunder will not conflict with, result in a breach or violation of, or constitute a default under, (i) any law applicable to the Purchaser, (ii) the charter documents of the Purchaser or (iii) the terms of any indenture or other agreement or instrument to which the Purchaser is a party or bound, or any judgment, order or decree applicable to the Purchaser of any court, regulatory body, administrative agency, governmental body or arbitrator having jurisdiction over the Purchaser, except in the cases of (i) and (iii), for any such conflict, breach, violation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w:t>
      </w:r>
    </w:p>
    <w:p>
      <w:pPr>
        <w:spacing w:after="0"/>
        <w:rPr>
          <w:sz w:val="20"/>
          <w:szCs w:val="20"/>
          <w:color w:val="auto"/>
        </w:rPr>
      </w:pPr>
      <w:r>
        <w:rPr>
          <w:rFonts w:ascii="Times New Roman" w:cs="Times New Roman" w:eastAsia="Times New Roman" w:hAnsi="Times New Roman"/>
          <w:sz w:val="13"/>
          <w:szCs w:val="13"/>
          <w:color w:val="auto"/>
        </w:rPr>
        <w:t>138827006_3</w:t>
      </w:r>
    </w:p>
    <w:p>
      <w:pPr>
        <w:sectPr>
          <w:pgSz w:w="11900" w:h="16838" w:orient="portrait"/>
          <w:cols w:equalWidth="0" w:num="1">
            <w:col w:w="11160"/>
          </w:cols>
          <w:pgMar w:left="320" w:top="1309" w:right="419" w:bottom="1440" w:gutter="0" w:footer="0" w:header="0"/>
        </w:sectPr>
      </w:pPr>
    </w:p>
    <w:bookmarkStart w:id="82" w:name="page83"/>
    <w:bookmarkEnd w:id="82"/>
    <w:p>
      <w:pPr>
        <w:ind w:left="600" w:right="760"/>
        <w:spacing w:after="0" w:line="242" w:lineRule="auto"/>
        <w:rPr>
          <w:sz w:val="20"/>
          <w:szCs w:val="20"/>
          <w:color w:val="auto"/>
        </w:rPr>
      </w:pPr>
      <w:r>
        <w:rPr>
          <w:rFonts w:ascii="Times New Roman" w:cs="Times New Roman" w:eastAsia="Times New Roman" w:hAnsi="Times New Roman"/>
          <w:sz w:val="20"/>
          <w:szCs w:val="20"/>
          <w:color w:val="auto"/>
        </w:rPr>
        <w:t>default that would not materially and adversely affect the purchase of the Shares and the consummation of the transactions contemplated herein.</w:t>
      </w:r>
    </w:p>
    <w:p>
      <w:pPr>
        <w:spacing w:after="0" w:line="140" w:lineRule="exact"/>
        <w:rPr>
          <w:sz w:val="20"/>
          <w:szCs w:val="20"/>
          <w:color w:val="auto"/>
        </w:rPr>
      </w:pPr>
    </w:p>
    <w:p>
      <w:pPr>
        <w:ind w:left="600" w:right="180" w:firstLine="608"/>
        <w:spacing w:after="0" w:line="242" w:lineRule="auto"/>
        <w:tabs>
          <w:tab w:leader="none" w:pos="1803"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consent, approval, authorization or order of, or filing by the Purchaser with, any court, governmental agency or body or stock exchange is required for the consummation by the Purchaser of its purchase of the Shares hereunder.</w:t>
      </w:r>
    </w:p>
    <w:p>
      <w:pPr>
        <w:spacing w:after="0" w:line="140" w:lineRule="exact"/>
        <w:rPr>
          <w:rFonts w:ascii="Times New Roman" w:cs="Times New Roman" w:eastAsia="Times New Roman" w:hAnsi="Times New Roman"/>
          <w:sz w:val="20"/>
          <w:szCs w:val="20"/>
          <w:color w:val="auto"/>
        </w:rPr>
      </w:pPr>
    </w:p>
    <w:p>
      <w:pPr>
        <w:ind w:left="600" w:right="520" w:firstLine="608"/>
        <w:spacing w:after="0" w:line="242" w:lineRule="auto"/>
        <w:tabs>
          <w:tab w:leader="none" w:pos="1805"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has sufficient cash on hand or other sources of immediately available funds to enable it to make payment of the Purchase Consideration and consummate the transactions contemplated by this Agreement.</w:t>
      </w:r>
    </w:p>
    <w:p>
      <w:pPr>
        <w:spacing w:after="0" w:line="140" w:lineRule="exact"/>
        <w:rPr>
          <w:rFonts w:ascii="Times New Roman" w:cs="Times New Roman" w:eastAsia="Times New Roman" w:hAnsi="Times New Roman"/>
          <w:sz w:val="20"/>
          <w:szCs w:val="20"/>
          <w:color w:val="auto"/>
        </w:rPr>
      </w:pPr>
    </w:p>
    <w:p>
      <w:pPr>
        <w:ind w:left="600" w:firstLine="608"/>
        <w:spacing w:after="0" w:line="217" w:lineRule="auto"/>
        <w:tabs>
          <w:tab w:leader="none" w:pos="180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is a sophisticated investor and has such knowledge in financial and business affairs as to be capable of evaluating the merits and risks of its investment in the Company and is able to bear the economic risk of loss of its investment in the Company. The Purchaser acknowledges that the Sellers and their officers, advisors, counsel and other representatives may possess non-public information regarding the Company not known to the Purchaser that the Purchaser may deem material to its decision to purchase the Shares and the Purchaser hereby waives any claim, or potential claim, it has or may have against any Seller and its officers, advisors and counsel relating to their possession of material non-public information. Except for the express representations and warranties contained in this Agreement, neither the Sellers, nor any of their respective affiliates, attorneys, accountants and financial and other advisors, has made any representations or warranties to the Purchaser.</w:t>
      </w:r>
    </w:p>
    <w:p>
      <w:pPr>
        <w:spacing w:after="0" w:line="141" w:lineRule="exact"/>
        <w:rPr>
          <w:rFonts w:ascii="Times New Roman" w:cs="Times New Roman" w:eastAsia="Times New Roman" w:hAnsi="Times New Roman"/>
          <w:sz w:val="20"/>
          <w:szCs w:val="20"/>
          <w:color w:val="auto"/>
        </w:rPr>
      </w:pPr>
    </w:p>
    <w:p>
      <w:pPr>
        <w:ind w:left="1800" w:hanging="592"/>
        <w:spacing w:after="0"/>
        <w:tabs>
          <w:tab w:leader="none" w:pos="180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has no arrangement with any person, directly or indirectly, to participate in the distribution of the</w:t>
      </w: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w:t>
      </w:r>
    </w:p>
    <w:p>
      <w:pPr>
        <w:spacing w:after="0" w:line="150" w:lineRule="exact"/>
        <w:rPr>
          <w:rFonts w:ascii="Times New Roman" w:cs="Times New Roman" w:eastAsia="Times New Roman" w:hAnsi="Times New Roman"/>
          <w:sz w:val="20"/>
          <w:szCs w:val="20"/>
          <w:color w:val="auto"/>
        </w:rPr>
      </w:pPr>
    </w:p>
    <w:p>
      <w:pPr>
        <w:ind w:right="40" w:firstLine="604"/>
        <w:spacing w:after="0" w:line="242" w:lineRule="auto"/>
        <w:tabs>
          <w:tab w:leader="none" w:pos="120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Seller Representations</w:t>
      </w:r>
      <w:r>
        <w:rPr>
          <w:rFonts w:ascii="Times New Roman" w:cs="Times New Roman" w:eastAsia="Times New Roman" w:hAnsi="Times New Roman"/>
          <w:sz w:val="20"/>
          <w:szCs w:val="20"/>
          <w:color w:val="auto"/>
        </w:rPr>
        <w:t>. Each Seller, severally and not jointly, acknowledges, represents and warrants to the Purchaser on the date hereof and on each Settlement Date that:</w:t>
      </w:r>
    </w:p>
    <w:p>
      <w:pPr>
        <w:spacing w:after="0" w:line="140" w:lineRule="exact"/>
        <w:rPr>
          <w:rFonts w:ascii="Times New Roman" w:cs="Times New Roman" w:eastAsia="Times New Roman" w:hAnsi="Times New Roman"/>
          <w:sz w:val="20"/>
          <w:szCs w:val="20"/>
          <w:color w:val="auto"/>
        </w:rPr>
      </w:pPr>
    </w:p>
    <w:p>
      <w:pPr>
        <w:ind w:left="600" w:right="260" w:firstLine="608"/>
        <w:spacing w:after="0" w:line="242" w:lineRule="auto"/>
        <w:tabs>
          <w:tab w:leader="none" w:pos="1805"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Seller is an entity duly organized and validly existing under the laws of its jurisdiction of organization. Such Seller has requisite right, power, capacity and authority to enter into, execute, deliver and perform this Agreement.</w:t>
      </w:r>
    </w:p>
    <w:p>
      <w:pPr>
        <w:spacing w:after="0" w:line="140" w:lineRule="exact"/>
        <w:rPr>
          <w:rFonts w:ascii="Times New Roman" w:cs="Times New Roman" w:eastAsia="Times New Roman" w:hAnsi="Times New Roman"/>
          <w:sz w:val="20"/>
          <w:szCs w:val="20"/>
          <w:color w:val="auto"/>
        </w:rPr>
      </w:pPr>
    </w:p>
    <w:p>
      <w:pPr>
        <w:ind w:left="600" w:right="100" w:firstLine="608"/>
        <w:spacing w:after="0" w:line="225" w:lineRule="auto"/>
        <w:tabs>
          <w:tab w:leader="none" w:pos="1803"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authorized, executed and delivered by such Seller and constitutes the legal, valid and binding obligation of such Seller, enforceable against such Seller in accordance with their terms, except to the extent that enforcement thereof may be limited by bankruptcy, insolvency, reorganization or other laws affecting enforcement of creditors’ rights or by general equitable principles.</w:t>
      </w:r>
    </w:p>
    <w:p>
      <w:pPr>
        <w:spacing w:after="0" w:line="143" w:lineRule="exact"/>
        <w:rPr>
          <w:rFonts w:ascii="Times New Roman" w:cs="Times New Roman" w:eastAsia="Times New Roman" w:hAnsi="Times New Roman"/>
          <w:sz w:val="20"/>
          <w:szCs w:val="20"/>
          <w:color w:val="auto"/>
        </w:rPr>
      </w:pPr>
    </w:p>
    <w:p>
      <w:pPr>
        <w:ind w:left="600" w:right="40" w:firstLine="608"/>
        <w:spacing w:after="0" w:line="220" w:lineRule="auto"/>
        <w:tabs>
          <w:tab w:leader="none" w:pos="1805"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Seller is the record and beneficial owner of the Shares to be sold by it in the Offering, and upon the applicable Offering Closing will transfer to the Purchaser good and marketable title to, or a valid “security entitlement” within the meaning of Section 8-501 of the New York Uniform Commercial Code in respect of, all such Shares, free and clear of any liens, claims, security interests, restrictions, options or other encumbrances of any kind, other than transfer restrictions under federal and state securities laws. Such Seller has not granted any option of any sort with respect to such Shares or any right to acquire such Shares or any interest therein other than to the Purchaser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w:t>
      </w:r>
    </w:p>
    <w:p>
      <w:pPr>
        <w:spacing w:after="0"/>
        <w:rPr>
          <w:sz w:val="20"/>
          <w:szCs w:val="20"/>
          <w:color w:val="auto"/>
        </w:rPr>
      </w:pPr>
      <w:r>
        <w:rPr>
          <w:rFonts w:ascii="Times New Roman" w:cs="Times New Roman" w:eastAsia="Times New Roman" w:hAnsi="Times New Roman"/>
          <w:sz w:val="13"/>
          <w:szCs w:val="13"/>
          <w:color w:val="auto"/>
        </w:rPr>
        <w:t>138827006_3</w:t>
      </w:r>
    </w:p>
    <w:p>
      <w:pPr>
        <w:sectPr>
          <w:pgSz w:w="11900" w:h="16838" w:orient="portrait"/>
          <w:cols w:equalWidth="0" w:num="1">
            <w:col w:w="11240"/>
          </w:cols>
          <w:pgMar w:left="320" w:top="1309" w:right="339" w:bottom="1440" w:gutter="0" w:footer="0" w:header="0"/>
        </w:sectPr>
      </w:pPr>
    </w:p>
    <w:bookmarkStart w:id="83" w:name="page84"/>
    <w:bookmarkEnd w:id="83"/>
    <w:p>
      <w:pPr>
        <w:ind w:left="600" w:right="80" w:firstLine="608"/>
        <w:spacing w:after="0" w:line="219" w:lineRule="auto"/>
        <w:tabs>
          <w:tab w:leader="none" w:pos="1803"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of the Shares to be sold by such Seller in the Offering will not conflict with, result in a breach or violation of, or constitute a default under, (i) any law applicable to such Seller or, (ii) the limited partnership agreement, general partnership agreement or other organizational document, as applicable, of such Seller or (iii) the terms of any indenture or other agreement or instrument to which such Seller is a party or bound, or any judgment, order or decree applicable to such Seller of any court, regulatory body, administrative agency, governmental body or arbitrator having jurisdiction over such Seller, except in the cases of (i) and (iii), for any such conflict, breach, violation or default that would not materially and adversely affect the sale of the Shares and the consummation of the transactions contemplated herein.</w:t>
      </w:r>
    </w:p>
    <w:p>
      <w:pPr>
        <w:spacing w:after="0" w:line="141" w:lineRule="exact"/>
        <w:rPr>
          <w:rFonts w:ascii="Times New Roman" w:cs="Times New Roman" w:eastAsia="Times New Roman" w:hAnsi="Times New Roman"/>
          <w:sz w:val="20"/>
          <w:szCs w:val="20"/>
          <w:color w:val="auto"/>
        </w:rPr>
      </w:pPr>
    </w:p>
    <w:p>
      <w:pPr>
        <w:ind w:left="600" w:right="280" w:firstLine="608"/>
        <w:spacing w:after="0" w:line="230" w:lineRule="auto"/>
        <w:tabs>
          <w:tab w:leader="none" w:pos="1805"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consent, approval, authorization or order of, or filing by such Seller with, any court, governmental agency or body or stock exchange is required for the consummation by such Seller of the sale of the Shares to be sold by such Seller in the Offering, except as may be required by applicable securities laws in connection with the offer and sale of the Shares.</w:t>
      </w:r>
    </w:p>
    <w:p>
      <w:pPr>
        <w:spacing w:after="0" w:line="143" w:lineRule="exact"/>
        <w:rPr>
          <w:rFonts w:ascii="Times New Roman" w:cs="Times New Roman" w:eastAsia="Times New Roman" w:hAnsi="Times New Roman"/>
          <w:sz w:val="20"/>
          <w:szCs w:val="20"/>
          <w:color w:val="auto"/>
        </w:rPr>
      </w:pPr>
    </w:p>
    <w:p>
      <w:pPr>
        <w:ind w:left="600" w:right="140" w:firstLine="608"/>
        <w:spacing w:after="0" w:line="230" w:lineRule="auto"/>
        <w:tabs>
          <w:tab w:leader="none" w:pos="180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Seller has not engaged any investment banker, broker, or finder in connection with the Offering, and no broker’s or similar fee is payable by such Seller or any of its affiliates in connection with the transfer of the Shares owned by such Seller hereunder.</w:t>
      </w:r>
    </w:p>
    <w:p>
      <w:pPr>
        <w:spacing w:after="0" w:line="143" w:lineRule="exact"/>
        <w:rPr>
          <w:rFonts w:ascii="Times New Roman" w:cs="Times New Roman" w:eastAsia="Times New Roman" w:hAnsi="Times New Roman"/>
          <w:sz w:val="20"/>
          <w:szCs w:val="20"/>
          <w:color w:val="auto"/>
        </w:rPr>
      </w:pPr>
    </w:p>
    <w:p>
      <w:pPr>
        <w:ind w:left="600" w:right="80" w:firstLine="608"/>
        <w:spacing w:after="0" w:line="242" w:lineRule="auto"/>
        <w:tabs>
          <w:tab w:leader="none" w:pos="1803"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express representations and warranties contained in this Agreement, neither the Purchaser, nor any of its affiliates, attorneys, accountants and financial and other advisors, has made any representations or warranties to such Seller.</w:t>
      </w:r>
    </w:p>
    <w:p>
      <w:pPr>
        <w:spacing w:after="0" w:line="140" w:lineRule="exact"/>
        <w:rPr>
          <w:rFonts w:ascii="Times New Roman" w:cs="Times New Roman" w:eastAsia="Times New Roman" w:hAnsi="Times New Roman"/>
          <w:sz w:val="20"/>
          <w:szCs w:val="20"/>
          <w:color w:val="auto"/>
        </w:rPr>
      </w:pPr>
    </w:p>
    <w:p>
      <w:pPr>
        <w:ind w:left="1200" w:hanging="596"/>
        <w:spacing w:after="0"/>
        <w:tabs>
          <w:tab w:leader="none" w:pos="12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 to Obligations of the Sellers and Purchaser</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600" w:firstLine="608"/>
        <w:spacing w:after="0" w:line="217" w:lineRule="auto"/>
        <w:tabs>
          <w:tab w:leader="none" w:pos="1805"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Purchaser are subject to the satisfaction of the conditions precedent that (i) the representations and warranties of the Sellers contained herein shall be true and correct as of the date hereof and the applicable Settlement Date (including as if made both on the date hereof and on such Settlement Date), (ii) the Sellers shall have complied with all of their covenants and agreements contained in this Agreement to be performed on or prior to the applicable Settlement Date, (iii) no order shall have been entered by or with any governmental authority or arbitral body, and no other legal restraint or prohibition shall be in effect, preventing the sale by the Sellers or the purchase by the Purchaser, of the Shares, and (iv) the volume weighted average closing price per share of Class A Common Stock on The Nasdaq Stock Market LLC during the 20 trading day period ending on the last trading day immediately prior to the applicable Settlement Date (the “</w:t>
      </w:r>
      <w:r>
        <w:rPr>
          <w:rFonts w:ascii="Times New Roman" w:cs="Times New Roman" w:eastAsia="Times New Roman" w:hAnsi="Times New Roman"/>
          <w:sz w:val="20"/>
          <w:szCs w:val="20"/>
          <w:u w:val="single" w:color="auto"/>
          <w:color w:val="auto"/>
        </w:rPr>
        <w:t>20-day VWAP</w:t>
      </w:r>
      <w:r>
        <w:rPr>
          <w:rFonts w:ascii="Times New Roman" w:cs="Times New Roman" w:eastAsia="Times New Roman" w:hAnsi="Times New Roman"/>
          <w:sz w:val="20"/>
          <w:szCs w:val="20"/>
          <w:color w:val="auto"/>
        </w:rPr>
        <w:t>”) as of the applicable Settlement Date is at least $7.00.</w:t>
      </w:r>
    </w:p>
    <w:p>
      <w:pPr>
        <w:spacing w:after="0" w:line="141" w:lineRule="exact"/>
        <w:rPr>
          <w:rFonts w:ascii="Times New Roman" w:cs="Times New Roman" w:eastAsia="Times New Roman" w:hAnsi="Times New Roman"/>
          <w:sz w:val="20"/>
          <w:szCs w:val="20"/>
          <w:color w:val="auto"/>
        </w:rPr>
      </w:pPr>
    </w:p>
    <w:p>
      <w:pPr>
        <w:ind w:left="600" w:right="160" w:firstLine="608"/>
        <w:spacing w:after="0" w:line="222" w:lineRule="auto"/>
        <w:tabs>
          <w:tab w:leader="none" w:pos="1803"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Sellers are subject to the satisfaction of the conditions precedent that (i) the representations and warranties of the Purchaser contained herein shall be true and correct as of the date hereof and the applicable Settlement Date (including as if made both on the date hereof and on such Settlement Date), (ii) the Purchaser shall have complied with all of its covenants and agreements contained in this Agreement to be performed on or prior to the applicable Settlement Date, and (iii) no order shall have been entered by or with any governmental authority or arbitral body,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w:t>
      </w:r>
    </w:p>
    <w:p>
      <w:pPr>
        <w:spacing w:after="0"/>
        <w:rPr>
          <w:sz w:val="20"/>
          <w:szCs w:val="20"/>
          <w:color w:val="auto"/>
        </w:rPr>
      </w:pPr>
      <w:r>
        <w:rPr>
          <w:rFonts w:ascii="Times New Roman" w:cs="Times New Roman" w:eastAsia="Times New Roman" w:hAnsi="Times New Roman"/>
          <w:sz w:val="13"/>
          <w:szCs w:val="13"/>
          <w:color w:val="auto"/>
        </w:rPr>
        <w:t>138827006_3</w:t>
      </w:r>
    </w:p>
    <w:p>
      <w:pPr>
        <w:sectPr>
          <w:pgSz w:w="11900" w:h="16838" w:orient="portrait"/>
          <w:cols w:equalWidth="0" w:num="1">
            <w:col w:w="11220"/>
          </w:cols>
          <w:pgMar w:left="320" w:top="1309" w:right="359" w:bottom="1440" w:gutter="0" w:footer="0" w:header="0"/>
        </w:sectPr>
      </w:pPr>
    </w:p>
    <w:bookmarkStart w:id="84" w:name="page85"/>
    <w:bookmarkEnd w:id="84"/>
    <w:p>
      <w:pPr>
        <w:ind w:left="600" w:right="280"/>
        <w:spacing w:after="0" w:line="242" w:lineRule="auto"/>
        <w:rPr>
          <w:sz w:val="20"/>
          <w:szCs w:val="20"/>
          <w:color w:val="auto"/>
        </w:rPr>
      </w:pPr>
      <w:r>
        <w:rPr>
          <w:rFonts w:ascii="Times New Roman" w:cs="Times New Roman" w:eastAsia="Times New Roman" w:hAnsi="Times New Roman"/>
          <w:sz w:val="20"/>
          <w:szCs w:val="20"/>
          <w:color w:val="auto"/>
        </w:rPr>
        <w:t>no other legal restraint or prohibition shall be in effect, preventing the sale by the Sellers or the purchase by the Purchaser, of the Shares.</w:t>
      </w:r>
    </w:p>
    <w:p>
      <w:pPr>
        <w:spacing w:after="0" w:line="140" w:lineRule="exact"/>
        <w:rPr>
          <w:sz w:val="20"/>
          <w:szCs w:val="20"/>
          <w:color w:val="auto"/>
        </w:rPr>
      </w:pPr>
    </w:p>
    <w:p>
      <w:pPr>
        <w:ind w:left="1200" w:hanging="596"/>
        <w:spacing w:after="0"/>
        <w:tabs>
          <w:tab w:leader="none" w:pos="12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600" w:right="80" w:firstLine="608"/>
        <w:spacing w:after="0" w:line="242" w:lineRule="auto"/>
        <w:tabs>
          <w:tab w:leader="none" w:pos="1805"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in this Agreement to the contrary, this Agreement may be terminated and abandoned at any time prior to the Tranche 2 Closing with respect to the applicable parties as follows:</w:t>
      </w:r>
    </w:p>
    <w:p>
      <w:pPr>
        <w:spacing w:after="0" w:line="140" w:lineRule="exact"/>
        <w:rPr>
          <w:sz w:val="20"/>
          <w:szCs w:val="20"/>
          <w:color w:val="auto"/>
        </w:rPr>
      </w:pPr>
    </w:p>
    <w:p>
      <w:pPr>
        <w:ind w:right="80" w:firstLine="1101"/>
        <w:spacing w:after="0" w:line="242" w:lineRule="auto"/>
        <w:rPr>
          <w:sz w:val="20"/>
          <w:szCs w:val="20"/>
          <w:color w:val="auto"/>
        </w:rPr>
      </w:pPr>
      <w:r>
        <w:rPr>
          <w:rFonts w:ascii="Times New Roman" w:cs="Times New Roman" w:eastAsia="Times New Roman" w:hAnsi="Times New Roman"/>
          <w:sz w:val="20"/>
          <w:szCs w:val="20"/>
          <w:color w:val="auto"/>
        </w:rPr>
        <w:t>i.by written agreement of the Purchaser, on the one hand, and one or more Sellers, on the other hand, which termination shall be effective as between or among the Purchaser and such Seller(s); or</w:t>
      </w:r>
    </w:p>
    <w:p>
      <w:pPr>
        <w:spacing w:after="0" w:line="140" w:lineRule="exact"/>
        <w:rPr>
          <w:sz w:val="20"/>
          <w:szCs w:val="20"/>
          <w:color w:val="auto"/>
        </w:rPr>
      </w:pPr>
    </w:p>
    <w:p>
      <w:pPr>
        <w:ind w:right="60" w:firstLine="1046"/>
        <w:spacing w:after="0" w:line="219" w:lineRule="auto"/>
        <w:rPr>
          <w:sz w:val="20"/>
          <w:szCs w:val="20"/>
          <w:color w:val="auto"/>
        </w:rPr>
      </w:pPr>
      <w:r>
        <w:rPr>
          <w:rFonts w:ascii="Times New Roman" w:cs="Times New Roman" w:eastAsia="Times New Roman" w:hAnsi="Times New Roman"/>
          <w:sz w:val="20"/>
          <w:szCs w:val="20"/>
          <w:color w:val="auto"/>
        </w:rPr>
        <w:t xml:space="preserve">ii.by the Purchaser or any of the Sellers (but only with respect to such terminating Seller’s rights and obligations hereunder) if there shall be any law that makes consummation of the transactions contemplated by this Agreement illegal or otherwise prohibited, or if any judgment, injunction, order or decree of a competent governmental authority enjoining the Company or such Seller from consummating the transactions contemplated by this Agreement shall have been entered and such judgment, injunction, order or decree shall have become final and nonappealable; provided that the party seeking to terminate this Agreement pursuant to this </w:t>
      </w:r>
      <w:r>
        <w:rPr>
          <w:rFonts w:ascii="Times New Roman" w:cs="Times New Roman" w:eastAsia="Times New Roman" w:hAnsi="Times New Roman"/>
          <w:sz w:val="20"/>
          <w:szCs w:val="20"/>
          <w:u w:val="single" w:color="auto"/>
          <w:color w:val="auto"/>
        </w:rPr>
        <w:t>Section 6(a)(ii)</w:t>
      </w:r>
      <w:r>
        <w:rPr>
          <w:rFonts w:ascii="Times New Roman" w:cs="Times New Roman" w:eastAsia="Times New Roman" w:hAnsi="Times New Roman"/>
          <w:sz w:val="20"/>
          <w:szCs w:val="20"/>
          <w:color w:val="auto"/>
        </w:rPr>
        <w:t xml:space="preserve"> shall have used its commercially reasonable efforts to render inapplicable such law or regulation or remove such judgment, injunction, order or decree prior to such termination.</w:t>
      </w:r>
    </w:p>
    <w:p>
      <w:pPr>
        <w:spacing w:after="0" w:line="141" w:lineRule="exact"/>
        <w:rPr>
          <w:sz w:val="20"/>
          <w:szCs w:val="20"/>
          <w:color w:val="auto"/>
        </w:rPr>
      </w:pPr>
    </w:p>
    <w:p>
      <w:pPr>
        <w:ind w:left="600" w:firstLine="608"/>
        <w:spacing w:after="0" w:line="219" w:lineRule="auto"/>
        <w:tabs>
          <w:tab w:leader="none" w:pos="1803"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termination and abandonment by the Purchaser or any Seller pursuant to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written notice thereof specifying the provision of this Agreement pursuant to which such termination is effected, shall forthwith be given to the other parties hereto, and, solely with respect to a termination by the Purchaser or all of the Sellers, this Agreement shall terminate, and the subscription for the Shares hereunder shall be abandoned. For the avoidance of doubt, a termination by any Seller shall only terminate the rights and obligations of such Seller hereunder and shall not affect the rights and obligations of the other parties hereto. The parties acknowledge that the failure by any one Seller to consummate the subscription for such Seller’s Shares shall not affect or modify the obligations of the Purchaser or the other Sellers to consummate the transactions contemplated hereby.</w:t>
      </w:r>
    </w:p>
    <w:p>
      <w:pPr>
        <w:spacing w:after="0" w:line="141" w:lineRule="exact"/>
        <w:rPr>
          <w:rFonts w:ascii="Times New Roman" w:cs="Times New Roman" w:eastAsia="Times New Roman" w:hAnsi="Times New Roman"/>
          <w:sz w:val="20"/>
          <w:szCs w:val="20"/>
          <w:color w:val="auto"/>
        </w:rPr>
      </w:pPr>
    </w:p>
    <w:p>
      <w:pPr>
        <w:ind w:left="600" w:right="200" w:firstLine="608"/>
        <w:spacing w:after="0" w:line="222" w:lineRule="auto"/>
        <w:tabs>
          <w:tab w:leader="none" w:pos="1805"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any termination of this Agreement as provided in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xml:space="preserve"> by the Purchaser or all of the Sellers, this Agreement, except for the provisions of this </w:t>
      </w:r>
      <w:r>
        <w:rPr>
          <w:rFonts w:ascii="Times New Roman" w:cs="Times New Roman" w:eastAsia="Times New Roman" w:hAnsi="Times New Roman"/>
          <w:sz w:val="20"/>
          <w:szCs w:val="20"/>
          <w:u w:val="single" w:color="auto"/>
          <w:color w:val="auto"/>
        </w:rPr>
        <w:t>Section 6(c)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below, shall terminate and become void and have no effect, without any liability on the part of any party or its directors, officers or stockholders with respect thereto. Notwithstanding the foregoing, nothing in this </w:t>
      </w:r>
      <w:r>
        <w:rPr>
          <w:rFonts w:ascii="Times New Roman" w:cs="Times New Roman" w:eastAsia="Times New Roman" w:hAnsi="Times New Roman"/>
          <w:sz w:val="20"/>
          <w:szCs w:val="20"/>
          <w:u w:val="single" w:color="auto"/>
          <w:color w:val="auto"/>
        </w:rPr>
        <w:t>Section 6(c)</w:t>
      </w:r>
      <w:r>
        <w:rPr>
          <w:rFonts w:ascii="Times New Roman" w:cs="Times New Roman" w:eastAsia="Times New Roman" w:hAnsi="Times New Roman"/>
          <w:sz w:val="20"/>
          <w:szCs w:val="20"/>
          <w:color w:val="auto"/>
        </w:rPr>
        <w:t xml:space="preserve"> shall relieve any party to this Agreement of liability for fraud or any material breach of any covenant or agreement set forth in this Agreement.</w:t>
      </w:r>
    </w:p>
    <w:p>
      <w:pPr>
        <w:spacing w:after="0" w:line="144" w:lineRule="exact"/>
        <w:rPr>
          <w:rFonts w:ascii="Times New Roman" w:cs="Times New Roman" w:eastAsia="Times New Roman" w:hAnsi="Times New Roman"/>
          <w:sz w:val="20"/>
          <w:szCs w:val="20"/>
          <w:color w:val="auto"/>
        </w:rPr>
      </w:pPr>
    </w:p>
    <w:p>
      <w:pPr>
        <w:ind w:left="600" w:right="180" w:firstLine="608"/>
        <w:spacing w:after="0" w:line="242" w:lineRule="auto"/>
        <w:tabs>
          <w:tab w:leader="none" w:pos="1803"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Purchaser is not required to purchase Tranche 2 Shares on the Tranche 2 Settlement Date pursuant to the terms of this Agreement, Purchaser’s obligations to purchase Shares hereunder shall automatically terminate.</w:t>
      </w:r>
    </w:p>
    <w:p>
      <w:pPr>
        <w:spacing w:after="0" w:line="140" w:lineRule="exact"/>
        <w:rPr>
          <w:rFonts w:ascii="Times New Roman" w:cs="Times New Roman" w:eastAsia="Times New Roman" w:hAnsi="Times New Roman"/>
          <w:sz w:val="20"/>
          <w:szCs w:val="20"/>
          <w:color w:val="auto"/>
        </w:rPr>
      </w:pPr>
    </w:p>
    <w:p>
      <w:pPr>
        <w:ind w:left="1200" w:hanging="596"/>
        <w:spacing w:after="0"/>
        <w:tabs>
          <w:tab w:leader="none" w:pos="12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w:t>
      </w:r>
    </w:p>
    <w:p>
      <w:pPr>
        <w:spacing w:after="0"/>
        <w:rPr>
          <w:sz w:val="20"/>
          <w:szCs w:val="20"/>
          <w:color w:val="auto"/>
        </w:rPr>
      </w:pPr>
      <w:r>
        <w:rPr>
          <w:rFonts w:ascii="Times New Roman" w:cs="Times New Roman" w:eastAsia="Times New Roman" w:hAnsi="Times New Roman"/>
          <w:sz w:val="13"/>
          <w:szCs w:val="13"/>
          <w:color w:val="auto"/>
        </w:rPr>
        <w:t>138827006_3</w:t>
      </w:r>
    </w:p>
    <w:p>
      <w:pPr>
        <w:sectPr>
          <w:pgSz w:w="11900" w:h="16838" w:orient="portrait"/>
          <w:cols w:equalWidth="0" w:num="1">
            <w:col w:w="11240"/>
          </w:cols>
          <w:pgMar w:left="320" w:top="1309" w:right="339" w:bottom="1440" w:gutter="0" w:footer="0" w:header="0"/>
        </w:sectPr>
      </w:pPr>
    </w:p>
    <w:bookmarkStart w:id="85" w:name="page86"/>
    <w:bookmarkEnd w:id="85"/>
    <w:p>
      <w:pPr>
        <w:ind w:left="600" w:right="80" w:firstLine="608"/>
        <w:spacing w:after="0" w:line="217" w:lineRule="auto"/>
        <w:tabs>
          <w:tab w:leader="none" w:pos="180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constitutes the entire agreement between the parties hereto with respect to the subject matter of this Agreement and supersedes any and all prior agreements related to the subject matter hereof. This Agreement is executed without reliance upon any promise, warranty or representation by any party or any representative of any party other than those expressly contained herein. The respective agreements, representations, warranties and other statements of the Purchaser and the Sellers, as set forth in this Agreement, shall remain in full force and effect, regardless of any investigation (or any statement as to the results thereof) made by or on behalf of the Purchaser or the Sellers or any of their respective officers, directors or affiliates, and shall survive delivery of and payment for the Shares. This Agreement may not be assigned by any party without the written consent of the other parties and any such assignment without such written consent shall be void.</w:t>
      </w:r>
    </w:p>
    <w:p>
      <w:pPr>
        <w:spacing w:after="0" w:line="148" w:lineRule="exact"/>
        <w:rPr>
          <w:rFonts w:ascii="Times New Roman" w:cs="Times New Roman" w:eastAsia="Times New Roman" w:hAnsi="Times New Roman"/>
          <w:sz w:val="20"/>
          <w:szCs w:val="20"/>
          <w:color w:val="auto"/>
        </w:rPr>
      </w:pPr>
    </w:p>
    <w:p>
      <w:pPr>
        <w:ind w:left="600" w:firstLine="608"/>
        <w:spacing w:after="0" w:line="217" w:lineRule="auto"/>
        <w:tabs>
          <w:tab w:leader="none" w:pos="1803"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keep this Agreement and the terms and conditions hereof strictly confidential and shall not disclose them to any third party, provided each Party shall be permitted to disclose this Agreement or such information hereunder as is reasonably required to be disclosed in confidence to its directors, officers, employees, affiliates, owners, counsel, accountants, lenders and advisors (provided, further, however, that such party shall be responsible for any breach of the terms hereof by any such persons) or as otherwise required pursuant to any applicable law, rule or regulation, including those of the U.S. Securities Exchange Commission. Notwithstanding the foregoing, the parties and their respective affiliates shall be permitted to disclose such information regarding the transactions contemplated hereunder in customary confidential communications or disclosures with their current or future limited partners or prospective investors.</w:t>
      </w:r>
    </w:p>
    <w:p>
      <w:pPr>
        <w:spacing w:after="0" w:line="148" w:lineRule="exact"/>
        <w:rPr>
          <w:rFonts w:ascii="Times New Roman" w:cs="Times New Roman" w:eastAsia="Times New Roman" w:hAnsi="Times New Roman"/>
          <w:sz w:val="20"/>
          <w:szCs w:val="20"/>
          <w:color w:val="auto"/>
        </w:rPr>
      </w:pPr>
    </w:p>
    <w:p>
      <w:pPr>
        <w:ind w:left="600" w:right="580" w:firstLine="608"/>
        <w:spacing w:after="0" w:line="225" w:lineRule="auto"/>
        <w:tabs>
          <w:tab w:leader="none" w:pos="180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change in the Class A Common Stock shall occur between the date hereof and immediately prior to an Offering Closing by reason of any reclassification, recapitalization, stock split (including reverse stock split) or combination, exchange or readjustment of shares, or any stock dividend, the number of Shares and the Purchase Consideration shall be appropriately adjusted to reflect such change.</w:t>
      </w:r>
    </w:p>
    <w:p>
      <w:pPr>
        <w:spacing w:after="0" w:line="143" w:lineRule="exact"/>
        <w:rPr>
          <w:rFonts w:ascii="Times New Roman" w:cs="Times New Roman" w:eastAsia="Times New Roman" w:hAnsi="Times New Roman"/>
          <w:sz w:val="20"/>
          <w:szCs w:val="20"/>
          <w:color w:val="auto"/>
        </w:rPr>
      </w:pPr>
    </w:p>
    <w:p>
      <w:pPr>
        <w:ind w:left="1800" w:hanging="592"/>
        <w:spacing w:after="0"/>
        <w:tabs>
          <w:tab w:leader="none" w:pos="18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amended only by written agreement between the parties hereto.</w:t>
      </w:r>
    </w:p>
    <w:p>
      <w:pPr>
        <w:spacing w:after="0" w:line="172" w:lineRule="exact"/>
        <w:rPr>
          <w:rFonts w:ascii="Times New Roman" w:cs="Times New Roman" w:eastAsia="Times New Roman" w:hAnsi="Times New Roman"/>
          <w:sz w:val="20"/>
          <w:szCs w:val="20"/>
          <w:color w:val="auto"/>
        </w:rPr>
      </w:pPr>
    </w:p>
    <w:p>
      <w:pPr>
        <w:ind w:left="600" w:right="680" w:firstLine="608"/>
        <w:spacing w:after="0" w:line="242" w:lineRule="auto"/>
        <w:tabs>
          <w:tab w:leader="none" w:pos="180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agrees to execute any additional documents and to take any further action as may be necessary or desirable in order to implement the transactions contemplated by this Agreement.</w:t>
      </w:r>
    </w:p>
    <w:p>
      <w:pPr>
        <w:spacing w:after="0" w:line="140" w:lineRule="exact"/>
        <w:rPr>
          <w:rFonts w:ascii="Times New Roman" w:cs="Times New Roman" w:eastAsia="Times New Roman" w:hAnsi="Times New Roman"/>
          <w:sz w:val="20"/>
          <w:szCs w:val="20"/>
          <w:color w:val="auto"/>
        </w:rPr>
      </w:pPr>
    </w:p>
    <w:p>
      <w:pPr>
        <w:ind w:left="600" w:right="160" w:firstLine="608"/>
        <w:spacing w:after="0" w:line="230" w:lineRule="auto"/>
        <w:tabs>
          <w:tab w:leader="none" w:pos="180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and construed under the domestic, substantive laws of the State of New York (without giving effect to any conflict of law or other aspect of New York law that might result in the application of any law other than that of the State of New York).</w:t>
      </w:r>
    </w:p>
    <w:p>
      <w:pPr>
        <w:spacing w:after="0" w:line="143" w:lineRule="exact"/>
        <w:rPr>
          <w:rFonts w:ascii="Times New Roman" w:cs="Times New Roman" w:eastAsia="Times New Roman" w:hAnsi="Times New Roman"/>
          <w:sz w:val="20"/>
          <w:szCs w:val="20"/>
          <w:color w:val="auto"/>
        </w:rPr>
      </w:pPr>
    </w:p>
    <w:p>
      <w:pPr>
        <w:ind w:left="600" w:right="100" w:firstLine="608"/>
        <w:spacing w:after="0" w:line="230" w:lineRule="auto"/>
        <w:tabs>
          <w:tab w:leader="none" w:pos="1803"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(and delivered via email or other electronic transmission) in one or more counterparts, each of which constitutes an original (including counterparts delivered by email or other electronic transmission) and is admissible in evidence, and all of which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-6-</w:t>
      </w:r>
    </w:p>
    <w:p>
      <w:pPr>
        <w:spacing w:after="0"/>
        <w:rPr>
          <w:sz w:val="20"/>
          <w:szCs w:val="20"/>
          <w:color w:val="auto"/>
        </w:rPr>
      </w:pPr>
      <w:r>
        <w:rPr>
          <w:rFonts w:ascii="Times New Roman" w:cs="Times New Roman" w:eastAsia="Times New Roman" w:hAnsi="Times New Roman"/>
          <w:sz w:val="13"/>
          <w:szCs w:val="13"/>
          <w:color w:val="auto"/>
        </w:rPr>
        <w:t>138827006_3</w:t>
      </w:r>
    </w:p>
    <w:p>
      <w:pPr>
        <w:sectPr>
          <w:pgSz w:w="11900" w:h="16838" w:orient="portrait"/>
          <w:cols w:equalWidth="0" w:num="1">
            <w:col w:w="11240"/>
          </w:cols>
          <w:pgMar w:left="320" w:top="1309" w:right="339" w:bottom="1440" w:gutter="0" w:footer="0" w:header="0"/>
        </w:sectPr>
      </w:pPr>
    </w:p>
    <w:bookmarkStart w:id="86" w:name="page87"/>
    <w:bookmarkEnd w:id="86"/>
    <w:p>
      <w:pPr>
        <w:ind w:left="600" w:firstLine="608"/>
        <w:spacing w:after="0" w:line="242" w:lineRule="auto"/>
        <w:tabs>
          <w:tab w:leader="none" w:pos="180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bear its own expenses incurred in connection with this Agreement and the consummation of the transactions contemplated hereby.</w:t>
      </w:r>
    </w:p>
    <w:p>
      <w:pPr>
        <w:spacing w:after="0" w:line="13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-7-</w:t>
      </w:r>
    </w:p>
    <w:p>
      <w:pPr>
        <w:spacing w:after="0"/>
        <w:rPr>
          <w:sz w:val="20"/>
          <w:szCs w:val="20"/>
          <w:color w:val="auto"/>
        </w:rPr>
      </w:pPr>
      <w:r>
        <w:rPr>
          <w:rFonts w:ascii="Times New Roman" w:cs="Times New Roman" w:eastAsia="Times New Roman" w:hAnsi="Times New Roman"/>
          <w:sz w:val="13"/>
          <w:szCs w:val="13"/>
          <w:color w:val="auto"/>
        </w:rPr>
        <w:t>138827006_3</w:t>
      </w:r>
    </w:p>
    <w:p>
      <w:pPr>
        <w:sectPr>
          <w:pgSz w:w="11900" w:h="16838" w:orient="portrait"/>
          <w:cols w:equalWidth="0" w:num="1">
            <w:col w:w="10860"/>
          </w:cols>
          <w:pgMar w:left="320" w:top="1309" w:right="719" w:bottom="1440" w:gutter="0" w:footer="0" w:header="0"/>
        </w:sectPr>
      </w:pPr>
    </w:p>
    <w:bookmarkStart w:id="87" w:name="page88"/>
    <w:bookmarkEnd w:id="87"/>
    <w:p>
      <w:pPr>
        <w:ind w:left="60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Agreement as of the date first set forth above.</w:t>
      </w:r>
    </w:p>
    <w:p>
      <w:pPr>
        <w:spacing w:after="0" w:line="200" w:lineRule="exact"/>
        <w:rPr>
          <w:sz w:val="20"/>
          <w:szCs w:val="20"/>
          <w:color w:val="auto"/>
        </w:rPr>
      </w:pPr>
    </w:p>
    <w:p>
      <w:pPr>
        <w:spacing w:after="0" w:line="26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u w:val="single" w:color="auto"/>
          <w:color w:val="auto"/>
        </w:rPr>
        <w:t>Purchaser:</w:t>
      </w:r>
    </w:p>
    <w:p>
      <w:pPr>
        <w:spacing w:after="0" w:line="200" w:lineRule="exact"/>
        <w:rPr>
          <w:sz w:val="20"/>
          <w:szCs w:val="20"/>
          <w:color w:val="auto"/>
        </w:rPr>
      </w:pPr>
    </w:p>
    <w:p>
      <w:pPr>
        <w:spacing w:after="0" w:line="29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GENTEX CORPORATION</w:t>
      </w:r>
    </w:p>
    <w:p>
      <w:pPr>
        <w:spacing w:after="0" w:line="200" w:lineRule="exact"/>
        <w:rPr>
          <w:sz w:val="20"/>
          <w:szCs w:val="20"/>
          <w:color w:val="auto"/>
        </w:rPr>
      </w:pPr>
    </w:p>
    <w:p>
      <w:pPr>
        <w:spacing w:after="0" w:line="30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By: /s/ Steve Downing</w:t>
      </w:r>
    </w:p>
    <w:p>
      <w:pPr>
        <w:spacing w:after="0" w:line="3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Name: Steve Downing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-145415</wp:posOffset>
            </wp:positionV>
            <wp:extent cx="18611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1861185" cy="8255"/>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20"/>
          <w:szCs w:val="20"/>
          <w:color w:val="auto"/>
        </w:rPr>
        <w:t>Title: President and Chief</w:t>
      </w:r>
    </w:p>
    <w:p>
      <w:pPr>
        <w:jc w:val="center"/>
        <w:ind w:right="-60"/>
        <w:spacing w:after="0"/>
        <w:rPr>
          <w:sz w:val="20"/>
          <w:szCs w:val="20"/>
          <w:color w:val="auto"/>
        </w:rPr>
      </w:pPr>
      <w:r>
        <w:rPr>
          <w:rFonts w:ascii="Times New Roman" w:cs="Times New Roman" w:eastAsia="Times New Roman" w:hAnsi="Times New Roman"/>
          <w:sz w:val="20"/>
          <w:szCs w:val="20"/>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w:t>
      </w:r>
    </w:p>
    <w:p>
      <w:pPr>
        <w:spacing w:after="0"/>
        <w:rPr>
          <w:sz w:val="20"/>
          <w:szCs w:val="20"/>
          <w:color w:val="auto"/>
        </w:rPr>
      </w:pPr>
      <w:r>
        <w:rPr>
          <w:rFonts w:ascii="Times New Roman" w:cs="Times New Roman" w:eastAsia="Times New Roman" w:hAnsi="Times New Roman"/>
          <w:sz w:val="13"/>
          <w:szCs w:val="13"/>
          <w:color w:val="auto"/>
        </w:rPr>
        <w:t>138827006_3</w:t>
      </w:r>
    </w:p>
    <w:p>
      <w:pPr>
        <w:sectPr>
          <w:pgSz w:w="11900" w:h="16838" w:orient="portrait"/>
          <w:cols w:equalWidth="0" w:num="1">
            <w:col w:w="10139"/>
          </w:cols>
          <w:pgMar w:left="320" w:top="1305" w:right="1440" w:bottom="1440" w:gutter="0" w:footer="0" w:header="0"/>
        </w:sectPr>
      </w:pPr>
    </w:p>
    <w:bookmarkStart w:id="88" w:name="page89"/>
    <w:bookmarkEnd w:id="88"/>
    <w:p>
      <w:pPr>
        <w:ind w:left="60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Agreement as of the date first set forth above.</w:t>
      </w:r>
    </w:p>
    <w:p>
      <w:pPr>
        <w:spacing w:after="0" w:line="2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u w:val="single" w:color="auto"/>
          <w:color w:val="auto"/>
        </w:rPr>
        <w:t>Sellers:</w:t>
      </w:r>
    </w:p>
    <w:p>
      <w:pPr>
        <w:spacing w:after="0" w:line="200" w:lineRule="exact"/>
        <w:rPr>
          <w:sz w:val="20"/>
          <w:szCs w:val="20"/>
          <w:color w:val="auto"/>
        </w:rPr>
      </w:pPr>
    </w:p>
    <w:p>
      <w:pPr>
        <w:spacing w:after="0" w:line="30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Avalon Park International LLC</w:t>
      </w:r>
    </w:p>
    <w:p>
      <w:pPr>
        <w:spacing w:after="0" w:line="200" w:lineRule="exact"/>
        <w:rPr>
          <w:sz w:val="20"/>
          <w:szCs w:val="20"/>
          <w:color w:val="auto"/>
        </w:rPr>
      </w:pPr>
    </w:p>
    <w:p>
      <w:pPr>
        <w:spacing w:after="0" w:line="30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Beat Kahli</w:t>
      </w:r>
    </w:p>
    <w:p>
      <w:pPr>
        <w:spacing w:after="0" w:line="3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Beat Kahli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-145415</wp:posOffset>
            </wp:positionV>
            <wp:extent cx="25723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spacing w:after="0" w:line="1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35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Avalon Park Group Holding AG</w:t>
      </w:r>
    </w:p>
    <w:p>
      <w:pPr>
        <w:spacing w:after="0" w:line="200" w:lineRule="exact"/>
        <w:rPr>
          <w:sz w:val="20"/>
          <w:szCs w:val="20"/>
          <w:color w:val="auto"/>
        </w:rPr>
      </w:pPr>
    </w:p>
    <w:p>
      <w:pPr>
        <w:spacing w:after="0" w:line="30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By: /s/ Beat Kahli</w:t>
      </w:r>
    </w:p>
    <w:p>
      <w:pPr>
        <w:spacing w:after="0" w:line="3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Beat Kahli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-145415</wp:posOffset>
            </wp:positionV>
            <wp:extent cx="25723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spacing w:after="0" w:line="1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Title: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w:t>
      </w:r>
    </w:p>
    <w:p>
      <w:pPr>
        <w:spacing w:after="0"/>
        <w:rPr>
          <w:sz w:val="20"/>
          <w:szCs w:val="20"/>
          <w:color w:val="auto"/>
        </w:rPr>
      </w:pPr>
      <w:r>
        <w:rPr>
          <w:rFonts w:ascii="Times New Roman" w:cs="Times New Roman" w:eastAsia="Times New Roman" w:hAnsi="Times New Roman"/>
          <w:sz w:val="13"/>
          <w:szCs w:val="13"/>
          <w:color w:val="auto"/>
        </w:rPr>
        <w:t>138827006_3</w:t>
      </w:r>
    </w:p>
    <w:p>
      <w:pPr>
        <w:sectPr>
          <w:pgSz w:w="11900" w:h="16838" w:orient="portrait"/>
          <w:cols w:equalWidth="0" w:num="1">
            <w:col w:w="10139"/>
          </w:cols>
          <w:pgMar w:left="320" w:top="1305"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17"/>
          <w:szCs w:val="17"/>
          <w:b w:val="1"/>
          <w:bCs w:val="1"/>
          <w:color w:val="auto"/>
        </w:rPr>
        <w:t>Exhibit 21</w:t>
      </w:r>
    </w:p>
    <w:p>
      <w:pPr>
        <w:spacing w:after="0" w:line="232"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List of Gentex Corporation Subsidiaries</w:t>
      </w:r>
    </w:p>
    <w:p>
      <w:pPr>
        <w:spacing w:after="0" w:line="232" w:lineRule="exact"/>
        <w:rPr>
          <w:sz w:val="20"/>
          <w:szCs w:val="20"/>
          <w:color w:val="auto"/>
        </w:rPr>
      </w:pPr>
    </w:p>
    <w:p>
      <w:pPr>
        <w:ind w:left="300" w:hanging="297"/>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E.C. Aviation Services, Inc., a Michigan corporation,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Gentex Holdings, Inc., a Michigan corporation,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Gentex GmbH, a German limited liability company, is a subsidiary 50% owned by Gentex Corporation and 50% owned by Gentex Holdings, Inc.</w:t>
      </w:r>
    </w:p>
    <w:p>
      <w:pPr>
        <w:spacing w:after="0" w:line="243" w:lineRule="exact"/>
        <w:rPr>
          <w:rFonts w:ascii="Arial" w:cs="Arial" w:eastAsia="Arial" w:hAnsi="Arial"/>
          <w:sz w:val="16"/>
          <w:szCs w:val="16"/>
          <w:color w:val="auto"/>
        </w:rPr>
      </w:pPr>
    </w:p>
    <w:p>
      <w:pPr>
        <w:ind w:left="300" w:hanging="297"/>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Gentex Japan, Inc., a Japanese corporation,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Gentex Mirrors Ltd., a United Kingdom limited liability company,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Gentex France, SAS, a French simplified liability corporation,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Gentex Technologies Korea Co., Ltd., a Korean limited stock company,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Gentex (Shanghai) Electronics Technology Co., Inc., a Chinese limited liability company,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Gentex Technologies (Israel), Ltd., an Israeli limited liability company,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Gentex Technologies (Canada), Inc., a Canadian limited liability company, is a wholly-owned subsidiary of Gentex Corporation.</w:t>
      </w:r>
    </w:p>
    <w:p>
      <w:pPr>
        <w:sectPr>
          <w:pgSz w:w="11900" w:h="16838" w:orient="portrait"/>
          <w:cols w:equalWidth="0" w:num="1">
            <w:col w:w="10940"/>
          </w:cols>
          <w:pgMar w:left="620" w:top="840" w:right="339" w:bottom="1440" w:gutter="0" w:footer="0" w:header="0"/>
        </w:sectPr>
      </w:pPr>
    </w:p>
    <w:bookmarkStart w:id="90" w:name="page91"/>
    <w:bookmarkEnd w:id="90"/>
    <w:p>
      <w:pPr>
        <w:ind w:left="2060"/>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Registration Statements:</w:t>
      </w:r>
    </w:p>
    <w:p>
      <w:pPr>
        <w:spacing w:after="0" w:line="232" w:lineRule="exact"/>
        <w:rPr>
          <w:sz w:val="20"/>
          <w:szCs w:val="20"/>
          <w:color w:val="auto"/>
        </w:rPr>
      </w:pPr>
    </w:p>
    <w:p>
      <w:pPr>
        <w:ind w:left="600" w:hanging="297"/>
        <w:spacing w:after="0"/>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Registration Statement (Form S-8 No. 333-266558) pertaining to the 2022 Gentex Corporation Employee Stock Purchase Plan,</w:t>
      </w:r>
    </w:p>
    <w:p>
      <w:pPr>
        <w:spacing w:after="0" w:line="21" w:lineRule="exact"/>
        <w:rPr>
          <w:rFonts w:ascii="Arial" w:cs="Arial" w:eastAsia="Arial" w:hAnsi="Arial"/>
          <w:sz w:val="17"/>
          <w:szCs w:val="17"/>
          <w:color w:val="auto"/>
        </w:rPr>
      </w:pPr>
    </w:p>
    <w:p>
      <w:pPr>
        <w:ind w:left="600" w:hanging="297"/>
        <w:spacing w:after="0"/>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Registration Statement (Form S-8 No. 333-232414) pertaining to the 2019 Gentex Corporation Omnibus Incentive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Registration Statement (Form S-8 No. 333-216273) pertaining to the Gentex Corporation Employee Stock Option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Registration Statement (Form S-8 No. 333-198468) pertaining to the Gentex Corporation Employee Stock Option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Registration Statement (Form S-8 No. 333-188893) pertaining to the 2013 Gentex Corporation Employee Stock Purchase Plan,</w:t>
      </w:r>
    </w:p>
    <w:p>
      <w:pPr>
        <w:spacing w:after="0" w:line="5" w:lineRule="exact"/>
        <w:rPr>
          <w:rFonts w:ascii="Arial" w:cs="Arial" w:eastAsia="Arial" w:hAnsi="Arial"/>
          <w:sz w:val="17"/>
          <w:szCs w:val="17"/>
          <w:color w:val="auto"/>
        </w:rPr>
      </w:pPr>
    </w:p>
    <w:p>
      <w:pPr>
        <w:ind w:left="600" w:hanging="297"/>
        <w:spacing w:after="0" w:line="247" w:lineRule="auto"/>
        <w:tabs>
          <w:tab w:leader="none" w:pos="591"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Registration Statement (Form S-8 No. 333-183412) pertaining to the Gentex Corporation 2012 Amended and Restated Nonemployee Director Stock Option Plan,</w:t>
      </w:r>
    </w:p>
    <w:p>
      <w:pPr>
        <w:ind w:left="600" w:hanging="297"/>
        <w:spacing w:after="0"/>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Registration Statement (Form S-8 No. 333-118213) pertaining to the Gentex Corporation Qualified Stock Option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Registration Statement (Form S-8 No. 333-105858) pertaining to the Gentex Corporation 2003 Employee Stock Purchase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Registration Statement (Form S-8 No. 333-101642) pertaining to the Gentex Corporation 2002 Nonemployee Director Stock Option Plan,</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(10)Registration Statement (Form S-8 No. 333-04661) pertaining to the Gentex Corporation Qualified Stock Option Plan, and</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(11)Registration Statement (Form S-8 No. 33-65321) pertaining to the Gentex Corporation Qualified Stock Option Plan;</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of our reports dated February 22, 2024, with respect to the consolidated financial statements of Gentex Corporation and subsidiaries and the effectiveness of internal control over financial reporting of Gentex Corporation and subsidiaries included in this Annual Report (Form 10-K) of Gentex Corporation for the year ended December 31, 2023.</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Ernst &amp; Young LLP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Grand Rapids, Michigan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22, 2024</w:t>
      </w:r>
    </w:p>
    <w:p>
      <w:pPr>
        <w:sectPr>
          <w:pgSz w:w="11900" w:h="16838" w:orient="portrait"/>
          <w:cols w:equalWidth="0" w:num="1">
            <w:col w:w="11240"/>
          </w:cols>
          <w:pgMar w:left="320" w:top="840"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7"/>
          <w:szCs w:val="17"/>
          <w:b w:val="1"/>
          <w:bCs w:val="1"/>
          <w:color w:val="auto"/>
        </w:rPr>
        <w:t>EXHIBIT 31.1</w:t>
      </w:r>
    </w:p>
    <w:p>
      <w:pPr>
        <w:spacing w:after="0" w:line="232" w:lineRule="exact"/>
        <w:rPr>
          <w:sz w:val="20"/>
          <w:szCs w:val="20"/>
          <w:color w:val="auto"/>
        </w:rPr>
      </w:pPr>
    </w:p>
    <w:p>
      <w:pPr>
        <w:ind w:left="2340"/>
        <w:spacing w:after="0"/>
        <w:rPr>
          <w:sz w:val="20"/>
          <w:szCs w:val="20"/>
          <w:color w:val="auto"/>
        </w:rPr>
      </w:pPr>
      <w:r>
        <w:rPr>
          <w:rFonts w:ascii="Arial" w:cs="Arial" w:eastAsia="Arial" w:hAnsi="Arial"/>
          <w:sz w:val="17"/>
          <w:szCs w:val="17"/>
          <w:b w:val="1"/>
          <w:bCs w:val="1"/>
          <w:color w:val="auto"/>
        </w:rPr>
        <w:t>CERTIFICATION OF THE CHIEF EXECUTIVE OFFICER OF GENTEX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Steven R. Downing, certify that:</w:t>
      </w:r>
    </w:p>
    <w:p>
      <w:pPr>
        <w:spacing w:after="0" w:line="232" w:lineRule="exact"/>
        <w:rPr>
          <w:sz w:val="20"/>
          <w:szCs w:val="20"/>
          <w:color w:val="auto"/>
        </w:rPr>
      </w:pPr>
    </w:p>
    <w:p>
      <w:pPr>
        <w:ind w:left="180" w:hanging="179"/>
        <w:spacing w:after="0"/>
        <w:tabs>
          <w:tab w:leader="none" w:pos="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Gentex Corporation;</w:t>
      </w:r>
    </w:p>
    <w:p>
      <w:pPr>
        <w:spacing w:after="0" w:line="232" w:lineRule="exact"/>
        <w:rPr>
          <w:rFonts w:ascii="Arial" w:cs="Arial" w:eastAsia="Arial" w:hAnsi="Arial"/>
          <w:sz w:val="17"/>
          <w:szCs w:val="17"/>
          <w:color w:val="auto"/>
        </w:rPr>
      </w:pPr>
    </w:p>
    <w:p>
      <w:pPr>
        <w:jc w:val="both"/>
        <w:ind w:left="220" w:hanging="219"/>
        <w:spacing w:after="0" w:line="263" w:lineRule="auto"/>
        <w:tabs>
          <w:tab w:leader="none" w:pos="193"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7" w:lineRule="exact"/>
        <w:rPr>
          <w:rFonts w:ascii="Arial" w:cs="Arial" w:eastAsia="Arial" w:hAnsi="Arial"/>
          <w:sz w:val="17"/>
          <w:szCs w:val="17"/>
          <w:color w:val="auto"/>
        </w:rPr>
      </w:pPr>
    </w:p>
    <w:p>
      <w:pPr>
        <w:ind w:left="220" w:hanging="219"/>
        <w:spacing w:after="0" w:line="279" w:lineRule="auto"/>
        <w:tabs>
          <w:tab w:leader="none" w:pos="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4" w:lineRule="exact"/>
        <w:rPr>
          <w:rFonts w:ascii="Arial" w:cs="Arial" w:eastAsia="Arial" w:hAnsi="Arial"/>
          <w:sz w:val="17"/>
          <w:szCs w:val="17"/>
          <w:color w:val="auto"/>
        </w:rPr>
      </w:pPr>
    </w:p>
    <w:p>
      <w:pPr>
        <w:jc w:val="both"/>
        <w:ind w:left="220" w:hanging="219"/>
        <w:spacing w:after="0" w:line="263" w:lineRule="auto"/>
        <w:tabs>
          <w:tab w:leader="none" w:pos="20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7"/>
          <w:szCs w:val="17"/>
          <w:color w:val="auto"/>
        </w:rPr>
      </w:pPr>
    </w:p>
    <w:p>
      <w:pPr>
        <w:ind w:left="600" w:hanging="317"/>
        <w:spacing w:after="0" w:line="263" w:lineRule="auto"/>
        <w:tabs>
          <w:tab w:leader="none" w:pos="479"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7" w:lineRule="exact"/>
        <w:rPr>
          <w:rFonts w:ascii="Arial" w:cs="Arial" w:eastAsia="Arial" w:hAnsi="Arial"/>
          <w:sz w:val="17"/>
          <w:szCs w:val="17"/>
          <w:color w:val="auto"/>
        </w:rPr>
      </w:pPr>
    </w:p>
    <w:p>
      <w:pPr>
        <w:jc w:val="both"/>
        <w:ind w:left="600" w:hanging="220"/>
        <w:spacing w:after="0" w:line="263" w:lineRule="auto"/>
        <w:tabs>
          <w:tab w:leader="none" w:pos="601" w:val="left"/>
        </w:tabs>
        <w:numPr>
          <w:ilvl w:val="4"/>
          <w:numId w:val="54"/>
        </w:numPr>
        <w:rPr>
          <w:rFonts w:ascii="Arial" w:cs="Arial" w:eastAsia="Arial" w:hAnsi="Arial"/>
          <w:sz w:val="17"/>
          <w:szCs w:val="17"/>
          <w:color w:val="auto"/>
        </w:rPr>
      </w:pPr>
      <w:r>
        <w:rPr>
          <w:rFonts w:ascii="Arial" w:cs="Arial" w:eastAsia="Arial" w:hAnsi="Arial"/>
          <w:sz w:val="17"/>
          <w:szCs w:val="17"/>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7"/>
          <w:szCs w:val="17"/>
          <w:color w:val="auto"/>
        </w:rPr>
      </w:pPr>
    </w:p>
    <w:p>
      <w:pPr>
        <w:ind w:left="600" w:hanging="306"/>
        <w:spacing w:after="0" w:line="263" w:lineRule="auto"/>
        <w:tabs>
          <w:tab w:leader="none" w:pos="484" w:val="left"/>
        </w:tabs>
        <w:numPr>
          <w:ilvl w:val="2"/>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7" w:lineRule="exact"/>
        <w:rPr>
          <w:rFonts w:ascii="Arial" w:cs="Arial" w:eastAsia="Arial" w:hAnsi="Arial"/>
          <w:sz w:val="17"/>
          <w:szCs w:val="17"/>
          <w:color w:val="auto"/>
        </w:rPr>
      </w:pPr>
    </w:p>
    <w:p>
      <w:pPr>
        <w:ind w:left="600" w:hanging="281"/>
        <w:spacing w:after="0" w:line="263" w:lineRule="auto"/>
        <w:tabs>
          <w:tab w:leader="none" w:pos="524" w:val="left"/>
        </w:tabs>
        <w:numPr>
          <w:ilvl w:val="3"/>
          <w:numId w:val="54"/>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7"/>
          <w:szCs w:val="17"/>
          <w:color w:val="auto"/>
        </w:rPr>
      </w:pPr>
    </w:p>
    <w:p>
      <w:pPr>
        <w:ind w:left="220" w:hanging="219"/>
        <w:spacing w:after="0" w:line="279" w:lineRule="auto"/>
        <w:tabs>
          <w:tab w:leader="none" w:pos="193"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600" w:hanging="222"/>
        <w:spacing w:after="0" w:line="279" w:lineRule="auto"/>
        <w:tabs>
          <w:tab w:leader="none" w:pos="569" w:val="left"/>
        </w:tabs>
        <w:numPr>
          <w:ilvl w:val="4"/>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600" w:hanging="222"/>
        <w:spacing w:after="0" w:line="279" w:lineRule="auto"/>
        <w:tabs>
          <w:tab w:leader="none" w:pos="569" w:val="left"/>
        </w:tabs>
        <w:numPr>
          <w:ilvl w:val="4"/>
          <w:numId w:val="5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22, 2024</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Steven R. Downing</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1066"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7"/>
          <w:szCs w:val="17"/>
          <w:b w:val="1"/>
          <w:bCs w:val="1"/>
          <w:color w:val="auto"/>
        </w:rPr>
        <w:t>EXHIBIT 31.2</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 OF GENTEX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 Kevin C. Nash, certify that:</w:t>
      </w:r>
    </w:p>
    <w:p>
      <w:pPr>
        <w:spacing w:after="0" w:line="232" w:lineRule="exact"/>
        <w:rPr>
          <w:sz w:val="20"/>
          <w:szCs w:val="20"/>
          <w:color w:val="auto"/>
        </w:rPr>
      </w:pPr>
    </w:p>
    <w:p>
      <w:pPr>
        <w:ind w:left="180" w:hanging="179"/>
        <w:spacing w:after="0"/>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Gentex Corporation;</w:t>
      </w:r>
    </w:p>
    <w:p>
      <w:pPr>
        <w:spacing w:after="0" w:line="232" w:lineRule="exact"/>
        <w:rPr>
          <w:rFonts w:ascii="Arial" w:cs="Arial" w:eastAsia="Arial" w:hAnsi="Arial"/>
          <w:sz w:val="17"/>
          <w:szCs w:val="17"/>
          <w:color w:val="auto"/>
        </w:rPr>
      </w:pPr>
    </w:p>
    <w:p>
      <w:pPr>
        <w:jc w:val="both"/>
        <w:ind w:left="220" w:hanging="219"/>
        <w:spacing w:after="0" w:line="263" w:lineRule="auto"/>
        <w:tabs>
          <w:tab w:leader="none" w:pos="193"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7" w:lineRule="exact"/>
        <w:rPr>
          <w:rFonts w:ascii="Arial" w:cs="Arial" w:eastAsia="Arial" w:hAnsi="Arial"/>
          <w:sz w:val="17"/>
          <w:szCs w:val="17"/>
          <w:color w:val="auto"/>
        </w:rPr>
      </w:pPr>
    </w:p>
    <w:p>
      <w:pPr>
        <w:ind w:left="220" w:hanging="219"/>
        <w:spacing w:after="0" w:line="279" w:lineRule="auto"/>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4" w:lineRule="exact"/>
        <w:rPr>
          <w:rFonts w:ascii="Arial" w:cs="Arial" w:eastAsia="Arial" w:hAnsi="Arial"/>
          <w:sz w:val="17"/>
          <w:szCs w:val="17"/>
          <w:color w:val="auto"/>
        </w:rPr>
      </w:pPr>
    </w:p>
    <w:p>
      <w:pPr>
        <w:jc w:val="both"/>
        <w:ind w:left="220" w:hanging="219"/>
        <w:spacing w:after="0" w:line="263" w:lineRule="auto"/>
        <w:tabs>
          <w:tab w:leader="none" w:pos="20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7"/>
          <w:szCs w:val="17"/>
          <w:color w:val="auto"/>
        </w:rPr>
      </w:pPr>
    </w:p>
    <w:p>
      <w:pPr>
        <w:jc w:val="both"/>
        <w:ind w:left="680" w:hanging="226"/>
        <w:spacing w:after="0" w:line="263" w:lineRule="auto"/>
        <w:tabs>
          <w:tab w:leader="none" w:pos="649" w:val="left"/>
        </w:tabs>
        <w:numPr>
          <w:ilvl w:val="2"/>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7" w:lineRule="exact"/>
        <w:rPr>
          <w:rFonts w:ascii="Arial" w:cs="Arial" w:eastAsia="Arial" w:hAnsi="Arial"/>
          <w:sz w:val="17"/>
          <w:szCs w:val="17"/>
          <w:color w:val="auto"/>
        </w:rPr>
      </w:pPr>
    </w:p>
    <w:p>
      <w:pPr>
        <w:jc w:val="both"/>
        <w:ind w:left="680" w:hanging="226"/>
        <w:spacing w:after="0" w:line="263" w:lineRule="auto"/>
        <w:tabs>
          <w:tab w:leader="none" w:pos="674" w:val="left"/>
        </w:tabs>
        <w:numPr>
          <w:ilvl w:val="2"/>
          <w:numId w:val="56"/>
        </w:numPr>
        <w:rPr>
          <w:rFonts w:ascii="Arial" w:cs="Arial" w:eastAsia="Arial" w:hAnsi="Arial"/>
          <w:sz w:val="17"/>
          <w:szCs w:val="17"/>
          <w:color w:val="auto"/>
        </w:rPr>
      </w:pPr>
      <w:r>
        <w:rPr>
          <w:rFonts w:ascii="Arial" w:cs="Arial" w:eastAsia="Arial" w:hAnsi="Arial"/>
          <w:sz w:val="17"/>
          <w:szCs w:val="17"/>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7"/>
          <w:szCs w:val="17"/>
          <w:color w:val="auto"/>
        </w:rPr>
      </w:pPr>
    </w:p>
    <w:p>
      <w:pPr>
        <w:jc w:val="both"/>
        <w:ind w:left="680" w:hanging="226"/>
        <w:spacing w:after="0" w:line="263" w:lineRule="auto"/>
        <w:tabs>
          <w:tab w:leader="none" w:pos="640" w:val="left"/>
        </w:tabs>
        <w:numPr>
          <w:ilvl w:val="2"/>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7" w:lineRule="exact"/>
        <w:rPr>
          <w:rFonts w:ascii="Arial" w:cs="Arial" w:eastAsia="Arial" w:hAnsi="Arial"/>
          <w:sz w:val="17"/>
          <w:szCs w:val="17"/>
          <w:color w:val="auto"/>
        </w:rPr>
      </w:pPr>
    </w:p>
    <w:p>
      <w:pPr>
        <w:jc w:val="both"/>
        <w:ind w:left="680" w:hanging="226"/>
        <w:spacing w:after="0" w:line="263" w:lineRule="auto"/>
        <w:tabs>
          <w:tab w:leader="none" w:pos="649" w:val="left"/>
        </w:tabs>
        <w:numPr>
          <w:ilvl w:val="2"/>
          <w:numId w:val="56"/>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7"/>
          <w:szCs w:val="17"/>
          <w:color w:val="auto"/>
        </w:rPr>
      </w:pPr>
    </w:p>
    <w:p>
      <w:pPr>
        <w:ind w:firstLine="1"/>
        <w:spacing w:after="0" w:line="279" w:lineRule="auto"/>
        <w:tabs>
          <w:tab w:leader="none" w:pos="199"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680" w:hanging="246"/>
        <w:spacing w:after="0" w:line="279" w:lineRule="auto"/>
        <w:tabs>
          <w:tab w:leader="none" w:pos="634"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680" w:hanging="257"/>
        <w:spacing w:after="0" w:line="279" w:lineRule="auto"/>
        <w:tabs>
          <w:tab w:leader="none" w:pos="622" w:val="left"/>
        </w:tabs>
        <w:numPr>
          <w:ilvl w:val="1"/>
          <w:numId w:val="5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22, 2024</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Kevin C. Nash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Kevin Nash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840"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PURSUANT TO SECTION 906 OF THE SARBANES-OXLEY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75" w:lineRule="exact"/>
        <w:rPr>
          <w:sz w:val="20"/>
          <w:szCs w:val="20"/>
          <w:color w:val="auto"/>
        </w:rPr>
      </w:pPr>
    </w:p>
    <w:p>
      <w:pPr>
        <w:ind w:left="220" w:hanging="219"/>
        <w:spacing w:after="0" w:line="279" w:lineRule="auto"/>
        <w:tabs>
          <w:tab w:leader="none" w:pos="249"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annual report on Form 10-K for the year ended December 31, 2023, which this statement accompanies, fully complies with the requirements of Section 13(a) or 15(d) of the Securities Exchange Act of 1934; and</w:t>
      </w:r>
    </w:p>
    <w:p>
      <w:pPr>
        <w:spacing w:after="0" w:line="174" w:lineRule="exact"/>
        <w:rPr>
          <w:rFonts w:ascii="Arial" w:cs="Arial" w:eastAsia="Arial" w:hAnsi="Arial"/>
          <w:sz w:val="17"/>
          <w:szCs w:val="17"/>
          <w:color w:val="auto"/>
        </w:rPr>
      </w:pPr>
    </w:p>
    <w:p>
      <w:pPr>
        <w:ind w:left="220" w:hanging="219"/>
        <w:spacing w:after="0" w:line="279" w:lineRule="auto"/>
        <w:tabs>
          <w:tab w:leader="none" w:pos="2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this annual report on Form 10-K of the year ended December 31, 2023,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22, 2024</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GENTEX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By /s/ Steven R. Downing</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Its Chief Executive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By /s/ Kevin C. Nash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Kevin C. Nash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Its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A signed original of this written statement has been provided to Gentex Corporation and will be retained by Gentex Corporation and furnished to the Securities and Exchange Commission or its staff upon request.</w:t>
      </w:r>
    </w:p>
    <w:p>
      <w:pPr>
        <w:sectPr>
          <w:pgSz w:w="11900" w:h="16838" w:orient="portrait"/>
          <w:cols w:equalWidth="0" w:num="1">
            <w:col w:w="11240"/>
          </w:cols>
          <w:pgMar w:left="320" w:top="1066" w:right="339" w:bottom="1440" w:gutter="0" w:footer="0" w:header="0"/>
        </w:sectPr>
      </w:pPr>
    </w:p>
    <w:bookmarkStart w:id="94" w:name="page95"/>
    <w:bookmarkEnd w:id="94"/>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2120900</wp:posOffset>
            </wp:positionH>
            <wp:positionV relativeFrom="page">
              <wp:posOffset>88900</wp:posOffset>
            </wp:positionV>
            <wp:extent cx="1533525" cy="3194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533525" cy="319405"/>
                    </a:xfrm>
                    <a:prstGeom prst="rect">
                      <a:avLst/>
                    </a:prstGeom>
                    <a:noFill/>
                  </pic:spPr>
                </pic:pic>
              </a:graphicData>
            </a:graphic>
          </wp:anchor>
        </w:drawing>
      </w:r>
    </w:p>
    <w:p>
      <w:pPr>
        <w:jc w:val="center"/>
        <w:ind w:right="40"/>
        <w:spacing w:after="0"/>
        <w:rPr>
          <w:sz w:val="20"/>
          <w:szCs w:val="20"/>
          <w:color w:val="auto"/>
        </w:rPr>
      </w:pPr>
      <w:r>
        <w:rPr>
          <w:rFonts w:ascii="Calibri" w:cs="Calibri" w:eastAsia="Calibri" w:hAnsi="Calibri"/>
          <w:sz w:val="18"/>
          <w:szCs w:val="18"/>
          <w:b w:val="1"/>
          <w:bCs w:val="1"/>
          <w:color w:val="auto"/>
        </w:rPr>
        <w:t>Incentve-Based Compensaton Recoupment Policy</w:t>
      </w:r>
    </w:p>
    <w:p>
      <w:pPr>
        <w:spacing w:after="0" w:line="7"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i w:val="1"/>
          <w:iCs w:val="1"/>
          <w:color w:val="auto"/>
        </w:rPr>
        <w:t>Adopted by the Board of Directors on November 16, 2023</w:t>
      </w:r>
    </w:p>
    <w:p>
      <w:pPr>
        <w:spacing w:after="0" w:line="221"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Overview</w:t>
      </w:r>
    </w:p>
    <w:p>
      <w:pPr>
        <w:spacing w:after="0" w:line="7" w:lineRule="exact"/>
        <w:rPr>
          <w:sz w:val="20"/>
          <w:szCs w:val="20"/>
          <w:color w:val="auto"/>
        </w:rPr>
      </w:pPr>
    </w:p>
    <w:p>
      <w:pPr>
        <w:ind w:left="20" w:right="300"/>
        <w:spacing w:after="0"/>
        <w:rPr>
          <w:sz w:val="20"/>
          <w:szCs w:val="20"/>
          <w:color w:val="auto"/>
        </w:rPr>
      </w:pPr>
      <w:r>
        <w:rPr>
          <w:rFonts w:ascii="Calibri" w:cs="Calibri" w:eastAsia="Calibri" w:hAnsi="Calibri"/>
          <w:sz w:val="18"/>
          <w:szCs w:val="18"/>
          <w:color w:val="auto"/>
        </w:rPr>
        <w:t>The Board of Directors (the “Board”) of Gentex Corporaton (the “Company”) believes that it is in the best interests of the Company and its shareholders to create and maintain a culture that emphasizes integrity and accountability and that reinforces the Company’s pay-for-performance compensaton philosophy. This Incentve-Based Compensaton Recoupment Policy (the “Policy”) is adopted to provide for recovery of Erroneously Awarded Incentve-Based Compensaton (as defned below) in accordance with Rule 10D-1 of the Securites Exchange Act of 1934 and NASDAQ Listng Rule 5608.</w:t>
      </w:r>
    </w:p>
    <w:p>
      <w:pPr>
        <w:spacing w:after="0" w:line="222"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uto"/>
        </w:rPr>
        <w:t>Administraton</w:t>
      </w:r>
    </w:p>
    <w:p>
      <w:pPr>
        <w:spacing w:after="0" w:line="7"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rPr>
        <w:t>This Policy shall be administered by the Compensaton Commitee (the “Commitee”).</w:t>
      </w:r>
    </w:p>
    <w:p>
      <w:pPr>
        <w:spacing w:after="0" w:line="233"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uto"/>
        </w:rPr>
        <w:t>Covered Executve Ofcers</w:t>
      </w:r>
    </w:p>
    <w:p>
      <w:pPr>
        <w:spacing w:after="0" w:line="1" w:lineRule="exact"/>
        <w:rPr>
          <w:sz w:val="20"/>
          <w:szCs w:val="20"/>
          <w:color w:val="auto"/>
        </w:rPr>
      </w:pPr>
    </w:p>
    <w:p>
      <w:pPr>
        <w:ind w:left="40" w:right="60"/>
        <w:spacing w:after="0"/>
        <w:rPr>
          <w:sz w:val="20"/>
          <w:szCs w:val="20"/>
          <w:color w:val="auto"/>
        </w:rPr>
      </w:pPr>
      <w:r>
        <w:rPr>
          <w:rFonts w:ascii="Calibri" w:cs="Calibri" w:eastAsia="Calibri" w:hAnsi="Calibri"/>
          <w:sz w:val="18"/>
          <w:szCs w:val="18"/>
          <w:color w:val="auto"/>
        </w:rPr>
        <w:t>This Policy applies to all current and former executve ofcers of the Company, as determined by the Commitee pursuant to Rule 10D-1(d) of the Securites Exchange Act of 1934 and NASDAQ Listng Rule 5608(d) (“Covered Executve Ofcers”).</w:t>
      </w:r>
    </w:p>
    <w:p>
      <w:pPr>
        <w:spacing w:after="0" w:line="233"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uto"/>
        </w:rPr>
        <w:t>Recoupment; Accountng Restatement</w:t>
      </w:r>
    </w:p>
    <w:p>
      <w:pPr>
        <w:spacing w:after="0" w:line="1" w:lineRule="exact"/>
        <w:rPr>
          <w:sz w:val="20"/>
          <w:szCs w:val="20"/>
          <w:color w:val="auto"/>
        </w:rPr>
      </w:pPr>
    </w:p>
    <w:p>
      <w:pPr>
        <w:ind w:left="40"/>
        <w:spacing w:after="0" w:line="242" w:lineRule="auto"/>
        <w:rPr>
          <w:sz w:val="20"/>
          <w:szCs w:val="20"/>
          <w:color w:val="auto"/>
        </w:rPr>
      </w:pPr>
      <w:r>
        <w:rPr>
          <w:rFonts w:ascii="Calibri" w:cs="Calibri" w:eastAsia="Calibri" w:hAnsi="Calibri"/>
          <w:sz w:val="18"/>
          <w:szCs w:val="18"/>
          <w:color w:val="auto"/>
        </w:rPr>
        <w:t>This Policy will apply to any incentve-based compensaton in the event the Company is required to prepare an accountng restatement due to the Company's material noncompliance with any fnancial reportng requirements under the securites laws, including any required accountng restatement to correct an error in previously issued fnancial statements that is material to the previously issued fnancial statements, or that would result in a material misstatement if the error were corrected in the current period or lef uncorrected in the current period (the “Recoupment Event”). The date of the Recoupment Event will be the earlier of:</w:t>
      </w:r>
    </w:p>
    <w:p>
      <w:pPr>
        <w:spacing w:after="0" w:line="232" w:lineRule="exact"/>
        <w:rPr>
          <w:sz w:val="20"/>
          <w:szCs w:val="20"/>
          <w:color w:val="auto"/>
        </w:rPr>
      </w:pPr>
    </w:p>
    <w:p>
      <w:pPr>
        <w:jc w:val="both"/>
        <w:ind w:left="640" w:right="360" w:hanging="304"/>
        <w:spacing w:after="0"/>
        <w:tabs>
          <w:tab w:leader="none" w:pos="629" w:val="left"/>
        </w:tabs>
        <w:numPr>
          <w:ilvl w:val="0"/>
          <w:numId w:val="5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date the Company’s Board, a commitee of the Board, or the ofcer or ofcers of the Company authorized to take such acton if board acton is not required, concludes, or reasonably should have concluded, that the Company is required to prepare an accountng restatement as described in the paragraph above; or</w:t>
      </w:r>
    </w:p>
    <w:p>
      <w:pPr>
        <w:spacing w:after="0" w:line="20" w:lineRule="exact"/>
        <w:rPr>
          <w:rFonts w:ascii="Times New Roman" w:cs="Times New Roman" w:eastAsia="Times New Roman" w:hAnsi="Times New Roman"/>
          <w:sz w:val="18"/>
          <w:szCs w:val="18"/>
          <w:color w:val="auto"/>
        </w:rPr>
      </w:pPr>
    </w:p>
    <w:p>
      <w:pPr>
        <w:ind w:left="640" w:right="640" w:hanging="304"/>
        <w:spacing w:after="0" w:line="237" w:lineRule="auto"/>
        <w:tabs>
          <w:tab w:leader="none" w:pos="629" w:val="left"/>
        </w:tabs>
        <w:numPr>
          <w:ilvl w:val="0"/>
          <w:numId w:val="5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date a court, regulator, or other legally authorized body directs the Company to prepare an accountng restatement as described in the paragraph above.</w:t>
      </w:r>
    </w:p>
    <w:p>
      <w:pPr>
        <w:spacing w:after="0" w:line="233"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uto"/>
        </w:rPr>
        <w:t>Covered Incentve-Based Compensaton</w:t>
      </w:r>
    </w:p>
    <w:p>
      <w:pPr>
        <w:spacing w:after="0" w:line="1" w:lineRule="exact"/>
        <w:rPr>
          <w:sz w:val="20"/>
          <w:szCs w:val="20"/>
          <w:color w:val="auto"/>
        </w:rPr>
      </w:pPr>
    </w:p>
    <w:p>
      <w:pPr>
        <w:ind w:left="40" w:right="580"/>
        <w:spacing w:after="0"/>
        <w:rPr>
          <w:sz w:val="20"/>
          <w:szCs w:val="20"/>
          <w:color w:val="auto"/>
        </w:rPr>
      </w:pPr>
      <w:r>
        <w:rPr>
          <w:rFonts w:ascii="Calibri" w:cs="Calibri" w:eastAsia="Calibri" w:hAnsi="Calibri"/>
          <w:sz w:val="18"/>
          <w:szCs w:val="18"/>
          <w:color w:val="auto"/>
        </w:rPr>
        <w:t>Afer a Recoupment Event has occurred, the Commitee will review all short-term and long-term incentve- based compensaton (whether provided in the form of cash, equity or other property), which was awarded, earned, vested or paid based, in whole or in part, on the Company’s atainment of a fnancial reportng measure (“incentve-based compensaton”). “Covered Incentve-Based Compensaton” is all incentve-based compensaton received by a person:</w:t>
      </w:r>
    </w:p>
    <w:p>
      <w:pPr>
        <w:spacing w:after="0" w:line="247" w:lineRule="exact"/>
        <w:rPr>
          <w:sz w:val="20"/>
          <w:szCs w:val="20"/>
          <w:color w:val="auto"/>
        </w:rPr>
      </w:pPr>
    </w:p>
    <w:p>
      <w:pPr>
        <w:ind w:left="680" w:hanging="292"/>
        <w:spacing w:after="0"/>
        <w:tabs>
          <w:tab w:leader="none" w:pos="680" w:val="left"/>
        </w:tabs>
        <w:numPr>
          <w:ilvl w:val="0"/>
          <w:numId w:val="5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Afer beginning service as a Covered Executve Ofcer;</w:t>
      </w:r>
    </w:p>
    <w:p>
      <w:pPr>
        <w:spacing w:after="0" w:line="10" w:lineRule="exact"/>
        <w:rPr>
          <w:rFonts w:ascii="Times New Roman" w:cs="Times New Roman" w:eastAsia="Times New Roman" w:hAnsi="Times New Roman"/>
          <w:sz w:val="18"/>
          <w:szCs w:val="18"/>
          <w:color w:val="auto"/>
        </w:rPr>
      </w:pPr>
    </w:p>
    <w:p>
      <w:pPr>
        <w:ind w:left="680" w:hanging="292"/>
        <w:spacing w:after="0" w:line="236" w:lineRule="auto"/>
        <w:tabs>
          <w:tab w:leader="none" w:pos="680" w:val="left"/>
        </w:tabs>
        <w:numPr>
          <w:ilvl w:val="0"/>
          <w:numId w:val="5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Who served as a Covered Executve Ofcer at any tme during the performance period for that incentve-based compensaton;</w:t>
      </w:r>
    </w:p>
    <w:p>
      <w:pPr>
        <w:spacing w:after="0" w:line="19" w:lineRule="exact"/>
        <w:rPr>
          <w:rFonts w:ascii="Times New Roman" w:cs="Times New Roman" w:eastAsia="Times New Roman" w:hAnsi="Times New Roman"/>
          <w:sz w:val="18"/>
          <w:szCs w:val="18"/>
          <w:color w:val="auto"/>
        </w:rPr>
      </w:pPr>
    </w:p>
    <w:p>
      <w:pPr>
        <w:ind w:left="680" w:hanging="292"/>
        <w:spacing w:after="0"/>
        <w:tabs>
          <w:tab w:leader="none" w:pos="680" w:val="left"/>
        </w:tabs>
        <w:numPr>
          <w:ilvl w:val="0"/>
          <w:numId w:val="5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While the Company has a class of securites listed on a natonal securites exchange or a natonal securites associaton; and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alibri" w:cs="Calibri" w:eastAsia="Calibri" w:hAnsi="Calibri"/>
          <w:sz w:val="15"/>
          <w:szCs w:val="15"/>
          <w:color w:val="auto"/>
        </w:rPr>
        <w:t>1</w:t>
      </w:r>
    </w:p>
    <w:p>
      <w:pPr>
        <w:sectPr>
          <w:pgSz w:w="11900" w:h="16838" w:orient="portrait"/>
          <w:cols w:equalWidth="0" w:num="1">
            <w:col w:w="11160"/>
          </w:cols>
          <w:pgMar w:left="380" w:top="1440" w:right="35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2120900</wp:posOffset>
            </wp:positionH>
            <wp:positionV relativeFrom="page">
              <wp:posOffset>88900</wp:posOffset>
            </wp:positionV>
            <wp:extent cx="1533525" cy="3194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533525" cy="319405"/>
                    </a:xfrm>
                    <a:prstGeom prst="rect">
                      <a:avLst/>
                    </a:prstGeom>
                    <a:noFill/>
                  </pic:spPr>
                </pic:pic>
              </a:graphicData>
            </a:graphic>
          </wp:anchor>
        </w:drawing>
      </w:r>
    </w:p>
    <w:p>
      <w:pPr>
        <w:spacing w:after="0" w:line="288" w:lineRule="exact"/>
        <w:rPr>
          <w:sz w:val="20"/>
          <w:szCs w:val="20"/>
          <w:color w:val="auto"/>
        </w:rPr>
      </w:pPr>
    </w:p>
    <w:p>
      <w:pPr>
        <w:ind w:left="680" w:right="720" w:hanging="292"/>
        <w:spacing w:after="0" w:line="247" w:lineRule="auto"/>
        <w:tabs>
          <w:tab w:leader="none" w:pos="671" w:val="left"/>
        </w:tabs>
        <w:numPr>
          <w:ilvl w:val="0"/>
          <w:numId w:val="60"/>
        </w:numPr>
        <w:rPr>
          <w:rFonts w:ascii="Times New Roman" w:cs="Times New Roman" w:eastAsia="Times New Roman" w:hAnsi="Times New Roman"/>
          <w:sz w:val="18"/>
          <w:szCs w:val="18"/>
          <w:color w:val="auto"/>
        </w:rPr>
      </w:pPr>
      <w:r>
        <w:rPr>
          <w:rFonts w:ascii="Calibri" w:cs="Calibri" w:eastAsia="Calibri" w:hAnsi="Calibri"/>
          <w:sz w:val="18"/>
          <w:szCs w:val="18"/>
          <w:color w:val="auto"/>
        </w:rPr>
        <w:t>During the three (3) completed fscal years (including any transiton period in accordance with NASDAQ Listng Rule 5608(b)(1) (i)(D)) immediately preceding the Recoupment Event.</w:t>
      </w:r>
    </w:p>
    <w:p>
      <w:pPr>
        <w:spacing w:after="0" w:line="214"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uto"/>
        </w:rPr>
        <w:t>Determinaton of Erroneously Awarded Incentve-Based Compensaton</w:t>
      </w:r>
    </w:p>
    <w:p>
      <w:pPr>
        <w:spacing w:after="0" w:line="7"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rPr>
        <w:t>Based on such review by the Commitee, the Commitee shall determine the amount of any Covered Incentve- Based Compensaton received that exceeds the amount of Covered Incentve-Based Compensaton that otherwise would have been received had it been determined based on the restated amounts, computed without regard to any taxes paid (“Erroneously Awarded Incentve-Based Compensaton”).</w:t>
      </w:r>
    </w:p>
    <w:p>
      <w:pPr>
        <w:spacing w:after="0" w:line="8" w:lineRule="exact"/>
        <w:rPr>
          <w:sz w:val="20"/>
          <w:szCs w:val="20"/>
          <w:color w:val="auto"/>
        </w:rPr>
      </w:pPr>
    </w:p>
    <w:p>
      <w:pPr>
        <w:ind w:left="40"/>
        <w:spacing w:after="0"/>
        <w:rPr>
          <w:sz w:val="20"/>
          <w:szCs w:val="20"/>
          <w:color w:val="auto"/>
        </w:rPr>
      </w:pPr>
      <w:r>
        <w:rPr>
          <w:rFonts w:ascii="Calibri" w:cs="Calibri" w:eastAsia="Calibri" w:hAnsi="Calibri"/>
          <w:sz w:val="18"/>
          <w:szCs w:val="18"/>
          <w:color w:val="auto"/>
        </w:rPr>
        <w:t>If the Commitee cannot determine the amount of the Erroneously Awarded Incentve-Based Compensaton directly from the informaton in the accountng restatement, then it will make its determinaton based on a reasonable estmate of the efect of the accountng restatement. The Commitee will maintain documentaton supportng its determinaton and provide such documentaton to NASDAQ.</w:t>
      </w:r>
    </w:p>
    <w:p>
      <w:pPr>
        <w:spacing w:after="0" w:line="201"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uto"/>
        </w:rPr>
        <w:t>Method of Recoupment</w:t>
      </w:r>
    </w:p>
    <w:p>
      <w:pPr>
        <w:ind w:left="40" w:right="320"/>
        <w:spacing w:after="0" w:line="201" w:lineRule="auto"/>
        <w:rPr>
          <w:sz w:val="20"/>
          <w:szCs w:val="20"/>
          <w:color w:val="auto"/>
        </w:rPr>
      </w:pPr>
      <w:r>
        <w:rPr>
          <w:rFonts w:ascii="Calibri" w:cs="Calibri" w:eastAsia="Calibri" w:hAnsi="Calibri"/>
          <w:sz w:val="18"/>
          <w:szCs w:val="18"/>
          <w:color w:val="auto"/>
        </w:rPr>
        <w:t>The Commitee will recover, reasonably promptly, any Erroneously Awarded Incentve-Based Compensaton. The Company’s obligaton to recover Erroneously Awarded Incentve-Based Compensaton is not dependent on if or when the restated fnancial statements are fled. The Commitee will recover Erroneously Awarded Incentve-Based Compensaton unless the Commitee determines that a recovery would be impractcable under one of the following standards:</w:t>
      </w:r>
    </w:p>
    <w:p>
      <w:pPr>
        <w:spacing w:after="0" w:line="222" w:lineRule="exact"/>
        <w:rPr>
          <w:sz w:val="20"/>
          <w:szCs w:val="20"/>
          <w:color w:val="auto"/>
        </w:rPr>
      </w:pPr>
    </w:p>
    <w:p>
      <w:pPr>
        <w:ind w:left="640" w:right="240" w:hanging="304"/>
        <w:spacing w:after="0" w:line="238" w:lineRule="auto"/>
        <w:tabs>
          <w:tab w:leader="none" w:pos="629" w:val="left"/>
        </w:tabs>
        <w:numPr>
          <w:ilvl w:val="0"/>
          <w:numId w:val="6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direct expense paid to a third party to assist in enforcing the Policy would exceed the amount to be recovered. Before concluding that it would be impractcable to recover any amount of Erroneously Awarded Incentve-Based Compensaton based on expense of enforcement, the Company must make a reasonable atempt to recover such Erroneously Awarded Incentve-Based Compensaton, document such reasonable atempt(s) to recover, and provide that documentaton to NASDAQ.</w:t>
      </w:r>
    </w:p>
    <w:p>
      <w:pPr>
        <w:spacing w:after="0" w:line="210" w:lineRule="exact"/>
        <w:rPr>
          <w:rFonts w:ascii="Times New Roman" w:cs="Times New Roman" w:eastAsia="Times New Roman" w:hAnsi="Times New Roman"/>
          <w:sz w:val="18"/>
          <w:szCs w:val="18"/>
          <w:color w:val="auto"/>
        </w:rPr>
      </w:pPr>
    </w:p>
    <w:p>
      <w:pPr>
        <w:ind w:left="640" w:right="100" w:hanging="304"/>
        <w:spacing w:after="0" w:line="211" w:lineRule="auto"/>
        <w:tabs>
          <w:tab w:leader="none" w:pos="629" w:val="left"/>
        </w:tabs>
        <w:numPr>
          <w:ilvl w:val="0"/>
          <w:numId w:val="6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Recovery would violate home country law where that law was adopted prior to November 28, 2022. Before concluding that it would be impractcable to recover any amount of Erroneously Awarded Incentve-Based Compensaton based on violaton of home country law, the Company must obtain an opinion of home country counsel, acceptable to NASDAQ, that recovery would result in such a violaton, and must provide such opinion to NASDAQ.</w:t>
      </w:r>
    </w:p>
    <w:p>
      <w:pPr>
        <w:spacing w:after="0" w:line="221" w:lineRule="exact"/>
        <w:rPr>
          <w:rFonts w:ascii="Times New Roman" w:cs="Times New Roman" w:eastAsia="Times New Roman" w:hAnsi="Times New Roman"/>
          <w:sz w:val="18"/>
          <w:szCs w:val="18"/>
          <w:color w:val="auto"/>
        </w:rPr>
      </w:pPr>
    </w:p>
    <w:p>
      <w:pPr>
        <w:ind w:left="640" w:right="600" w:hanging="304"/>
        <w:spacing w:after="0" w:line="216" w:lineRule="auto"/>
        <w:tabs>
          <w:tab w:leader="none" w:pos="629" w:val="left"/>
        </w:tabs>
        <w:numPr>
          <w:ilvl w:val="0"/>
          <w:numId w:val="6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Recovery would likely cause an otherwise tax-qualifed retrement plan, under which benefts are broadly available to employees of the registrant, to fail to meet the requirements of 26 U.S.C. 401(a)(13) or 26 U.S.C. 411(a) and regulatons thereunder.</w:t>
      </w:r>
    </w:p>
    <w:p>
      <w:pPr>
        <w:spacing w:after="0" w:line="196" w:lineRule="exact"/>
        <w:rPr>
          <w:sz w:val="20"/>
          <w:szCs w:val="20"/>
          <w:color w:val="auto"/>
        </w:rPr>
      </w:pPr>
    </w:p>
    <w:p>
      <w:pPr>
        <w:ind w:left="40" w:right="920"/>
        <w:spacing w:after="0" w:line="223" w:lineRule="auto"/>
        <w:rPr>
          <w:sz w:val="20"/>
          <w:szCs w:val="20"/>
          <w:color w:val="auto"/>
        </w:rPr>
      </w:pPr>
      <w:r>
        <w:rPr>
          <w:rFonts w:ascii="Calibri" w:cs="Calibri" w:eastAsia="Calibri" w:hAnsi="Calibri"/>
          <w:sz w:val="18"/>
          <w:szCs w:val="18"/>
          <w:color w:val="auto"/>
        </w:rPr>
        <w:t>The Commitee will determine, in its sole discreton, the method for recouping Erroneously Awarded Incentve-Based Compensaton which may include, without limitaton:</w:t>
      </w:r>
    </w:p>
    <w:p>
      <w:pPr>
        <w:spacing w:after="0" w:line="233" w:lineRule="exact"/>
        <w:rPr>
          <w:sz w:val="20"/>
          <w:szCs w:val="20"/>
          <w:color w:val="auto"/>
        </w:rPr>
      </w:pPr>
    </w:p>
    <w:p>
      <w:pPr>
        <w:ind w:left="620" w:hanging="284"/>
        <w:spacing w:after="0"/>
        <w:tabs>
          <w:tab w:leader="none" w:pos="620" w:val="left"/>
        </w:tabs>
        <w:numPr>
          <w:ilvl w:val="0"/>
          <w:numId w:val="62"/>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Requiring reimbursement of cash incentve-based compensaton previously paid;</w:t>
      </w:r>
    </w:p>
    <w:p>
      <w:pPr>
        <w:spacing w:after="0" w:line="19" w:lineRule="exact"/>
        <w:rPr>
          <w:rFonts w:ascii="Times New Roman" w:cs="Times New Roman" w:eastAsia="Times New Roman" w:hAnsi="Times New Roman"/>
          <w:sz w:val="18"/>
          <w:szCs w:val="18"/>
          <w:color w:val="auto"/>
        </w:rPr>
      </w:pPr>
    </w:p>
    <w:p>
      <w:pPr>
        <w:ind w:left="640" w:right="640" w:hanging="304"/>
        <w:spacing w:after="0" w:line="223" w:lineRule="auto"/>
        <w:tabs>
          <w:tab w:leader="none" w:pos="629" w:val="left"/>
        </w:tabs>
        <w:numPr>
          <w:ilvl w:val="0"/>
          <w:numId w:val="62"/>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Seeking recovery of any gain realized on the vestng, exercise, setlement, sale, transfer, or other dispositon of any equity-based awards;</w:t>
      </w:r>
    </w:p>
    <w:p>
      <w:pPr>
        <w:ind w:left="620" w:hanging="284"/>
        <w:spacing w:after="0" w:line="233" w:lineRule="auto"/>
        <w:tabs>
          <w:tab w:leader="none" w:pos="620" w:val="left"/>
        </w:tabs>
        <w:numPr>
          <w:ilvl w:val="0"/>
          <w:numId w:val="6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Ofsetng the recouped amount from any compensaton otherwise owed by the Company to the Covered Executve Ofcer;</w:t>
      </w:r>
    </w:p>
    <w:p>
      <w:pPr>
        <w:spacing w:after="0" w:line="31" w:lineRule="exact"/>
        <w:rPr>
          <w:rFonts w:ascii="Times New Roman" w:cs="Times New Roman" w:eastAsia="Times New Roman" w:hAnsi="Times New Roman"/>
          <w:sz w:val="18"/>
          <w:szCs w:val="18"/>
          <w:color w:val="auto"/>
        </w:rPr>
      </w:pPr>
    </w:p>
    <w:p>
      <w:pPr>
        <w:ind w:left="620" w:hanging="284"/>
        <w:spacing w:after="0"/>
        <w:tabs>
          <w:tab w:leader="none" w:pos="620" w:val="left"/>
        </w:tabs>
        <w:numPr>
          <w:ilvl w:val="0"/>
          <w:numId w:val="6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Cancelling outstanding vested or unvested equity awards; and/or</w:t>
      </w:r>
    </w:p>
    <w:p>
      <w:pPr>
        <w:spacing w:after="0" w:line="31" w:lineRule="exact"/>
        <w:rPr>
          <w:rFonts w:ascii="Times New Roman" w:cs="Times New Roman" w:eastAsia="Times New Roman" w:hAnsi="Times New Roman"/>
          <w:sz w:val="18"/>
          <w:szCs w:val="18"/>
          <w:color w:val="auto"/>
        </w:rPr>
      </w:pPr>
    </w:p>
    <w:p>
      <w:pPr>
        <w:ind w:left="620" w:hanging="284"/>
        <w:spacing w:after="0"/>
        <w:tabs>
          <w:tab w:leader="none" w:pos="620" w:val="left"/>
        </w:tabs>
        <w:numPr>
          <w:ilvl w:val="0"/>
          <w:numId w:val="6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Taking any other remedial and recovery acton permited by law, as determined by the Commitee.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alibri" w:cs="Calibri" w:eastAsia="Calibri" w:hAnsi="Calibri"/>
          <w:sz w:val="15"/>
          <w:szCs w:val="15"/>
          <w:color w:val="auto"/>
        </w:rPr>
        <w:t>2</w:t>
      </w:r>
    </w:p>
    <w:p>
      <w:pPr>
        <w:sectPr>
          <w:pgSz w:w="11900" w:h="16838" w:orient="portrait"/>
          <w:cols w:equalWidth="0" w:num="1">
            <w:col w:w="11040"/>
          </w:cols>
          <w:pgMar w:left="380" w:top="1440" w:right="479"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2120900</wp:posOffset>
            </wp:positionH>
            <wp:positionV relativeFrom="page">
              <wp:posOffset>88900</wp:posOffset>
            </wp:positionV>
            <wp:extent cx="1533525" cy="3194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533525" cy="31940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uto"/>
        </w:rPr>
        <w:t>No Indemnifcaton</w:t>
      </w:r>
    </w:p>
    <w:p>
      <w:pPr>
        <w:spacing w:after="0" w:line="1" w:lineRule="exact"/>
        <w:rPr>
          <w:sz w:val="20"/>
          <w:szCs w:val="20"/>
          <w:color w:val="auto"/>
        </w:rPr>
      </w:pPr>
    </w:p>
    <w:p>
      <w:pPr>
        <w:ind w:left="40" w:right="800"/>
        <w:spacing w:after="0" w:line="206" w:lineRule="auto"/>
        <w:rPr>
          <w:sz w:val="20"/>
          <w:szCs w:val="20"/>
          <w:color w:val="auto"/>
        </w:rPr>
      </w:pPr>
      <w:r>
        <w:rPr>
          <w:rFonts w:ascii="Calibri" w:cs="Calibri" w:eastAsia="Calibri" w:hAnsi="Calibri"/>
          <w:sz w:val="18"/>
          <w:szCs w:val="18"/>
          <w:color w:val="auto"/>
        </w:rPr>
        <w:t>The Company is prohibited from indemnifying any Covered Executve Ofcer against the loss of Erroneously Awarded Incentve-Based Compensaton.</w:t>
      </w:r>
    </w:p>
    <w:p>
      <w:pPr>
        <w:spacing w:after="0" w:line="182"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uto"/>
        </w:rPr>
        <w:t>Interpretaton</w:t>
      </w:r>
    </w:p>
    <w:p>
      <w:pPr>
        <w:spacing w:after="0" w:line="1" w:lineRule="exact"/>
        <w:rPr>
          <w:sz w:val="20"/>
          <w:szCs w:val="20"/>
          <w:color w:val="auto"/>
        </w:rPr>
      </w:pPr>
    </w:p>
    <w:p>
      <w:pPr>
        <w:ind w:left="40"/>
        <w:spacing w:after="0" w:line="202" w:lineRule="auto"/>
        <w:rPr>
          <w:sz w:val="20"/>
          <w:szCs w:val="20"/>
          <w:color w:val="auto"/>
        </w:rPr>
      </w:pPr>
      <w:r>
        <w:rPr>
          <w:rFonts w:ascii="Calibri" w:cs="Calibri" w:eastAsia="Calibri" w:hAnsi="Calibri"/>
          <w:sz w:val="18"/>
          <w:szCs w:val="18"/>
          <w:color w:val="auto"/>
        </w:rPr>
        <w:t>It is intended that this Policy be interpreted consistent with the requirements of Rule 10D-1 of the Securites Exchange Act of 1934 and NASDAQ Listng Rule 5608 (“Applicable Requirements”). The Commitee is vested with the sole discreton to interpret and construe this Policy and to make all determinatons necessary, appropriate, or advisable for its administraton. Any determinatons made by the Commitee shall be fnal and binding on all afected individuals, including the Covered Executve Ofcers’ estate and benefciaries.</w:t>
      </w:r>
    </w:p>
    <w:p>
      <w:pPr>
        <w:spacing w:after="0" w:line="185"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uto"/>
        </w:rPr>
        <w:t>Efectve Date</w:t>
      </w:r>
    </w:p>
    <w:p>
      <w:pPr>
        <w:spacing w:after="0" w:line="1" w:lineRule="exact"/>
        <w:rPr>
          <w:sz w:val="20"/>
          <w:szCs w:val="20"/>
          <w:color w:val="auto"/>
        </w:rPr>
      </w:pPr>
    </w:p>
    <w:p>
      <w:pPr>
        <w:ind w:left="40" w:right="280"/>
        <w:spacing w:after="0" w:line="206" w:lineRule="auto"/>
        <w:rPr>
          <w:sz w:val="20"/>
          <w:szCs w:val="20"/>
          <w:color w:val="auto"/>
        </w:rPr>
      </w:pPr>
      <w:r>
        <w:rPr>
          <w:rFonts w:ascii="Calibri" w:cs="Calibri" w:eastAsia="Calibri" w:hAnsi="Calibri"/>
          <w:sz w:val="18"/>
          <w:szCs w:val="18"/>
          <w:color w:val="auto"/>
        </w:rPr>
        <w:t>This Policy shall be efectve as of the date it is adopted by the Board and shall apply to Erroneously Awarded Incentve-Based Compensaton that is approved, awarded or granted to Covered Executve Ofcers on or afer that date.</w:t>
      </w:r>
    </w:p>
    <w:p>
      <w:pPr>
        <w:spacing w:after="0" w:line="182"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uto"/>
        </w:rPr>
        <w:t>Other Rights and Laws</w:t>
      </w:r>
    </w:p>
    <w:p>
      <w:pPr>
        <w:spacing w:after="0" w:line="1" w:lineRule="exact"/>
        <w:rPr>
          <w:sz w:val="20"/>
          <w:szCs w:val="20"/>
          <w:color w:val="auto"/>
        </w:rPr>
      </w:pPr>
    </w:p>
    <w:p>
      <w:pPr>
        <w:ind w:left="40" w:right="80"/>
        <w:spacing w:after="0"/>
        <w:rPr>
          <w:sz w:val="20"/>
          <w:szCs w:val="20"/>
          <w:color w:val="auto"/>
        </w:rPr>
      </w:pPr>
      <w:r>
        <w:rPr>
          <w:rFonts w:ascii="Calibri" w:cs="Calibri" w:eastAsia="Calibri" w:hAnsi="Calibri"/>
          <w:sz w:val="18"/>
          <w:szCs w:val="18"/>
          <w:color w:val="auto"/>
        </w:rPr>
        <w:t>Any right of recoupment under this Policy is in additon to, and not in lieu of, any other remedies or rights of recoupment that may be available to the Company pursuant to the terms of any similar policy in any employment agreement, equity award agreement, or similar agreement and any other legal remedies available to the Company. Applicaton of the Policy does not preclude the Company from taking any other acton to enforce a Covered Executve Ofcer’s obligatons to the Company, including, without limitaton, terminaton of employment or insttuton of civil or criminal proceedings.</w:t>
      </w:r>
    </w:p>
    <w:p>
      <w:pPr>
        <w:spacing w:after="0" w:line="234"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uto"/>
        </w:rPr>
        <w:t>Amendment</w:t>
      </w:r>
    </w:p>
    <w:p>
      <w:pPr>
        <w:spacing w:after="0" w:line="1" w:lineRule="exact"/>
        <w:rPr>
          <w:sz w:val="20"/>
          <w:szCs w:val="20"/>
          <w:color w:val="auto"/>
        </w:rPr>
      </w:pPr>
    </w:p>
    <w:p>
      <w:pPr>
        <w:ind w:left="40" w:right="840"/>
        <w:spacing w:after="0" w:line="206" w:lineRule="auto"/>
        <w:rPr>
          <w:sz w:val="20"/>
          <w:szCs w:val="20"/>
          <w:color w:val="auto"/>
        </w:rPr>
      </w:pPr>
      <w:r>
        <w:rPr>
          <w:rFonts w:ascii="Calibri" w:cs="Calibri" w:eastAsia="Calibri" w:hAnsi="Calibri"/>
          <w:sz w:val="18"/>
          <w:szCs w:val="18"/>
          <w:color w:val="auto"/>
        </w:rPr>
        <w:t>The Board may amend this policy from tme to tme in its discreton and shall amend this Policy as it deems necessary to comply with Applicable Requirements. The Board may terminate this Policy at any tme.</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alibri" w:cs="Calibri" w:eastAsia="Calibri" w:hAnsi="Calibri"/>
          <w:sz w:val="15"/>
          <w:szCs w:val="15"/>
          <w:color w:val="auto"/>
        </w:rPr>
        <w:t>3</w:t>
      </w:r>
    </w:p>
    <w:sectPr>
      <w:pgSz w:w="11900" w:h="16838" w:orient="portrait"/>
      <w:cols w:equalWidth="0" w:num="1">
        <w:col w:w="11020"/>
      </w:cols>
      <w:pgMar w:left="38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lowerLetter"/>
      <w:start w:val="1"/>
    </w:lvl>
  </w:abstractNum>
  <w:abstractNum w:abstractNumId="3">
    <w:nsid w:val="4516DDE9"/>
    <w:multiLevelType w:val="hybridMultilevel"/>
    <w:lvl w:ilvl="0">
      <w:lvlJc w:val="left"/>
      <w:lvlText w:val="(%1)"/>
      <w:numFmt w:val="lowerLetter"/>
      <w:start w:val="2"/>
    </w:lvl>
  </w:abstractNum>
  <w:abstractNum w:abstractNumId="4">
    <w:nsid w:val="3006C83E"/>
    <w:multiLevelType w:val="hybridMultilevel"/>
    <w:lvl w:ilvl="0">
      <w:lvlJc w:val="left"/>
      <w:lvlText w:val="\endash "/>
      <w:numFmt w:val="bullet"/>
      <w:start w:val="1"/>
    </w:lvl>
  </w:abstractNum>
  <w:abstractNum w:abstractNumId="5">
    <w:nsid w:val="614FD4A1"/>
    <w:multiLevelType w:val="hybridMultilevel"/>
    <w:lvl w:ilvl="0">
      <w:lvlJc w:val="left"/>
      <w:lvlText w:val="\endash "/>
      <w:numFmt w:val="bullet"/>
      <w:start w:val="1"/>
    </w:lvl>
  </w:abstractNum>
  <w:abstractNum w:abstractNumId="6">
    <w:nsid w:val="419AC241"/>
    <w:multiLevelType w:val="hybridMultilevel"/>
    <w:lvl w:ilvl="0">
      <w:lvlJc w:val="left"/>
      <w:lvlText w:val="(%1)"/>
      <w:numFmt w:val="lowerLetter"/>
      <w:start w:val="4"/>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lowerLetter"/>
      <w:start w:val="1"/>
    </w:lvl>
  </w:abstractNum>
  <w:abstractNum w:abstractNumId="11">
    <w:nsid w:val="77465F01"/>
    <w:multiLevelType w:val="hybridMultilevel"/>
    <w:lvl w:ilvl="0">
      <w:lvlJc w:val="left"/>
      <w:lvlText w:val="(%1)"/>
      <w:numFmt w:val="lowerLetter"/>
      <w:start w:val="2"/>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lowerLetter"/>
      <w:start w:val="1"/>
    </w:lvl>
    <w:lvl w:ilvl="1">
      <w:lvlJc w:val="left"/>
      <w:lvlText w:val="%2."/>
      <w:numFmt w:val="decimal"/>
      <w:start w:val="2"/>
    </w:lvl>
  </w:abstractNum>
  <w:abstractNum w:abstractNumId="14">
    <w:nsid w:val="2463B9EA"/>
    <w:multiLevelType w:val="hybridMultilevel"/>
    <w:lvl w:ilvl="0">
      <w:lvlJc w:val="left"/>
      <w:lvlText w:val="(%1)"/>
      <w:numFmt w:val="decimal"/>
      <w:start w:val="1"/>
    </w:lvl>
  </w:abstractNum>
  <w:abstractNum w:abstractNumId="15">
    <w:nsid w:val="5E884ADC"/>
    <w:multiLevelType w:val="hybridMultilevel"/>
    <w:lvl w:ilvl="0">
      <w:lvlJc w:val="left"/>
      <w:lvlText w:val="(%1)"/>
      <w:numFmt w:val="decimal"/>
      <w:start w:val="1"/>
    </w:lvl>
  </w:abstractNum>
  <w:abstractNum w:abstractNumId="16">
    <w:nsid w:val="51EAD36B"/>
    <w:multiLevelType w:val="hybridMultilevel"/>
    <w:lvl w:ilvl="0">
      <w:lvlJc w:val="left"/>
      <w:lvlText w:val="(%1)"/>
      <w:numFmt w:val="decimal"/>
      <w:start w:val="1"/>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1)"/>
      <w:numFmt w:val="decimal"/>
      <w:start w:val="2"/>
    </w:lvl>
  </w:abstractNum>
  <w:abstractNum w:abstractNumId="26">
    <w:nsid w:val="2CD89A32"/>
    <w:multiLevelType w:val="hybridMultilevel"/>
    <w:lvl w:ilvl="0">
      <w:lvlJc w:val="left"/>
      <w:lvlText w:val="(%1)"/>
      <w:numFmt w:val="decimal"/>
      <w:start w:val="3"/>
    </w:lvl>
  </w:abstractNum>
  <w:abstractNum w:abstractNumId="27">
    <w:nsid w:val="57E4CCAF"/>
    <w:multiLevelType w:val="hybridMultilevel"/>
    <w:lvl w:ilvl="0">
      <w:lvlJc w:val="left"/>
      <w:lvlText w:val="(%1)"/>
      <w:numFmt w:val="decimal"/>
      <w:start w:val="4"/>
    </w:lvl>
  </w:abstractNum>
  <w:abstractNum w:abstractNumId="28">
    <w:nsid w:val="7A6D8D3C"/>
    <w:multiLevelType w:val="hybridMultilevel"/>
    <w:lvl w:ilvl="0">
      <w:lvlJc w:val="left"/>
      <w:lvlText w:val="(%1)"/>
      <w:numFmt w:val="decimal"/>
      <w:start w:val="5"/>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3"/>
    </w:lvl>
  </w:abstractNum>
  <w:abstractNum w:abstractNumId="31">
    <w:nsid w:val="6DE91B18"/>
    <w:multiLevelType w:val="hybridMultilevel"/>
    <w:lvl w:ilvl="0">
      <w:lvlJc w:val="left"/>
      <w:lvlText w:val="(%1)"/>
      <w:numFmt w:val="decimal"/>
      <w:start w:val="7"/>
    </w:lvl>
  </w:abstractNum>
  <w:abstractNum w:abstractNumId="32">
    <w:nsid w:val="38437FDB"/>
    <w:multiLevelType w:val="hybridMultilevel"/>
    <w:lvl w:ilvl="0">
      <w:lvlJc w:val="left"/>
      <w:lvlText w:val="(%1)"/>
      <w:numFmt w:val="decimal"/>
      <w:start w:val="7"/>
    </w:lvl>
  </w:abstractNum>
  <w:abstractNum w:abstractNumId="33">
    <w:nsid w:val="7644A45C"/>
    <w:multiLevelType w:val="hybridMultilevel"/>
    <w:lvl w:ilvl="0">
      <w:lvlJc w:val="left"/>
      <w:lvlText w:val="(%1)"/>
      <w:numFmt w:val="decimal"/>
      <w:start w:val="9"/>
    </w:lvl>
  </w:abstractNum>
  <w:abstractNum w:abstractNumId="34">
    <w:nsid w:val="32FFF902"/>
    <w:multiLevelType w:val="hybridMultilevel"/>
    <w:lvl w:ilvl="0">
      <w:lvlJc w:val="left"/>
      <w:lvlText w:val="(%1)"/>
      <w:numFmt w:val="decimal"/>
      <w:start w:val="10"/>
    </w:lvl>
  </w:abstractNum>
  <w:abstractNum w:abstractNumId="35">
    <w:nsid w:val="684A481A"/>
    <w:multiLevelType w:val="hybridMultilevel"/>
    <w:lvl w:ilvl="0">
      <w:lvlJc w:val="left"/>
      <w:lvlText w:val="(%1)"/>
      <w:numFmt w:val="decimal"/>
      <w:start w:val="11"/>
    </w:lvl>
  </w:abstractNum>
  <w:abstractNum w:abstractNumId="36">
    <w:nsid w:val="579478FE"/>
    <w:multiLevelType w:val="hybridMultilevel"/>
    <w:lvl w:ilvl="0">
      <w:lvlJc w:val="left"/>
      <w:lvlText w:val="(%1)"/>
      <w:numFmt w:val="decimal"/>
      <w:start w:val="12"/>
    </w:lvl>
  </w:abstractNum>
  <w:abstractNum w:abstractNumId="37">
    <w:nsid w:val="749ABB43"/>
    <w:multiLevelType w:val="hybridMultilevel"/>
    <w:lvl w:ilvl="0">
      <w:lvlJc w:val="left"/>
      <w:lvlText w:val="%1"/>
      <w:numFmt w:val="decimal"/>
      <w:start w:val="21"/>
    </w:lvl>
  </w:abstractNum>
  <w:abstractNum w:abstractNumId="38">
    <w:nsid w:val="3DC240FB"/>
    <w:multiLevelType w:val="hybridMultilevel"/>
    <w:lvl w:ilvl="0">
      <w:lvlJc w:val="left"/>
      <w:lvlText w:val="%1"/>
      <w:numFmt w:val="decimal"/>
      <w:start w:val="32"/>
    </w:lvl>
  </w:abstractNum>
  <w:abstractNum w:abstractNumId="39">
    <w:nsid w:val="1BA026FA"/>
    <w:multiLevelType w:val="hybridMultilevel"/>
    <w:lvl w:ilvl="0">
      <w:lvlJc w:val="left"/>
      <w:lvlText w:val="%1"/>
      <w:numFmt w:val="decimal"/>
      <w:start w:val="97"/>
    </w:lvl>
  </w:abstractNum>
  <w:abstractNum w:abstractNumId="40">
    <w:nsid w:val="79A1DEAA"/>
    <w:multiLevelType w:val="hybridMultilevel"/>
    <w:lvl w:ilvl="0">
      <w:lvlJc w:val="left"/>
      <w:lvlText w:val="%1."/>
      <w:numFmt w:val="decimal"/>
      <w:start w:val="1"/>
    </w:lvl>
    <w:lvl w:ilvl="1">
      <w:lvlJc w:val="left"/>
      <w:lvlText w:val="(%2)"/>
      <w:numFmt w:val="lowerLetter"/>
      <w:start w:val="1"/>
    </w:lvl>
  </w:abstractNum>
  <w:abstractNum w:abstractNumId="41">
    <w:nsid w:val="75C6C33A"/>
    <w:multiLevelType w:val="hybridMultilevel"/>
    <w:lvl w:ilvl="0">
      <w:lvlJc w:val="left"/>
      <w:lvlText w:val="%1."/>
      <w:numFmt w:val="decimal"/>
      <w:start w:val="2"/>
    </w:lvl>
    <w:lvl w:ilvl="1">
      <w:lvlJc w:val="left"/>
      <w:lvlText w:val="(%2)"/>
      <w:numFmt w:val="lowerLetter"/>
      <w:start w:val="1"/>
    </w:lvl>
  </w:abstractNum>
  <w:abstractNum w:abstractNumId="42">
    <w:nsid w:val="12E685FB"/>
    <w:multiLevelType w:val="hybridMultilevel"/>
    <w:lvl w:ilvl="0">
      <w:lvlJc w:val="left"/>
      <w:lvlText w:val="%1"/>
      <w:numFmt w:val="decimal"/>
      <w:start w:val="1"/>
    </w:lvl>
    <w:lvl w:ilvl="1">
      <w:lvlJc w:val="left"/>
      <w:lvlText w:val="(%2)"/>
      <w:numFmt w:val="lowerLetter"/>
      <w:start w:val="4"/>
    </w:lvl>
  </w:abstractNum>
  <w:abstractNum w:abstractNumId="43">
    <w:nsid w:val="70C6A529"/>
    <w:multiLevelType w:val="hybridMultilevel"/>
    <w:lvl w:ilvl="0">
      <w:lvlJc w:val="left"/>
      <w:lvlText w:val="%1."/>
      <w:numFmt w:val="decimal"/>
      <w:start w:val="4"/>
    </w:lvl>
    <w:lvl w:ilvl="1">
      <w:lvlJc w:val="left"/>
      <w:lvlText w:val="(%2)"/>
      <w:numFmt w:val="lowerLetter"/>
      <w:start w:val="1"/>
    </w:lvl>
  </w:abstractNum>
  <w:abstractNum w:abstractNumId="44">
    <w:nsid w:val="520EEDD1"/>
    <w:multiLevelType w:val="hybridMultilevel"/>
    <w:lvl w:ilvl="0">
      <w:lvlJc w:val="left"/>
      <w:lvlText w:val="%1"/>
      <w:numFmt w:val="decimal"/>
      <w:start w:val="1"/>
    </w:lvl>
    <w:lvl w:ilvl="1">
      <w:lvlJc w:val="left"/>
      <w:lvlText w:val="(%2)"/>
      <w:numFmt w:val="lowerLetter"/>
      <w:start w:val="4"/>
    </w:lvl>
  </w:abstractNum>
  <w:abstractNum w:abstractNumId="45">
    <w:nsid w:val="374A3FE6"/>
    <w:multiLevelType w:val="hybridMultilevel"/>
    <w:lvl w:ilvl="0">
      <w:lvlJc w:val="left"/>
      <w:lvlText w:val="%1."/>
      <w:numFmt w:val="decimal"/>
      <w:start w:val="5"/>
    </w:lvl>
    <w:lvl w:ilvl="1">
      <w:lvlJc w:val="left"/>
      <w:lvlText w:val="(%2)"/>
      <w:numFmt w:val="lowerLetter"/>
      <w:start w:val="1"/>
    </w:lvl>
  </w:abstractNum>
  <w:abstractNum w:abstractNumId="46">
    <w:nsid w:val="4F4EF005"/>
    <w:multiLevelType w:val="hybridMultilevel"/>
    <w:lvl w:ilvl="0">
      <w:lvlJc w:val="left"/>
      <w:lvlText w:val="%1."/>
      <w:numFmt w:val="decimal"/>
      <w:start w:val="6"/>
    </w:lvl>
    <w:lvl w:ilvl="1">
      <w:lvlJc w:val="left"/>
      <w:lvlText w:val="(%2)"/>
      <w:numFmt w:val="lowerLetter"/>
      <w:start w:val="1"/>
    </w:lvl>
  </w:abstractNum>
  <w:abstractNum w:abstractNumId="47">
    <w:nsid w:val="23F9C13C"/>
    <w:multiLevelType w:val="hybridMultilevel"/>
    <w:lvl w:ilvl="0">
      <w:lvlJc w:val="left"/>
      <w:lvlText w:val="%1"/>
      <w:numFmt w:val="decimal"/>
      <w:start w:val="1"/>
    </w:lvl>
    <w:lvl w:ilvl="1">
      <w:lvlJc w:val="left"/>
      <w:lvlText w:val="(%2)"/>
      <w:numFmt w:val="lowerLetter"/>
      <w:start w:val="2"/>
    </w:lvl>
  </w:abstractNum>
  <w:abstractNum w:abstractNumId="48">
    <w:nsid w:val="649BB77C"/>
    <w:multiLevelType w:val="hybridMultilevel"/>
    <w:lvl w:ilvl="0">
      <w:lvlJc w:val="left"/>
      <w:lvlText w:val="%1."/>
      <w:numFmt w:val="decimal"/>
      <w:start w:val="7"/>
    </w:lvl>
    <w:lvl w:ilvl="1">
      <w:lvlJc w:val="left"/>
      <w:lvlText w:val="%2"/>
      <w:numFmt w:val="lowerLetter"/>
      <w:start w:val="1"/>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lowerLetter"/>
      <w:start w:val="8"/>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4"/>
    </w:lvl>
    <w:lvl w:ilvl="4">
      <w:lvlJc w:val="left"/>
      <w:lvlText w:val="%5)"/>
      <w:numFmt w:val="lowerLetter"/>
      <w:start w:val="2"/>
    </w:lvl>
  </w:abstractNum>
  <w:abstractNum w:abstractNumId="54">
    <w:nsid w:val="47398C8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55">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jpeg"/><Relationship Id="rId132" Type="http://schemas.openxmlformats.org/officeDocument/2006/relationships/image" Target="media/image96.jpeg"/><Relationship Id="rId133" Type="http://schemas.openxmlformats.org/officeDocument/2006/relationships/image" Target="media/image97.jpeg"/><Relationship Id="rId96" Type="http://schemas.openxmlformats.org/officeDocument/2006/relationships/hyperlink" Target="http://www.sec.gov/Archives/edgar/data/355811/000095012404005224/k88664exv3wxay.txt" TargetMode="External"/><Relationship Id="rId97" Type="http://schemas.openxmlformats.org/officeDocument/2006/relationships/hyperlink" Target="http://www.sec.gov/Archives/edgar/data/355811/000119312512242911/d356452dex31i.htm" TargetMode="External"/><Relationship Id="rId98" Type="http://schemas.openxmlformats.org/officeDocument/2006/relationships/hyperlink" Target="http://www.sec.gov/Archives/edgar/data/355811/000119312514123458/d698646ddef14a.htm" TargetMode="External"/><Relationship Id="rId99" Type="http://schemas.openxmlformats.org/officeDocument/2006/relationships/hyperlink" Target="http://www.sec.gov/Archives/edgar/data/355811/000095012403001517/k76699exv3wxbyx1y.txt" TargetMode="External"/><Relationship Id="rId100" Type="http://schemas.openxmlformats.org/officeDocument/2006/relationships/hyperlink" Target="http://www.sec.gov/Archives/edgar/data/355811/000092604412000006/gentex8k_021612bylaws.htm" TargetMode="External"/><Relationship Id="rId101" Type="http://schemas.openxmlformats.org/officeDocument/2006/relationships/hyperlink" Target="http://www.sec.gov/Archives/edgar/data/355811/000035581120000007/gntx12312019-ex42.htm" TargetMode="External"/><Relationship Id="rId102" Type="http://schemas.openxmlformats.org/officeDocument/2006/relationships/hyperlink" Target="http://www.sec.gov/Archives/edgar/data/355811/000095012401500533/k61926ex10-b2.txt" TargetMode="External"/><Relationship Id="rId103" Type="http://schemas.openxmlformats.org/officeDocument/2006/relationships/hyperlink" Target="http://www.sec.gov/Archives/edgar/data/355811/000095013408013934/k34057exv10wxbyx5y.txt" TargetMode="External"/><Relationship Id="rId104" Type="http://schemas.openxmlformats.org/officeDocument/2006/relationships/hyperlink" Target="http://www.sec.gov/Archives/edgar/data/355811/000119312512330090/d387140dex10b10.htm" TargetMode="External"/><Relationship Id="rId105" Type="http://schemas.openxmlformats.org/officeDocument/2006/relationships/hyperlink" Target="http://www.sec.gov/Archives/edgar/data/355811/000119312512330090/d387140dex10b11.htm" TargetMode="External"/><Relationship Id="rId106" Type="http://schemas.openxmlformats.org/officeDocument/2006/relationships/hyperlink" Target="http://www.sec.gov/Archives/edgar/data/355811/000119312513142439/d516828ddef14a.htm" TargetMode="External"/><Relationship Id="rId107" Type="http://schemas.openxmlformats.org/officeDocument/2006/relationships/hyperlink" Target="http://www.sec.gov/Archives/edgar/data/355811/000095012402003308/k72384exv10wxey.txt" TargetMode="External"/><Relationship Id="rId108" Type="http://schemas.openxmlformats.org/officeDocument/2006/relationships/hyperlink" Target="http://www.sec.gov/Archives/edgar/data/355811/000035581114000030/gntx06302014-exx103.htm" TargetMode="External"/><Relationship Id="rId109" Type="http://schemas.openxmlformats.org/officeDocument/2006/relationships/hyperlink" Target="http://www.sec.gov/Archives/edgar/data/355811/000035581114000030/gntx06302014-exx105.htm" TargetMode="External"/><Relationship Id="rId110" Type="http://schemas.openxmlformats.org/officeDocument/2006/relationships/hyperlink" Target="http://www.sec.gov/Archives/edgar/data/355811/000035581115000018/gentexproxystatement2015.htm" TargetMode="External"/><Relationship Id="rId113" Type="http://schemas.openxmlformats.org/officeDocument/2006/relationships/hyperlink" Target="http://www.sec.gov/Archives/edgar/data/355811/000035581118000009/gntx12312017-ex1019.htm" TargetMode="External"/><Relationship Id="rId114" Type="http://schemas.openxmlformats.org/officeDocument/2006/relationships/hyperlink" Target="http://www.sec.gov/Archives/edgar/data/355811/000035581123000011/gntx12312022-ex1014.htm" TargetMode="External"/><Relationship Id="rId115" Type="http://schemas.openxmlformats.org/officeDocument/2006/relationships/hyperlink" Target="http://www.sec.gov/Archives/edgar/data/355811/000035581119000006/gntx12312018ex1023.htm" TargetMode="External"/><Relationship Id="rId116" Type="http://schemas.openxmlformats.org/officeDocument/2006/relationships/hyperlink" Target="http://www.sec.gov/Archives/edgar/data/355811/000035581121000006/gntx12312020-ex1018.htm" TargetMode="External"/><Relationship Id="rId117" Type="http://schemas.openxmlformats.org/officeDocument/2006/relationships/hyperlink" Target="http://www.sec.gov/Archives/edgar/data/355811/000035581119000006/gntx12312018ex1024.htm" TargetMode="External"/><Relationship Id="rId118" Type="http://schemas.openxmlformats.org/officeDocument/2006/relationships/hyperlink" Target="http://www.sec.gov/Archives/edgar/data/355811/000035581119000006/gntx12312018ex1025.htm" TargetMode="External"/><Relationship Id="rId119" Type="http://schemas.openxmlformats.org/officeDocument/2006/relationships/hyperlink" Target="http://www.sec.gov/Archives/edgar/data/355811/000035581119000006/gntx12312018ex1026.htm" TargetMode="External"/><Relationship Id="rId120" Type="http://schemas.openxmlformats.org/officeDocument/2006/relationships/hyperlink" Target="http://www.sec.gov/Archives/edgar/data/355811/000035581119000020/gentexdeferredcomp.htm" TargetMode="External"/><Relationship Id="rId121" Type="http://schemas.openxmlformats.org/officeDocument/2006/relationships/hyperlink" Target="http://www.sec.gov/Archives/edgar/data/355811/000035581119000020/gentexrabbitrust1.htm" TargetMode="External"/><Relationship Id="rId122" Type="http://schemas.openxmlformats.org/officeDocument/2006/relationships/hyperlink" Target="http://www.sec.gov/Archives/edgar/data/355811/000035581119000041/gntx10q09302019-exx10x.htm" TargetMode="External"/><Relationship Id="rId123" Type="http://schemas.openxmlformats.org/officeDocument/2006/relationships/hyperlink" Target="http://www.sec.gov/Archives/edgar/data/355811/000035581122000006/gntx12312021-ex1025.htm" TargetMode="External"/><Relationship Id="rId124" Type="http://schemas.openxmlformats.org/officeDocument/2006/relationships/hyperlink" Target="http://www.sec.gov/Archives/edgar/data/355811/000035581122000011/gentexproxystatement2022.htm" TargetMode="External"/><Relationship Id="rId125" Type="http://schemas.openxmlformats.org/officeDocument/2006/relationships/hyperlink" Target="http://www.sec.gov/Archives/edgar/data/355811/000035581123000011/gntx12312022-ex1025.htm" TargetMode="External"/><Relationship Id="rId126" Type="http://schemas.openxmlformats.org/officeDocument/2006/relationships/hyperlink" Target="http://www.sec.gov/Archives/edgar/data/355811/000035581123000056/gntx10q09302023-ex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2024-02-22T15:12:49Z</dcterms:created>
  <dcterms:modified xsi:type="dcterms:W3CDTF">2024-02-22T15:12:49Z</dcterms:modified>
</cp:coreProperties>
</file>