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September 30, 2023 or</w:t>
      </w:r>
    </w:p>
    <w:p>
      <w:pPr>
        <w:spacing w:after="0" w:line="281"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32"/>
        </w:trPr>
        <w:tc>
          <w:tcPr>
            <w:tcW w:w="2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63"/>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82"/>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5"/>
                <w:szCs w:val="15"/>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1"/>
                <w:szCs w:val="21"/>
                <w:color w:val="auto"/>
              </w:rPr>
            </w:pP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5"/>
                <w:szCs w:val="15"/>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38"/>
        </w:trPr>
        <w:tc>
          <w:tcPr>
            <w:tcW w:w="2420" w:type="dxa"/>
            <w:vAlign w:val="bottom"/>
          </w:tcPr>
          <w:p>
            <w:pPr>
              <w:spacing w:after="0"/>
              <w:rPr>
                <w:sz w:val="11"/>
                <w:szCs w:val="11"/>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5"/>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1"/>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8" w:lineRule="exact"/>
        <w:rPr>
          <w:sz w:val="24"/>
          <w:szCs w:val="24"/>
          <w:color w:val="auto"/>
        </w:rPr>
      </w:pPr>
    </w:p>
    <w:p>
      <w:pPr>
        <w:ind w:right="120"/>
        <w:spacing w:after="0" w:line="26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o</w:t>
      </w:r>
    </w:p>
    <w:p>
      <w:pPr>
        <w:spacing w:after="0" w:line="170" w:lineRule="exact"/>
        <w:rPr>
          <w:sz w:val="24"/>
          <w:szCs w:val="24"/>
          <w:color w:val="auto"/>
        </w:rPr>
      </w:pPr>
    </w:p>
    <w:p>
      <w:pPr>
        <w:ind w:right="540"/>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18" w:lineRule="exact"/>
        <w:rPr>
          <w:sz w:val="24"/>
          <w:szCs w:val="24"/>
          <w:color w:val="auto"/>
        </w:rPr>
      </w:pPr>
    </w:p>
    <w:p>
      <w:pPr>
        <w:ind w:right="26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4"/>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9" w:lineRule="exact"/>
        <w:rPr>
          <w:sz w:val="24"/>
          <w:szCs w:val="24"/>
          <w:color w:val="auto"/>
        </w:rPr>
      </w:pPr>
    </w:p>
    <w:p>
      <w:pPr>
        <w:spacing w:after="0" w:line="161" w:lineRule="exact"/>
        <w:tabs>
          <w:tab w:leader="none" w:pos="828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191"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18"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October 27, 2023</w:t>
            </w:r>
          </w:p>
        </w:tc>
      </w:tr>
      <w:tr>
        <w:trPr>
          <w:trHeight w:val="185"/>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233,252,591</w:t>
            </w:r>
          </w:p>
        </w:tc>
      </w:tr>
    </w:tbl>
    <w:p>
      <w:pPr>
        <w:spacing w:after="0" w:line="200" w:lineRule="exact"/>
        <w:rPr>
          <w:sz w:val="24"/>
          <w:szCs w:val="24"/>
          <w:color w:val="auto"/>
        </w:rPr>
      </w:pPr>
    </w:p>
    <w:p>
      <w:pPr>
        <w:sectPr>
          <w:pgSz w:w="11900" w:h="16838" w:orient="portrait"/>
          <w:cols w:equalWidth="0" w:num="1">
            <w:col w:w="11260"/>
          </w:cols>
          <w:pgMar w:left="320" w:top="603"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3"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Nine Months Ended September 30, 2023</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480" w:type="dxa"/>
            <w:vAlign w:val="bottom"/>
            <w:gridSpan w:val="15"/>
          </w:tcPr>
          <w:p>
            <w:pPr>
              <w:spacing w:after="0"/>
              <w:rPr>
                <w:sz w:val="20"/>
                <w:szCs w:val="20"/>
                <w:color w:val="auto"/>
              </w:rPr>
            </w:pPr>
            <w:r>
              <w:rPr>
                <w:rFonts w:ascii="Arial" w:cs="Arial" w:eastAsia="Arial" w:hAnsi="Arial"/>
                <w:sz w:val="22"/>
                <w:szCs w:val="22"/>
                <w:b w:val="1"/>
                <w:bCs w:val="1"/>
                <w:color w:val="auto"/>
              </w:rPr>
              <w:t>Part I - Financial Information</w:t>
            </w:r>
          </w:p>
        </w:tc>
        <w:tc>
          <w:tcPr>
            <w:tcW w:w="1040" w:type="dxa"/>
            <w:vAlign w:val="bottom"/>
            <w:gridSpan w:val="3"/>
          </w:tcPr>
          <w:p>
            <w:pPr>
              <w:ind w:left="520"/>
              <w:spacing w:after="0"/>
              <w:rPr>
                <w:sz w:val="20"/>
                <w:szCs w:val="20"/>
                <w:color w:val="auto"/>
              </w:rPr>
            </w:pPr>
            <w:r>
              <w:rPr>
                <w:rFonts w:ascii="Arial" w:cs="Arial" w:eastAsia="Arial" w:hAnsi="Arial"/>
                <w:sz w:val="22"/>
                <w:szCs w:val="22"/>
                <w:b w:val="1"/>
                <w:bCs w:val="1"/>
                <w:color w:val="auto"/>
                <w:w w:val="94"/>
              </w:rPr>
              <w:t>Page</w:t>
            </w:r>
          </w:p>
        </w:tc>
      </w:tr>
      <w:tr>
        <w:trPr>
          <w:trHeight w:val="188"/>
        </w:trPr>
        <w:tc>
          <w:tcPr>
            <w:tcW w:w="100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4620" w:type="dxa"/>
            <w:vAlign w:val="bottom"/>
            <w:gridSpan w:val="6"/>
          </w:tcPr>
          <w:p>
            <w:pPr>
              <w:spacing w:after="0" w:line="189" w:lineRule="exact"/>
              <w:rPr>
                <w:sz w:val="20"/>
                <w:szCs w:val="20"/>
                <w:color w:val="auto"/>
              </w:rPr>
            </w:pPr>
            <w:r>
              <w:rPr>
                <w:rFonts w:ascii="Arial" w:cs="Arial" w:eastAsia="Arial" w:hAnsi="Arial"/>
                <w:sz w:val="18"/>
                <w:szCs w:val="18"/>
                <w:color w:val="0000FF"/>
                <w:w w:val="99"/>
              </w:rPr>
              <w:t>Unaudited Condensed Consolidated Financial Statements</w:t>
            </w:r>
          </w:p>
        </w:tc>
        <w:tc>
          <w:tcPr>
            <w:tcW w:w="3860" w:type="dxa"/>
            <w:vAlign w:val="bottom"/>
            <w:gridSpan w:val="8"/>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jc w:val="center"/>
              <w:spacing w:after="0" w:line="189"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20" w:type="dxa"/>
            <w:vAlign w:val="bottom"/>
          </w:tcPr>
          <w:p>
            <w:pPr>
              <w:spacing w:after="0"/>
              <w:rPr>
                <w:sz w:val="18"/>
                <w:szCs w:val="18"/>
                <w:color w:val="auto"/>
              </w:rPr>
            </w:pPr>
          </w:p>
        </w:tc>
        <w:tc>
          <w:tcPr>
            <w:tcW w:w="3860" w:type="dxa"/>
            <w:vAlign w:val="bottom"/>
            <w:gridSpan w:val="8"/>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480" w:type="dxa"/>
            <w:vAlign w:val="bottom"/>
            <w:gridSpan w:val="14"/>
          </w:tcPr>
          <w:p>
            <w:pPr>
              <w:spacing w:after="0"/>
              <w:rPr>
                <w:sz w:val="20"/>
                <w:szCs w:val="20"/>
                <w:color w:val="auto"/>
              </w:rPr>
            </w:pPr>
            <w:r>
              <w:rPr>
                <w:rFonts w:ascii="Arial" w:cs="Arial" w:eastAsia="Arial" w:hAnsi="Arial"/>
                <w:sz w:val="18"/>
                <w:szCs w:val="18"/>
                <w:color w:val="0000FF"/>
              </w:rPr>
              <w:t>Unaudited Condensed Consolidated Statements of Income</w:t>
            </w:r>
          </w:p>
        </w:tc>
        <w:tc>
          <w:tcPr>
            <w:tcW w:w="820" w:type="dxa"/>
            <w:vAlign w:val="bottom"/>
            <w:gridSpan w:val="2"/>
          </w:tcPr>
          <w:p>
            <w:pPr>
              <w:jc w:val="center"/>
              <w:ind w:left="628"/>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0"/>
          </w:tcPr>
          <w:p>
            <w:pPr>
              <w:spacing w:after="0"/>
              <w:rPr>
                <w:sz w:val="20"/>
                <w:szCs w:val="20"/>
                <w:color w:val="auto"/>
              </w:rPr>
            </w:pPr>
            <w:r>
              <w:rPr>
                <w:rFonts w:ascii="Arial" w:cs="Arial" w:eastAsia="Arial" w:hAnsi="Arial"/>
                <w:sz w:val="18"/>
                <w:szCs w:val="18"/>
                <w:color w:val="0000FF"/>
                <w:w w:val="99"/>
              </w:rPr>
              <w:t>Unaudited Condensed Consolidated Statements of Comprehensive Income</w:t>
            </w:r>
          </w:p>
        </w:tc>
        <w:tc>
          <w:tcPr>
            <w:tcW w:w="248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480" w:type="dxa"/>
            <w:vAlign w:val="bottom"/>
            <w:gridSpan w:val="14"/>
          </w:tcPr>
          <w:p>
            <w:pPr>
              <w:spacing w:after="0"/>
              <w:rPr>
                <w:sz w:val="20"/>
                <w:szCs w:val="20"/>
                <w:color w:val="auto"/>
              </w:rPr>
            </w:pPr>
            <w:r>
              <w:rPr>
                <w:rFonts w:ascii="Arial" w:cs="Arial" w:eastAsia="Arial" w:hAnsi="Arial"/>
                <w:sz w:val="18"/>
                <w:szCs w:val="18"/>
                <w:color w:val="0000FF"/>
              </w:rPr>
              <w:t>Unaudited Condensed Consolidated Statements of Shareholders' Investment</w:t>
            </w:r>
          </w:p>
        </w:tc>
        <w:tc>
          <w:tcPr>
            <w:tcW w:w="820" w:type="dxa"/>
            <w:vAlign w:val="bottom"/>
            <w:gridSpan w:val="2"/>
          </w:tcPr>
          <w:p>
            <w:pPr>
              <w:jc w:val="center"/>
              <w:ind w:left="628"/>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8"/>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080" w:type="dxa"/>
            <w:vAlign w:val="bottom"/>
            <w:gridSpan w:val="3"/>
          </w:tcPr>
          <w:p>
            <w:pPr>
              <w:spacing w:after="0"/>
              <w:rPr>
                <w:sz w:val="18"/>
                <w:szCs w:val="18"/>
                <w:color w:val="auto"/>
              </w:rPr>
            </w:pPr>
          </w:p>
        </w:tc>
        <w:tc>
          <w:tcPr>
            <w:tcW w:w="2360" w:type="dxa"/>
            <w:vAlign w:val="bottom"/>
            <w:gridSpan w:val="3"/>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9"/>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3140" w:type="dxa"/>
            <w:vAlign w:val="bottom"/>
            <w:gridSpan w:val="5"/>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480" w:type="dxa"/>
            <w:vAlign w:val="bottom"/>
            <w:gridSpan w:val="1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40" w:type="dxa"/>
            <w:vAlign w:val="bottom"/>
            <w:gridSpan w:val="3"/>
          </w:tcPr>
          <w:p>
            <w:pPr>
              <w:jc w:val="center"/>
              <w:ind w:left="428"/>
              <w:spacing w:after="0"/>
              <w:rPr>
                <w:sz w:val="20"/>
                <w:szCs w:val="20"/>
                <w:color w:val="auto"/>
              </w:rPr>
            </w:pPr>
            <w:r>
              <w:rPr>
                <w:rFonts w:ascii="Arial" w:cs="Arial" w:eastAsia="Arial" w:hAnsi="Arial"/>
                <w:sz w:val="18"/>
                <w:szCs w:val="18"/>
                <w:color w:val="0000FF"/>
                <w:w w:val="99"/>
              </w:rPr>
              <w:t>23</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420" w:type="dxa"/>
            <w:vAlign w:val="bottom"/>
            <w:gridSpan w:val="2"/>
          </w:tcPr>
          <w:p>
            <w:pPr>
              <w:spacing w:after="0"/>
              <w:rPr>
                <w:sz w:val="18"/>
                <w:szCs w:val="18"/>
                <w:color w:val="auto"/>
              </w:rPr>
            </w:pPr>
          </w:p>
        </w:tc>
        <w:tc>
          <w:tcPr>
            <w:tcW w:w="1040" w:type="dxa"/>
            <w:vAlign w:val="bottom"/>
            <w:gridSpan w:val="3"/>
          </w:tcPr>
          <w:p>
            <w:pPr>
              <w:jc w:val="center"/>
              <w:ind w:left="42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680" w:type="dxa"/>
            <w:vAlign w:val="bottom"/>
            <w:gridSpan w:val="7"/>
          </w:tcPr>
          <w:p>
            <w:pPr>
              <w:spacing w:after="0"/>
              <w:rPr>
                <w:sz w:val="20"/>
                <w:szCs w:val="20"/>
                <w:color w:val="auto"/>
              </w:rPr>
            </w:pPr>
            <w:r>
              <w:rPr>
                <w:rFonts w:ascii="Arial" w:cs="Arial" w:eastAsia="Arial" w:hAnsi="Arial"/>
                <w:sz w:val="18"/>
                <w:szCs w:val="18"/>
                <w:color w:val="0000FF"/>
              </w:rPr>
              <w:t>Controls and Procedures</w:t>
            </w:r>
          </w:p>
        </w:tc>
        <w:tc>
          <w:tcPr>
            <w:tcW w:w="3800" w:type="dxa"/>
            <w:vAlign w:val="bottom"/>
            <w:gridSpan w:val="7"/>
          </w:tcPr>
          <w:p>
            <w:pPr>
              <w:spacing w:after="0"/>
              <w:rPr>
                <w:sz w:val="18"/>
                <w:szCs w:val="18"/>
                <w:color w:val="auto"/>
              </w:rPr>
            </w:pPr>
          </w:p>
        </w:tc>
        <w:tc>
          <w:tcPr>
            <w:tcW w:w="1040" w:type="dxa"/>
            <w:vAlign w:val="bottom"/>
            <w:gridSpan w:val="3"/>
          </w:tcPr>
          <w:p>
            <w:pPr>
              <w:jc w:val="center"/>
              <w:ind w:left="42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61"/>
        </w:trPr>
        <w:tc>
          <w:tcPr>
            <w:tcW w:w="9480" w:type="dxa"/>
            <w:vAlign w:val="bottom"/>
            <w:gridSpan w:val="15"/>
          </w:tcPr>
          <w:p>
            <w:pPr>
              <w:spacing w:after="0"/>
              <w:rPr>
                <w:sz w:val="20"/>
                <w:szCs w:val="20"/>
                <w:color w:val="auto"/>
              </w:rPr>
            </w:pPr>
            <w:r>
              <w:rPr>
                <w:rFonts w:ascii="Arial" w:cs="Arial" w:eastAsia="Arial" w:hAnsi="Arial"/>
                <w:sz w:val="22"/>
                <w:szCs w:val="22"/>
                <w:b w:val="1"/>
                <w:bCs w:val="1"/>
                <w:color w:val="auto"/>
              </w:rPr>
              <w:t>Part II - Other Information</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8"/>
        </w:trPr>
        <w:tc>
          <w:tcPr>
            <w:tcW w:w="1000" w:type="dxa"/>
            <w:vAlign w:val="bottom"/>
          </w:tcPr>
          <w:p>
            <w:pPr>
              <w:spacing w:after="0" w:line="189"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89" w:lineRule="exact"/>
              <w:rPr>
                <w:sz w:val="20"/>
                <w:szCs w:val="20"/>
                <w:color w:val="auto"/>
              </w:rPr>
            </w:pPr>
            <w:r>
              <w:rPr>
                <w:rFonts w:ascii="Arial" w:cs="Arial" w:eastAsia="Arial" w:hAnsi="Arial"/>
                <w:sz w:val="18"/>
                <w:szCs w:val="18"/>
                <w:color w:val="0000FF"/>
                <w:w w:val="95"/>
              </w:rPr>
              <w:t>Risk Factors</w:t>
            </w:r>
          </w:p>
        </w:tc>
        <w:tc>
          <w:tcPr>
            <w:tcW w:w="7480" w:type="dxa"/>
            <w:vAlign w:val="bottom"/>
            <w:gridSpan w:val="11"/>
          </w:tcPr>
          <w:p>
            <w:pPr>
              <w:spacing w:after="0"/>
              <w:rPr>
                <w:sz w:val="16"/>
                <w:szCs w:val="16"/>
                <w:color w:val="auto"/>
              </w:rPr>
            </w:pPr>
          </w:p>
        </w:tc>
        <w:tc>
          <w:tcPr>
            <w:tcW w:w="1040" w:type="dxa"/>
            <w:vAlign w:val="bottom"/>
            <w:gridSpan w:val="3"/>
          </w:tcPr>
          <w:p>
            <w:pPr>
              <w:jc w:val="center"/>
              <w:ind w:left="428"/>
              <w:spacing w:after="0" w:line="189" w:lineRule="exact"/>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7980" w:type="dxa"/>
            <w:vAlign w:val="bottom"/>
            <w:gridSpan w:val="13"/>
          </w:tcPr>
          <w:p>
            <w:pPr>
              <w:spacing w:after="0"/>
              <w:rPr>
                <w:sz w:val="20"/>
                <w:szCs w:val="20"/>
                <w:color w:val="auto"/>
              </w:rPr>
            </w:pPr>
            <w:r>
              <w:rPr>
                <w:rFonts w:ascii="Arial" w:cs="Arial" w:eastAsia="Arial" w:hAnsi="Arial"/>
                <w:sz w:val="18"/>
                <w:szCs w:val="18"/>
                <w:color w:val="0000FF"/>
                <w:w w:val="99"/>
              </w:rPr>
              <w:t>Unregistered Sales of Equity Securities, Use of Proceeds, and Issuer Purchases of Equity Securities</w:t>
            </w:r>
          </w:p>
        </w:tc>
        <w:tc>
          <w:tcPr>
            <w:tcW w:w="500" w:type="dxa"/>
            <w:vAlign w:val="bottom"/>
          </w:tcPr>
          <w:p>
            <w:pPr>
              <w:spacing w:after="0"/>
              <w:rPr>
                <w:sz w:val="18"/>
                <w:szCs w:val="18"/>
                <w:color w:val="auto"/>
              </w:rPr>
            </w:pPr>
          </w:p>
        </w:tc>
        <w:tc>
          <w:tcPr>
            <w:tcW w:w="1040" w:type="dxa"/>
            <w:vAlign w:val="bottom"/>
            <w:gridSpan w:val="3"/>
          </w:tcPr>
          <w:p>
            <w:pPr>
              <w:jc w:val="center"/>
              <w:ind w:left="428"/>
              <w:spacing w:after="0"/>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980" w:type="dxa"/>
            <w:vAlign w:val="bottom"/>
            <w:tcBorders>
              <w:left w:val="single" w:sz="8" w:color="0000FF"/>
            </w:tcBorders>
            <w:gridSpan w:val="10"/>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7980" w:type="dxa"/>
            <w:vAlign w:val="bottom"/>
            <w:gridSpan w:val="13"/>
          </w:tcPr>
          <w:p>
            <w:pPr>
              <w:spacing w:after="0"/>
              <w:rPr>
                <w:sz w:val="20"/>
                <w:szCs w:val="20"/>
                <w:color w:val="auto"/>
              </w:rPr>
            </w:pPr>
            <w:r>
              <w:rPr>
                <w:rFonts w:ascii="Arial" w:cs="Arial" w:eastAsia="Arial" w:hAnsi="Arial"/>
                <w:sz w:val="18"/>
                <w:szCs w:val="18"/>
                <w:color w:val="0000FF"/>
              </w:rPr>
              <w:t>Exhibits</w:t>
            </w:r>
          </w:p>
        </w:tc>
        <w:tc>
          <w:tcPr>
            <w:tcW w:w="500" w:type="dxa"/>
            <w:vAlign w:val="bottom"/>
          </w:tcPr>
          <w:p>
            <w:pPr>
              <w:spacing w:after="0"/>
              <w:rPr>
                <w:sz w:val="18"/>
                <w:szCs w:val="18"/>
                <w:color w:val="auto"/>
              </w:rPr>
            </w:pPr>
          </w:p>
        </w:tc>
        <w:tc>
          <w:tcPr>
            <w:tcW w:w="1040" w:type="dxa"/>
            <w:vAlign w:val="bottom"/>
            <w:gridSpan w:val="3"/>
          </w:tcPr>
          <w:p>
            <w:pPr>
              <w:jc w:val="center"/>
              <w:ind w:left="428"/>
              <w:spacing w:after="0"/>
              <w:rPr>
                <w:sz w:val="20"/>
                <w:szCs w:val="20"/>
                <w:color w:val="auto"/>
              </w:rPr>
            </w:pPr>
            <w:r>
              <w:rPr>
                <w:rFonts w:ascii="Arial" w:cs="Arial" w:eastAsia="Arial" w:hAnsi="Arial"/>
                <w:sz w:val="18"/>
                <w:szCs w:val="18"/>
                <w:color w:val="0000FF"/>
                <w:w w:val="99"/>
              </w:rPr>
              <w:t>37</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302FF"/>
                <w:w w:val="97"/>
              </w:rPr>
              <w:t>Signatures</w:t>
            </w:r>
          </w:p>
        </w:tc>
        <w:tc>
          <w:tcPr>
            <w:tcW w:w="7620" w:type="dxa"/>
            <w:vAlign w:val="bottom"/>
            <w:gridSpan w:val="12"/>
          </w:tcPr>
          <w:p>
            <w:pPr>
              <w:spacing w:after="0"/>
              <w:rPr>
                <w:sz w:val="18"/>
                <w:szCs w:val="18"/>
                <w:color w:val="auto"/>
              </w:rPr>
            </w:pPr>
          </w:p>
        </w:tc>
        <w:tc>
          <w:tcPr>
            <w:tcW w:w="1040" w:type="dxa"/>
            <w:vAlign w:val="bottom"/>
            <w:gridSpan w:val="3"/>
          </w:tcPr>
          <w:p>
            <w:pPr>
              <w:jc w:val="center"/>
              <w:ind w:left="428"/>
              <w:spacing w:after="0"/>
              <w:rPr>
                <w:sz w:val="20"/>
                <w:szCs w:val="20"/>
                <w:color w:val="auto"/>
              </w:rPr>
            </w:pPr>
            <w:r>
              <w:rPr>
                <w:rFonts w:ascii="Arial" w:cs="Arial" w:eastAsia="Arial" w:hAnsi="Arial"/>
                <w:sz w:val="18"/>
                <w:szCs w:val="18"/>
                <w:color w:val="0000FF"/>
                <w:w w:val="99"/>
              </w:rPr>
              <w:t>37</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480" w:type="dxa"/>
            <w:vAlign w:val="bottom"/>
            <w:gridSpan w:val="14"/>
          </w:tcPr>
          <w:p>
            <w:pPr>
              <w:spacing w:after="0"/>
              <w:rPr>
                <w:sz w:val="20"/>
                <w:szCs w:val="20"/>
                <w:color w:val="auto"/>
              </w:rPr>
            </w:pPr>
            <w:r>
              <w:rPr>
                <w:rFonts w:ascii="Arial" w:cs="Arial" w:eastAsia="Arial" w:hAnsi="Arial"/>
                <w:sz w:val="18"/>
                <w:szCs w:val="18"/>
                <w:color w:val="0000FF"/>
              </w:rPr>
              <w:t>Exhibit Index</w:t>
            </w:r>
          </w:p>
        </w:tc>
        <w:tc>
          <w:tcPr>
            <w:tcW w:w="1040" w:type="dxa"/>
            <w:vAlign w:val="bottom"/>
            <w:gridSpan w:val="3"/>
          </w:tcPr>
          <w:p>
            <w:pPr>
              <w:jc w:val="center"/>
              <w:ind w:left="428"/>
              <w:spacing w:after="0"/>
              <w:rPr>
                <w:sz w:val="20"/>
                <w:szCs w:val="20"/>
                <w:color w:val="auto"/>
              </w:rPr>
            </w:pPr>
            <w:r>
              <w:rPr>
                <w:rFonts w:ascii="Arial" w:cs="Arial" w:eastAsia="Arial" w:hAnsi="Arial"/>
                <w:sz w:val="18"/>
                <w:szCs w:val="18"/>
                <w:color w:val="0000FF"/>
                <w:w w:val="99"/>
              </w:rPr>
              <w:t>38</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27"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As of September 30, 2023 and December 31, 2022</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December 31, 2022</w:t>
            </w:r>
          </w:p>
        </w:tc>
      </w:tr>
      <w:tr>
        <w:trPr>
          <w:trHeight w:val="189"/>
        </w:trPr>
        <w:tc>
          <w:tcPr>
            <w:tcW w:w="6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(Note)</w:t>
            </w:r>
          </w:p>
        </w:tc>
      </w:tr>
      <w:tr>
        <w:trPr>
          <w:trHeight w:val="209"/>
        </w:trPr>
        <w:tc>
          <w:tcPr>
            <w:tcW w:w="6800" w:type="dxa"/>
            <w:vAlign w:val="bottom"/>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260,633,625</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214,754,638</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4,000,000</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17,464,830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23,007,385</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351,142,147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276,493,752</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395,452,780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404,360,270</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30,758,445</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26,036,331</w:t>
            </w:r>
          </w:p>
        </w:tc>
      </w:tr>
      <w:tr>
        <w:trPr>
          <w:trHeight w:val="223"/>
        </w:trPr>
        <w:tc>
          <w:tcPr>
            <w:tcW w:w="680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1,055,451,827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948,652,376</w:t>
            </w:r>
          </w:p>
        </w:tc>
      </w:tr>
      <w:tr>
        <w:trPr>
          <w:trHeight w:val="230"/>
        </w:trPr>
        <w:tc>
          <w:tcPr>
            <w:tcW w:w="6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PLANT AND EQUIPMENT—NET</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606,180,738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550,033,036</w:t>
            </w:r>
          </w:p>
        </w:tc>
      </w:tr>
      <w:tr>
        <w:trPr>
          <w:trHeight w:val="229"/>
        </w:trPr>
        <w:tc>
          <w:tcPr>
            <w:tcW w:w="6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313,157,393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313,807,494</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272,615,535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202,331,983</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204,885,910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219,360,910</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36,513,490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25,528,700</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Patents and other assets, net</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69,513,945</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67,515,425</w:t>
            </w:r>
          </w:p>
        </w:tc>
      </w:tr>
      <w:tr>
        <w:trPr>
          <w:trHeight w:val="223"/>
        </w:trPr>
        <w:tc>
          <w:tcPr>
            <w:tcW w:w="68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896,686,273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828,544,512</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2,558,318,838</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2,327,229,924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SHAREHOLDERS’ INVESTMENT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171,359,850</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151,740,046</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103,045,653</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98,812,706</w:t>
            </w:r>
          </w:p>
        </w:tc>
      </w:tr>
      <w:tr>
        <w:trPr>
          <w:trHeight w:val="223"/>
        </w:trPr>
        <w:tc>
          <w:tcPr>
            <w:tcW w:w="680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274,405,503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250,552,752</w:t>
            </w:r>
          </w:p>
        </w:tc>
      </w:tr>
      <w:tr>
        <w:trPr>
          <w:trHeight w:val="270"/>
        </w:trPr>
        <w:tc>
          <w:tcPr>
            <w:tcW w:w="68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15,459,528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10,884,351</w:t>
            </w:r>
          </w:p>
        </w:tc>
      </w:tr>
      <w:tr>
        <w:trPr>
          <w:trHeight w:val="209"/>
        </w:trPr>
        <w:tc>
          <w:tcPr>
            <w:tcW w:w="6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289,865,031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261,437,103</w:t>
            </w:r>
          </w:p>
        </w:tc>
      </w:tr>
      <w:tr>
        <w:trPr>
          <w:trHeight w:val="230"/>
        </w:trPr>
        <w:tc>
          <w:tcPr>
            <w:tcW w:w="6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SHAREHOLDERS’ INVESTMENT</w:t>
            </w: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13,995,548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14,050,160</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961,199,149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917,499,323</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1,306,931,850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1,148,386,272</w:t>
            </w:r>
          </w:p>
        </w:tc>
      </w:tr>
      <w:tr>
        <w:trPr>
          <w:trHeight w:val="229"/>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(13,672,740)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(14,142,934)</w:t>
            </w: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shareholders’ investment</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2,268,453,807</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2,065,792,821</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2,558,318,838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2,327,229,924</w:t>
            </w: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80"/>
        <w:spacing w:after="0" w:line="276" w:lineRule="auto"/>
        <w:rPr>
          <w:sz w:val="20"/>
          <w:szCs w:val="20"/>
          <w:color w:val="auto"/>
        </w:rPr>
      </w:pPr>
      <w:r>
        <w:rPr>
          <w:rFonts w:ascii="Arial" w:cs="Arial" w:eastAsia="Arial" w:hAnsi="Arial"/>
          <w:sz w:val="13"/>
          <w:szCs w:val="13"/>
          <w:color w:val="auto"/>
        </w:rPr>
        <w:t>Note: The condensed consolidated balance sheet at December 31, 2022 has been derived from the audited consolidated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 w:name="page4"/>
    <w:bookmarkEnd w:id="3"/>
    <w:p>
      <w:pPr>
        <w:jc w:val="center"/>
        <w:spacing w:after="0" w:line="463"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Nine Months Ended September 30, 2023 and 2022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31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44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575,848,490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493,636,695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1,710,082,647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1,425,310,472</w:t>
            </w:r>
          </w:p>
        </w:tc>
      </w:tr>
      <w:tr>
        <w:trPr>
          <w:trHeight w:val="230"/>
        </w:trPr>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384,407,857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346,435,670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1,150,821,744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969,330,474</w:t>
            </w:r>
          </w:p>
        </w:tc>
      </w:tr>
      <w:tr>
        <w:trPr>
          <w:trHeight w:val="223"/>
        </w:trPr>
        <w:tc>
          <w:tcPr>
            <w:tcW w:w="440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191,440,633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147,201,025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559,260,903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455,979,998</w:t>
            </w:r>
          </w:p>
        </w:tc>
      </w:tr>
      <w:tr>
        <w:trPr>
          <w:trHeight w:val="229"/>
        </w:trPr>
        <w:tc>
          <w:tcPr>
            <w:tcW w:w="4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40,197,517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33,541,331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112,825,054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98,373,737</w:t>
            </w:r>
          </w:p>
        </w:tc>
      </w:tr>
      <w:tr>
        <w:trPr>
          <w:trHeight w:val="229"/>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28,826,587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26,868,154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83,479,285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81,717,848</w:t>
            </w:r>
          </w:p>
        </w:tc>
      </w:tr>
      <w:tr>
        <w:trPr>
          <w:trHeight w:val="223"/>
        </w:trPr>
        <w:tc>
          <w:tcPr>
            <w:tcW w:w="4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69,024,104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60,409,485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196,304,339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180,091,585</w:t>
            </w:r>
          </w:p>
        </w:tc>
      </w:tr>
      <w:tr>
        <w:trPr>
          <w:trHeight w:val="209"/>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122,416,529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86,791,540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362,956,564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275,888,413</w:t>
            </w:r>
          </w:p>
        </w:tc>
      </w:tr>
      <w:tr>
        <w:trPr>
          <w:trHeight w:val="229"/>
        </w:trPr>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3,851,967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1,496,852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9,682,096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3,205,452</w:t>
            </w: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loss, net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(1,788,335)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(2,126,039)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(3,559,613)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(4,828,119)</w:t>
            </w:r>
          </w:p>
        </w:tc>
      </w:tr>
      <w:tr>
        <w:trPr>
          <w:trHeight w:val="223"/>
        </w:trPr>
        <w:tc>
          <w:tcPr>
            <w:tcW w:w="44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(loss)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2,063,632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6,122,483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(1,622,667)</w:t>
            </w:r>
          </w:p>
        </w:tc>
      </w:tr>
      <w:tr>
        <w:trPr>
          <w:trHeight w:val="209"/>
        </w:trPr>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0"/>
        </w:trPr>
        <w:tc>
          <w:tcPr>
            <w:tcW w:w="4400" w:type="dxa"/>
            <w:vAlign w:val="bottom"/>
          </w:tcPr>
          <w:p>
            <w:pPr>
              <w:ind w:left="20"/>
              <w:spacing w:after="0" w:line="189" w:lineRule="exact"/>
              <w:rPr>
                <w:sz w:val="20"/>
                <w:szCs w:val="20"/>
                <w:color w:val="auto"/>
              </w:rPr>
            </w:pPr>
            <w:r>
              <w:rPr>
                <w:rFonts w:ascii="Arial" w:cs="Arial" w:eastAsia="Arial" w:hAnsi="Arial"/>
                <w:sz w:val="18"/>
                <w:szCs w:val="18"/>
                <w:color w:val="auto"/>
              </w:rPr>
              <w:t>INCOME BEFORE PROVISION FOR INCOME</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124,480,161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86,162,353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369,079,047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274,265,746</w:t>
            </w:r>
          </w:p>
        </w:tc>
      </w:tr>
      <w:tr>
        <w:trPr>
          <w:trHeight w:val="230"/>
        </w:trPr>
        <w:tc>
          <w:tcPr>
            <w:tcW w:w="4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19,754,749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13,506,358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57,619,971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41,676,723</w:t>
            </w:r>
          </w:p>
        </w:tc>
      </w:tr>
      <w:tr>
        <w:trPr>
          <w:trHeight w:val="230"/>
        </w:trPr>
        <w:tc>
          <w:tcPr>
            <w:tcW w:w="4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104,725,412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72,655,995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311,459,076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232,589,023</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4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4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29"/>
        </w:trPr>
        <w:tc>
          <w:tcPr>
            <w:tcW w:w="4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0.360</w:t>
            </w:r>
          </w:p>
        </w:tc>
      </w:tr>
    </w:tbl>
    <w:p>
      <w:pPr>
        <w:spacing w:after="0" w:line="278" w:lineRule="exact"/>
        <w:rPr>
          <w:sz w:val="20"/>
          <w:szCs w:val="20"/>
          <w:color w:val="auto"/>
        </w:rPr>
      </w:pPr>
    </w:p>
    <w:p>
      <w:pPr>
        <w:ind w:left="180" w:hanging="154"/>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ind w:right="100"/>
        <w:spacing w:after="0" w:line="45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Nine Months Ended September 30, 2023 and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4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2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104,725,412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72,655,995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311,459,076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232,589,023</w:t>
            </w:r>
          </w:p>
        </w:tc>
      </w:tr>
      <w:tr>
        <w:trPr>
          <w:trHeight w:val="270"/>
        </w:trPr>
        <w:tc>
          <w:tcPr>
            <w:tcW w:w="4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(717,457)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17,751,603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(2,295,001)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13,723,857</w:t>
            </w: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(losses) on debt securities, net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(4,442,743)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3,500,247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(15,652,081)</w:t>
            </w:r>
          </w:p>
        </w:tc>
      </w:tr>
      <w:tr>
        <w:trPr>
          <w:trHeight w:val="250"/>
        </w:trPr>
        <w:tc>
          <w:tcPr>
            <w:tcW w:w="4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13,308,860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1,205,246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(1,928,224)</w:t>
            </w:r>
          </w:p>
        </w:tc>
      </w:tr>
      <w:tr>
        <w:trPr>
          <w:trHeight w:val="270"/>
        </w:trPr>
        <w:tc>
          <w:tcPr>
            <w:tcW w:w="4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176"/>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tax impact related to components of other</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(932,976)</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735,052</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(3,286,937)</w:t>
            </w:r>
          </w:p>
        </w:tc>
      </w:tr>
      <w:tr>
        <w:trPr>
          <w:trHeight w:val="250"/>
        </w:trPr>
        <w:tc>
          <w:tcPr>
            <w:tcW w:w="4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14,241,836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470,194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1,358,713</w:t>
            </w:r>
          </w:p>
        </w:tc>
      </w:tr>
      <w:tr>
        <w:trPr>
          <w:trHeight w:val="250"/>
        </w:trPr>
        <w:tc>
          <w:tcPr>
            <w:tcW w:w="4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104,295,440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86,897,831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311,929,270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233,947,736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69850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251" w:right="339" w:bottom="1440" w:gutter="0" w:footer="0" w:header="0"/>
        </w:sectPr>
      </w:pPr>
    </w:p>
    <w:bookmarkStart w:id="5" w:name="page6"/>
    <w:bookmarkEnd w:id="5"/>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September 30, 2023 and 2022</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2023</w:t>
      </w:r>
    </w:p>
    <w:p>
      <w:pPr>
        <w:spacing w:after="0" w:line="32"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Issuance of common stock from stock plan transactions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2023</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20" w:type="dxa"/>
            <w:vAlign w:val="bottom"/>
            <w:vMerge w:val="restart"/>
          </w:tcPr>
          <w:p>
            <w:pPr>
              <w:jc w:val="center"/>
              <w:ind w:right="44"/>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1060" w:type="dxa"/>
            <w:vAlign w:val="bottom"/>
            <w:vMerge w:val="restart"/>
          </w:tcPr>
          <w:p>
            <w:pPr>
              <w:jc w:val="center"/>
              <w:ind w:right="204"/>
              <w:spacing w:after="0"/>
              <w:rPr>
                <w:sz w:val="20"/>
                <w:szCs w:val="20"/>
                <w:color w:val="auto"/>
              </w:rPr>
            </w:pPr>
            <w:r>
              <w:rPr>
                <w:rFonts w:ascii="Arial" w:cs="Arial" w:eastAsia="Arial" w:hAnsi="Arial"/>
                <w:sz w:val="16"/>
                <w:szCs w:val="16"/>
                <w:b w:val="1"/>
                <w:bCs w:val="1"/>
                <w:color w:val="auto"/>
              </w:rPr>
              <w:t>Common</w:t>
            </w:r>
          </w:p>
        </w:tc>
        <w:tc>
          <w:tcPr>
            <w:tcW w:w="200" w:type="dxa"/>
            <w:vAlign w:val="bottom"/>
          </w:tcPr>
          <w:p>
            <w:pPr>
              <w:spacing w:after="0"/>
              <w:rPr>
                <w:sz w:val="16"/>
                <w:szCs w:val="16"/>
                <w:color w:val="auto"/>
              </w:rPr>
            </w:pPr>
          </w:p>
        </w:tc>
        <w:tc>
          <w:tcPr>
            <w:tcW w:w="1100" w:type="dxa"/>
            <w:vAlign w:val="bottom"/>
            <w:vMerge w:val="restart"/>
          </w:tcPr>
          <w:p>
            <w:pPr>
              <w:jc w:val="right"/>
              <w:ind w:right="205"/>
              <w:spacing w:after="0"/>
              <w:rPr>
                <w:sz w:val="20"/>
                <w:szCs w:val="20"/>
                <w:color w:val="auto"/>
              </w:rPr>
            </w:pPr>
            <w:r>
              <w:rPr>
                <w:rFonts w:ascii="Arial" w:cs="Arial" w:eastAsia="Arial" w:hAnsi="Arial"/>
                <w:sz w:val="16"/>
                <w:szCs w:val="16"/>
                <w:b w:val="1"/>
                <w:bCs w:val="1"/>
                <w:color w:val="auto"/>
              </w:rPr>
              <w:t>Additional</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44"/>
              <w:spacing w:after="0"/>
              <w:rPr>
                <w:sz w:val="20"/>
                <w:szCs w:val="20"/>
                <w:color w:val="auto"/>
              </w:rPr>
            </w:pPr>
            <w:r>
              <w:rPr>
                <w:rFonts w:ascii="Arial" w:cs="Arial" w:eastAsia="Arial" w:hAnsi="Arial"/>
                <w:sz w:val="16"/>
                <w:szCs w:val="16"/>
                <w:b w:val="1"/>
                <w:bCs w:val="1"/>
                <w:color w:val="auto"/>
              </w:rPr>
              <w:t>Accumulated</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right"/>
              <w:ind w:right="245"/>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1320" w:type="dxa"/>
            <w:vAlign w:val="bottom"/>
          </w:tcPr>
          <w:p>
            <w:pPr>
              <w:jc w:val="center"/>
              <w:ind w:right="104"/>
              <w:spacing w:after="0" w:line="162" w:lineRule="exact"/>
              <w:rPr>
                <w:sz w:val="20"/>
                <w:szCs w:val="20"/>
                <w:color w:val="auto"/>
              </w:rPr>
            </w:pPr>
            <w:r>
              <w:rPr>
                <w:rFonts w:ascii="Arial" w:cs="Arial" w:eastAsia="Arial" w:hAnsi="Arial"/>
                <w:sz w:val="16"/>
                <w:szCs w:val="16"/>
                <w:b w:val="1"/>
                <w:bCs w:val="1"/>
                <w:color w:val="auto"/>
                <w:w w:val="98"/>
              </w:rPr>
              <w:t>Other</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4"/>
                <w:szCs w:val="14"/>
                <w:color w:val="auto"/>
              </w:rPr>
            </w:pPr>
          </w:p>
        </w:tc>
        <w:tc>
          <w:tcPr>
            <w:tcW w:w="1060" w:type="dxa"/>
            <w:vAlign w:val="bottom"/>
          </w:tcPr>
          <w:p>
            <w:pPr>
              <w:jc w:val="center"/>
              <w:ind w:right="144"/>
              <w:spacing w:after="0" w:line="162" w:lineRule="exact"/>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4"/>
                <w:szCs w:val="14"/>
                <w:color w:val="auto"/>
              </w:rPr>
            </w:pPr>
          </w:p>
        </w:tc>
        <w:tc>
          <w:tcPr>
            <w:tcW w:w="1100" w:type="dxa"/>
            <w:vAlign w:val="bottom"/>
          </w:tcPr>
          <w:p>
            <w:pPr>
              <w:jc w:val="right"/>
              <w:ind w:right="305"/>
              <w:spacing w:after="0" w:line="162" w:lineRule="exact"/>
              <w:rPr>
                <w:sz w:val="20"/>
                <w:szCs w:val="20"/>
                <w:color w:val="auto"/>
              </w:rPr>
            </w:pPr>
            <w:r>
              <w:rPr>
                <w:rFonts w:ascii="Arial" w:cs="Arial" w:eastAsia="Arial" w:hAnsi="Arial"/>
                <w:sz w:val="16"/>
                <w:szCs w:val="16"/>
                <w:b w:val="1"/>
                <w:bCs w:val="1"/>
                <w:color w:val="auto"/>
              </w:rPr>
              <w:t>Paid-In</w:t>
            </w:r>
          </w:p>
        </w:tc>
        <w:tc>
          <w:tcPr>
            <w:tcW w:w="1280" w:type="dxa"/>
            <w:vAlign w:val="bottom"/>
            <w:vMerge w:val="continue"/>
          </w:tcPr>
          <w:p>
            <w:pPr>
              <w:spacing w:after="0"/>
              <w:rPr>
                <w:sz w:val="14"/>
                <w:szCs w:val="14"/>
                <w:color w:val="auto"/>
              </w:rPr>
            </w:pPr>
          </w:p>
        </w:tc>
        <w:tc>
          <w:tcPr>
            <w:tcW w:w="15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Comprehensive</w:t>
            </w:r>
          </w:p>
        </w:tc>
        <w:tc>
          <w:tcPr>
            <w:tcW w:w="1220" w:type="dxa"/>
            <w:vAlign w:val="bottom"/>
          </w:tcPr>
          <w:p>
            <w:pPr>
              <w:jc w:val="center"/>
              <w:ind w:left="26"/>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6"/>
        </w:trPr>
        <w:tc>
          <w:tcPr>
            <w:tcW w:w="1220" w:type="dxa"/>
            <w:vAlign w:val="bottom"/>
            <w:tcBorders>
              <w:bottom w:val="single" w:sz="8" w:color="auto"/>
            </w:tcBorders>
          </w:tcPr>
          <w:p>
            <w:pPr>
              <w:jc w:val="center"/>
              <w:ind w:right="4"/>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64"/>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Capital</w:t>
            </w:r>
          </w:p>
        </w:tc>
        <w:tc>
          <w:tcPr>
            <w:tcW w:w="128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4"/>
              <w:spacing w:after="0"/>
              <w:rPr>
                <w:sz w:val="20"/>
                <w:szCs w:val="20"/>
                <w:color w:val="auto"/>
              </w:rPr>
            </w:pPr>
            <w:r>
              <w:rPr>
                <w:rFonts w:ascii="Arial" w:cs="Arial" w:eastAsia="Arial" w:hAnsi="Arial"/>
                <w:sz w:val="16"/>
                <w:szCs w:val="16"/>
                <w:b w:val="1"/>
                <w:bCs w:val="1"/>
                <w:color w:val="auto"/>
              </w:rPr>
              <w:t>Income (Loss)</w:t>
            </w:r>
          </w:p>
        </w:tc>
        <w:tc>
          <w:tcPr>
            <w:tcW w:w="1220" w:type="dxa"/>
            <w:vAlign w:val="bottom"/>
            <w:tcBorders>
              <w:bottom w:val="single" w:sz="8" w:color="auto"/>
            </w:tcBorders>
          </w:tcPr>
          <w:p>
            <w:pPr>
              <w:jc w:val="center"/>
              <w:ind w:left="6"/>
              <w:spacing w:after="0"/>
              <w:rPr>
                <w:sz w:val="20"/>
                <w:szCs w:val="20"/>
                <w:color w:val="auto"/>
              </w:rPr>
            </w:pPr>
            <w:r>
              <w:rPr>
                <w:rFonts w:ascii="Arial" w:cs="Arial" w:eastAsia="Arial" w:hAnsi="Arial"/>
                <w:sz w:val="16"/>
                <w:szCs w:val="16"/>
                <w:b w:val="1"/>
                <w:bCs w:val="1"/>
                <w:color w:val="auto"/>
              </w:rPr>
              <w:t>Investment</w:t>
            </w:r>
          </w:p>
        </w:tc>
        <w:tc>
          <w:tcPr>
            <w:tcW w:w="0" w:type="dxa"/>
            <w:vAlign w:val="bottom"/>
          </w:tcPr>
          <w:p>
            <w:pPr>
              <w:spacing w:after="0"/>
              <w:rPr>
                <w:sz w:val="1"/>
                <w:szCs w:val="1"/>
                <w:color w:val="auto"/>
              </w:rPr>
            </w:pPr>
          </w:p>
        </w:tc>
      </w:tr>
      <w:tr>
        <w:trPr>
          <w:trHeight w:val="184"/>
        </w:trPr>
        <w:tc>
          <w:tcPr>
            <w:tcW w:w="1220" w:type="dxa"/>
            <w:vAlign w:val="bottom"/>
          </w:tcPr>
          <w:p>
            <w:pPr>
              <w:jc w:val="right"/>
              <w:ind w:right="64"/>
              <w:spacing w:after="0"/>
              <w:rPr>
                <w:sz w:val="20"/>
                <w:szCs w:val="20"/>
                <w:color w:val="auto"/>
              </w:rPr>
            </w:pPr>
            <w:r>
              <w:rPr>
                <w:rFonts w:ascii="Arial" w:cs="Arial" w:eastAsia="Arial" w:hAnsi="Arial"/>
                <w:sz w:val="14"/>
                <w:szCs w:val="14"/>
                <w:color w:val="auto"/>
              </w:rPr>
              <w:t>233,429,994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4"/>
              <w:spacing w:after="0"/>
              <w:rPr>
                <w:sz w:val="20"/>
                <w:szCs w:val="20"/>
                <w:color w:val="auto"/>
              </w:rPr>
            </w:pPr>
            <w:r>
              <w:rPr>
                <w:rFonts w:ascii="Arial" w:cs="Arial" w:eastAsia="Arial" w:hAnsi="Arial"/>
                <w:sz w:val="14"/>
                <w:szCs w:val="14"/>
                <w:color w:val="auto"/>
              </w:rPr>
              <w:t>14,005,799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5"/>
              <w:spacing w:after="0"/>
              <w:rPr>
                <w:sz w:val="20"/>
                <w:szCs w:val="20"/>
                <w:color w:val="auto"/>
              </w:rPr>
            </w:pPr>
            <w:r>
              <w:rPr>
                <w:rFonts w:ascii="Arial" w:cs="Arial" w:eastAsia="Arial" w:hAnsi="Arial"/>
                <w:sz w:val="14"/>
                <w:szCs w:val="14"/>
                <w:color w:val="auto"/>
              </w:rPr>
              <w:t>942,660,764</w:t>
            </w:r>
          </w:p>
        </w:tc>
        <w:tc>
          <w:tcPr>
            <w:tcW w:w="1280" w:type="dxa"/>
            <w:vAlign w:val="bottom"/>
          </w:tcPr>
          <w:p>
            <w:pPr>
              <w:jc w:val="right"/>
              <w:ind w:right="65"/>
              <w:spacing w:after="0"/>
              <w:rPr>
                <w:sz w:val="20"/>
                <w:szCs w:val="20"/>
                <w:color w:val="auto"/>
              </w:rPr>
            </w:pPr>
            <w:r>
              <w:rPr>
                <w:rFonts w:ascii="Arial" w:cs="Arial" w:eastAsia="Arial" w:hAnsi="Arial"/>
                <w:sz w:val="14"/>
                <w:szCs w:val="14"/>
                <w:color w:val="auto"/>
              </w:rPr>
              <w:t>$ 1,252,525,531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4"/>
              <w:spacing w:after="0"/>
              <w:rPr>
                <w:sz w:val="20"/>
                <w:szCs w:val="20"/>
                <w:color w:val="auto"/>
              </w:rPr>
            </w:pPr>
            <w:r>
              <w:rPr>
                <w:rFonts w:ascii="Arial" w:cs="Arial" w:eastAsia="Arial" w:hAnsi="Arial"/>
                <w:sz w:val="14"/>
                <w:szCs w:val="14"/>
                <w:color w:val="auto"/>
              </w:rPr>
              <w:t>(13,242,768)</w:t>
            </w:r>
          </w:p>
        </w:tc>
        <w:tc>
          <w:tcPr>
            <w:tcW w:w="1220" w:type="dxa"/>
            <w:vAlign w:val="bottom"/>
          </w:tcPr>
          <w:p>
            <w:pPr>
              <w:jc w:val="right"/>
              <w:spacing w:after="0"/>
              <w:rPr>
                <w:sz w:val="20"/>
                <w:szCs w:val="20"/>
                <w:color w:val="auto"/>
              </w:rPr>
            </w:pPr>
            <w:r>
              <w:rPr>
                <w:rFonts w:ascii="Arial" w:cs="Arial" w:eastAsia="Arial" w:hAnsi="Arial"/>
                <w:sz w:val="14"/>
                <w:szCs w:val="14"/>
                <w:color w:val="auto"/>
              </w:rPr>
              <w:t>$ 2,195,949,326</w:t>
            </w:r>
          </w:p>
        </w:tc>
        <w:tc>
          <w:tcPr>
            <w:tcW w:w="0" w:type="dxa"/>
            <w:vAlign w:val="bottom"/>
          </w:tcPr>
          <w:p>
            <w:pPr>
              <w:spacing w:after="0"/>
              <w:rPr>
                <w:sz w:val="1"/>
                <w:szCs w:val="1"/>
                <w:color w:val="auto"/>
              </w:rPr>
            </w:pPr>
          </w:p>
        </w:tc>
      </w:tr>
      <w:tr>
        <w:trPr>
          <w:trHeight w:val="378"/>
        </w:trPr>
        <w:tc>
          <w:tcPr>
            <w:tcW w:w="1220" w:type="dxa"/>
            <w:vAlign w:val="bottom"/>
          </w:tcPr>
          <w:p>
            <w:pPr>
              <w:jc w:val="right"/>
              <w:ind w:right="64"/>
              <w:spacing w:after="0"/>
              <w:rPr>
                <w:sz w:val="20"/>
                <w:szCs w:val="20"/>
                <w:color w:val="auto"/>
              </w:rPr>
            </w:pPr>
            <w:r>
              <w:rPr>
                <w:rFonts w:ascii="Arial" w:cs="Arial" w:eastAsia="Arial" w:hAnsi="Arial"/>
                <w:sz w:val="14"/>
                <w:szCs w:val="14"/>
                <w:color w:val="auto"/>
              </w:rPr>
              <w:t>605,637</w:t>
            </w:r>
          </w:p>
        </w:tc>
        <w:tc>
          <w:tcPr>
            <w:tcW w:w="24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4"/>
                <w:szCs w:val="14"/>
                <w:color w:val="auto"/>
              </w:rPr>
              <w:t>36,338</w:t>
            </w:r>
          </w:p>
        </w:tc>
        <w:tc>
          <w:tcPr>
            <w:tcW w:w="200" w:type="dxa"/>
            <w:vAlign w:val="bottom"/>
          </w:tcPr>
          <w:p>
            <w:pPr>
              <w:spacing w:after="0"/>
              <w:rPr>
                <w:sz w:val="24"/>
                <w:szCs w:val="24"/>
                <w:color w:val="auto"/>
              </w:rPr>
            </w:pPr>
          </w:p>
        </w:tc>
        <w:tc>
          <w:tcPr>
            <w:tcW w:w="1100" w:type="dxa"/>
            <w:vAlign w:val="bottom"/>
          </w:tcPr>
          <w:p>
            <w:pPr>
              <w:jc w:val="right"/>
              <w:ind w:right="85"/>
              <w:spacing w:after="0"/>
              <w:rPr>
                <w:sz w:val="20"/>
                <w:szCs w:val="20"/>
                <w:color w:val="auto"/>
              </w:rPr>
            </w:pPr>
            <w:r>
              <w:rPr>
                <w:rFonts w:ascii="Arial" w:cs="Arial" w:eastAsia="Arial" w:hAnsi="Arial"/>
                <w:sz w:val="14"/>
                <w:szCs w:val="14"/>
                <w:color w:val="auto"/>
              </w:rPr>
              <w:t>10,385,712</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10,422,050</w:t>
            </w:r>
          </w:p>
        </w:tc>
        <w:tc>
          <w:tcPr>
            <w:tcW w:w="0" w:type="dxa"/>
            <w:vAlign w:val="bottom"/>
          </w:tcPr>
          <w:p>
            <w:pPr>
              <w:spacing w:after="0"/>
              <w:rPr>
                <w:sz w:val="1"/>
                <w:szCs w:val="1"/>
                <w:color w:val="auto"/>
              </w:rPr>
            </w:pPr>
          </w:p>
        </w:tc>
      </w:tr>
      <w:tr>
        <w:trPr>
          <w:trHeight w:val="216"/>
        </w:trPr>
        <w:tc>
          <w:tcPr>
            <w:tcW w:w="1220" w:type="dxa"/>
            <w:vAlign w:val="bottom"/>
          </w:tcPr>
          <w:p>
            <w:pPr>
              <w:jc w:val="right"/>
              <w:ind w:right="24"/>
              <w:spacing w:after="0"/>
              <w:rPr>
                <w:sz w:val="20"/>
                <w:szCs w:val="20"/>
                <w:color w:val="auto"/>
              </w:rPr>
            </w:pPr>
            <w:r>
              <w:rPr>
                <w:rFonts w:ascii="Arial" w:cs="Arial" w:eastAsia="Arial" w:hAnsi="Arial"/>
                <w:sz w:val="14"/>
                <w:szCs w:val="14"/>
                <w:color w:val="auto"/>
              </w:rPr>
              <w:t>(776,488)</w:t>
            </w:r>
          </w:p>
        </w:tc>
        <w:tc>
          <w:tcPr>
            <w:tcW w:w="24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4"/>
                <w:szCs w:val="14"/>
                <w:color w:val="auto"/>
              </w:rPr>
              <w:t>(46,589)</w:t>
            </w:r>
          </w:p>
        </w:tc>
        <w:tc>
          <w:tcPr>
            <w:tcW w:w="200" w:type="dxa"/>
            <w:vAlign w:val="bottom"/>
          </w:tcPr>
          <w:p>
            <w:pPr>
              <w:spacing w:after="0"/>
              <w:rPr>
                <w:sz w:val="18"/>
                <w:szCs w:val="18"/>
                <w:color w:val="auto"/>
              </w:rPr>
            </w:pPr>
          </w:p>
        </w:tc>
        <w:tc>
          <w:tcPr>
            <w:tcW w:w="1100" w:type="dxa"/>
            <w:vAlign w:val="bottom"/>
          </w:tcPr>
          <w:p>
            <w:pPr>
              <w:jc w:val="right"/>
              <w:ind w:right="45"/>
              <w:spacing w:after="0"/>
              <w:rPr>
                <w:sz w:val="20"/>
                <w:szCs w:val="20"/>
                <w:color w:val="auto"/>
              </w:rPr>
            </w:pPr>
            <w:r>
              <w:rPr>
                <w:rFonts w:ascii="Arial" w:cs="Arial" w:eastAsia="Arial" w:hAnsi="Arial"/>
                <w:sz w:val="14"/>
                <w:szCs w:val="14"/>
                <w:color w:val="auto"/>
              </w:rPr>
              <w:t>(2,795,358)</w:t>
            </w:r>
          </w:p>
        </w:tc>
        <w:tc>
          <w:tcPr>
            <w:tcW w:w="1280" w:type="dxa"/>
            <w:vAlign w:val="bottom"/>
          </w:tcPr>
          <w:p>
            <w:pPr>
              <w:jc w:val="right"/>
              <w:ind w:right="25"/>
              <w:spacing w:after="0"/>
              <w:rPr>
                <w:sz w:val="20"/>
                <w:szCs w:val="20"/>
                <w:color w:val="auto"/>
              </w:rPr>
            </w:pPr>
            <w:r>
              <w:rPr>
                <w:rFonts w:ascii="Arial" w:cs="Arial" w:eastAsia="Arial" w:hAnsi="Arial"/>
                <w:sz w:val="14"/>
                <w:szCs w:val="14"/>
                <w:color w:val="auto"/>
              </w:rPr>
              <w:t>(22,327,431)</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(25,169,378)</w:t>
            </w:r>
          </w:p>
        </w:tc>
        <w:tc>
          <w:tcPr>
            <w:tcW w:w="0" w:type="dxa"/>
            <w:vAlign w:val="bottom"/>
          </w:tcPr>
          <w:p>
            <w:pPr>
              <w:spacing w:after="0"/>
              <w:rPr>
                <w:sz w:val="1"/>
                <w:szCs w:val="1"/>
                <w:color w:val="auto"/>
              </w:rPr>
            </w:pPr>
          </w:p>
        </w:tc>
      </w:tr>
      <w:tr>
        <w:trPr>
          <w:trHeight w:val="540"/>
        </w:trPr>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85"/>
              <w:spacing w:after="0"/>
              <w:rPr>
                <w:sz w:val="20"/>
                <w:szCs w:val="20"/>
                <w:color w:val="auto"/>
              </w:rPr>
            </w:pPr>
            <w:r>
              <w:rPr>
                <w:rFonts w:ascii="Arial" w:cs="Arial" w:eastAsia="Arial" w:hAnsi="Arial"/>
                <w:sz w:val="14"/>
                <w:szCs w:val="14"/>
                <w:color w:val="auto"/>
              </w:rPr>
              <w:t>10,948,031</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10,948,031</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80" w:type="dxa"/>
            <w:vAlign w:val="bottom"/>
          </w:tcPr>
          <w:p>
            <w:pPr>
              <w:jc w:val="right"/>
              <w:ind w:right="25"/>
              <w:spacing w:after="0"/>
              <w:rPr>
                <w:sz w:val="20"/>
                <w:szCs w:val="20"/>
                <w:color w:val="auto"/>
              </w:rPr>
            </w:pPr>
            <w:r>
              <w:rPr>
                <w:rFonts w:ascii="Arial" w:cs="Arial" w:eastAsia="Arial" w:hAnsi="Arial"/>
                <w:sz w:val="14"/>
                <w:szCs w:val="14"/>
                <w:color w:val="auto"/>
              </w:rPr>
              <w:t>(27,991,662)</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(27,991,662)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jc w:val="right"/>
              <w:ind w:right="65"/>
              <w:spacing w:after="0"/>
              <w:rPr>
                <w:sz w:val="20"/>
                <w:szCs w:val="20"/>
                <w:color w:val="auto"/>
              </w:rPr>
            </w:pPr>
            <w:r>
              <w:rPr>
                <w:rFonts w:ascii="Arial" w:cs="Arial" w:eastAsia="Arial" w:hAnsi="Arial"/>
                <w:sz w:val="14"/>
                <w:szCs w:val="14"/>
                <w:color w:val="auto"/>
              </w:rPr>
              <w:t>104,725,412</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104,725,412</w:t>
            </w:r>
          </w:p>
        </w:tc>
        <w:tc>
          <w:tcPr>
            <w:tcW w:w="0" w:type="dxa"/>
            <w:vAlign w:val="bottom"/>
          </w:tcPr>
          <w:p>
            <w:pPr>
              <w:spacing w:after="0"/>
              <w:rPr>
                <w:sz w:val="1"/>
                <w:szCs w:val="1"/>
                <w:color w:val="auto"/>
              </w:rPr>
            </w:pPr>
          </w:p>
        </w:tc>
      </w:tr>
      <w:tr>
        <w:trPr>
          <w:trHeight w:val="222"/>
        </w:trPr>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(429,972)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(429,972)</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233,259,143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13,995,548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961,199,149</w:t>
            </w:r>
          </w:p>
        </w:tc>
        <w:tc>
          <w:tcPr>
            <w:tcW w:w="128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$ 1,306,931,850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(13,672,740)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$ 2,268,453,807</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-1456690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-1079500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-599440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-307975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-16510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2022</w:t>
      </w:r>
    </w:p>
    <w:p>
      <w:pPr>
        <w:spacing w:after="0" w:line="32"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Issuance of common stock from stock plan transactions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2022</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235,132,265</w:t>
            </w:r>
          </w:p>
        </w:tc>
        <w:tc>
          <w:tcPr>
            <w:tcW w:w="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14,107,936</w:t>
            </w: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900,576,404</w:t>
            </w:r>
          </w:p>
        </w:tc>
        <w:tc>
          <w:tcPr>
            <w:tcW w:w="1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$ 1,082,846,019</w:t>
            </w:r>
          </w:p>
        </w:tc>
        <w:tc>
          <w:tcPr>
            <w:tcW w:w="4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(10,955,879)</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$ 1,986,574,480</w:t>
            </w: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315,433</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18,926</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3,351,010</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3,369,936</w:t>
            </w:r>
          </w:p>
        </w:tc>
      </w:tr>
      <w:tr>
        <w:trPr>
          <w:trHeight w:val="216"/>
        </w:trPr>
        <w:tc>
          <w:tcPr>
            <w:tcW w:w="1220" w:type="dxa"/>
            <w:vAlign w:val="bottom"/>
          </w:tcPr>
          <w:p>
            <w:pPr>
              <w:jc w:val="right"/>
              <w:ind w:right="28"/>
              <w:spacing w:after="0"/>
              <w:rPr>
                <w:sz w:val="20"/>
                <w:szCs w:val="20"/>
                <w:color w:val="auto"/>
              </w:rPr>
            </w:pPr>
            <w:r>
              <w:rPr>
                <w:rFonts w:ascii="Arial" w:cs="Arial" w:eastAsia="Arial" w:hAnsi="Arial"/>
                <w:sz w:val="14"/>
                <w:szCs w:val="14"/>
                <w:color w:val="auto"/>
              </w:rPr>
              <w:t>(850,306)</w:t>
            </w:r>
          </w:p>
        </w:tc>
        <w:tc>
          <w:tcPr>
            <w:tcW w:w="3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(51,019)</w:t>
            </w:r>
          </w:p>
        </w:tc>
        <w:tc>
          <w:tcPr>
            <w:tcW w:w="2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(2,916,551)</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(19,289,212)</w:t>
            </w:r>
          </w:p>
        </w:tc>
        <w:tc>
          <w:tcPr>
            <w:tcW w:w="4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(22,256,782)</w:t>
            </w:r>
          </w:p>
        </w:tc>
      </w:tr>
      <w:tr>
        <w:trPr>
          <w:trHeight w:val="540"/>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7,611,546</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7,611,546</w:t>
            </w:r>
          </w:p>
        </w:tc>
      </w:tr>
      <w:tr>
        <w:trPr>
          <w:trHeight w:val="243"/>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(28,151,347)</w:t>
            </w:r>
          </w:p>
        </w:tc>
        <w:tc>
          <w:tcPr>
            <w:tcW w:w="40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(28,151,347)</w:t>
            </w:r>
          </w:p>
        </w:tc>
      </w:tr>
      <w:tr>
        <w:trPr>
          <w:trHeight w:val="216"/>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72,655,995</w:t>
            </w:r>
          </w:p>
        </w:tc>
        <w:tc>
          <w:tcPr>
            <w:tcW w:w="4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72,655,995</w:t>
            </w:r>
          </w:p>
        </w:tc>
      </w:tr>
      <w:tr>
        <w:trPr>
          <w:trHeight w:val="222"/>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14,241,836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14,241,836</w:t>
            </w:r>
          </w:p>
        </w:tc>
      </w:tr>
      <w:tr>
        <w:trPr>
          <w:trHeight w:val="196"/>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234,597,392</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14,075,843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908,622,409</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$ 1,108,061,455</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3,285,957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$ 2,034,045,664</w:t>
            </w:r>
          </w:p>
        </w:tc>
      </w:tr>
      <w:tr>
        <w:trPr>
          <w:trHeight w:val="27"/>
        </w:trPr>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-1319530</wp:posOffset>
            </wp:positionV>
            <wp:extent cx="71323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-942340</wp:posOffset>
            </wp:positionV>
            <wp:extent cx="71323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-170815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6" w:name="page7"/>
    <w:bookmarkEnd w:id="6"/>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September 30, 2023 and 2022</w:t>
      </w:r>
    </w:p>
    <w:p>
      <w:pPr>
        <w:sectPr>
          <w:pgSz w:w="11900" w:h="16838" w:orient="portrait"/>
          <w:cols w:equalWidth="0" w:num="1">
            <w:col w:w="11200"/>
          </w:cols>
          <w:pgMar w:left="3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2023</w:t>
      </w:r>
    </w:p>
    <w:p>
      <w:pPr>
        <w:spacing w:after="0" w:line="32"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Issuance of common stock from stock plan transactions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($0.36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2023</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2022</w:t>
      </w:r>
    </w:p>
    <w:p>
      <w:pPr>
        <w:spacing w:after="0" w:line="32"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Issuance of common stock from stock plan transactions</w:t>
      </w:r>
    </w:p>
    <w:p>
      <w:pPr>
        <w:spacing w:after="0" w:line="10" w:lineRule="exact"/>
        <w:rPr>
          <w:sz w:val="20"/>
          <w:szCs w:val="20"/>
          <w:color w:val="auto"/>
        </w:rPr>
      </w:pPr>
    </w:p>
    <w:p>
      <w:pPr>
        <w:ind w:right="700"/>
        <w:spacing w:after="0"/>
        <w:rPr>
          <w:sz w:val="20"/>
          <w:szCs w:val="20"/>
          <w:color w:val="auto"/>
        </w:rPr>
      </w:pPr>
      <w:r>
        <w:rPr>
          <w:rFonts w:ascii="Arial" w:cs="Arial" w:eastAsia="Arial" w:hAnsi="Arial"/>
          <w:sz w:val="16"/>
          <w:szCs w:val="16"/>
          <w:color w:val="auto"/>
        </w:rPr>
        <w:t>Issuance of common stock related to acquisitions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($0.36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2022</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1140" w:type="dxa"/>
            <w:vAlign w:val="bottom"/>
          </w:tcPr>
          <w:p>
            <w:pPr>
              <w:jc w:val="center"/>
              <w:ind w:right="128"/>
              <w:spacing w:after="0" w:line="148"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2"/>
                <w:szCs w:val="12"/>
                <w:color w:val="auto"/>
              </w:rPr>
            </w:pPr>
          </w:p>
        </w:tc>
        <w:tc>
          <w:tcPr>
            <w:tcW w:w="100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112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9"/>
        </w:trPr>
        <w:tc>
          <w:tcPr>
            <w:tcW w:w="11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84"/>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234,169,335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14,050,160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917,499,323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1,148,386,272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(14,142,934)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2,065,792,821</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1,833,596</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110,016</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24,194,845</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24,304,861</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(2,743,788)</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(164,628)</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(9,707,255)</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(68,863,618)</w:t>
            </w:r>
          </w:p>
        </w:tc>
        <w:tc>
          <w:tcPr>
            <w:tcW w:w="2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(78,735,501)</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29,212,236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29,212,236</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(84,049,880)</w:t>
            </w:r>
          </w:p>
        </w:tc>
        <w:tc>
          <w:tcPr>
            <w:tcW w:w="20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(84,049,880)</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311,459,076</w:t>
            </w:r>
          </w:p>
        </w:tc>
        <w:tc>
          <w:tcPr>
            <w:tcW w:w="2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311,459,076</w:t>
            </w:r>
          </w:p>
        </w:tc>
        <w:tc>
          <w:tcPr>
            <w:tcW w:w="0" w:type="dxa"/>
            <w:vAlign w:val="bottom"/>
          </w:tcPr>
          <w:p>
            <w:pPr>
              <w:spacing w:after="0"/>
              <w:rPr>
                <w:sz w:val="1"/>
                <w:szCs w:val="1"/>
                <w:color w:val="auto"/>
              </w:rPr>
            </w:pPr>
          </w:p>
        </w:tc>
      </w:tr>
      <w:tr>
        <w:trPr>
          <w:trHeight w:val="222"/>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470,194</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470,194</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233,259,143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13,995,548</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961,199,149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1,306,931,850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(13,672,740)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2,268,453,807</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236,440,840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14,186,450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879,413,385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1,042,461,388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1,927,244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1,937,988,467</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1,284,615</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77,077</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12,288,026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12,365,103</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162,433</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9,746</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4,990,266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5,000,012</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(3,290,496)</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(197,430)</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(11,042,381)</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(82,268,993)</w:t>
            </w:r>
          </w:p>
        </w:tc>
        <w:tc>
          <w:tcPr>
            <w:tcW w:w="2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(93,508,804)</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22,973,113</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22,973,113</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(84,719,963)</w:t>
            </w:r>
          </w:p>
        </w:tc>
        <w:tc>
          <w:tcPr>
            <w:tcW w:w="20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(84,719,963)</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232,589,023</w:t>
            </w:r>
          </w:p>
        </w:tc>
        <w:tc>
          <w:tcPr>
            <w:tcW w:w="2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232,589,023</w:t>
            </w:r>
          </w:p>
        </w:tc>
        <w:tc>
          <w:tcPr>
            <w:tcW w:w="0" w:type="dxa"/>
            <w:vAlign w:val="bottom"/>
          </w:tcPr>
          <w:p>
            <w:pPr>
              <w:spacing w:after="0"/>
              <w:rPr>
                <w:sz w:val="1"/>
                <w:szCs w:val="1"/>
                <w:color w:val="auto"/>
              </w:rPr>
            </w:pPr>
          </w:p>
        </w:tc>
      </w:tr>
      <w:tr>
        <w:trPr>
          <w:trHeight w:val="222"/>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1,358,713</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1,358,713</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234,597,392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14,075,843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908,622,409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1,108,061,455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3,285,957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2,034,045,664</w:t>
            </w:r>
          </w:p>
        </w:tc>
        <w:tc>
          <w:tcPr>
            <w:tcW w:w="0" w:type="dxa"/>
            <w:vAlign w:val="bottom"/>
          </w:tcPr>
          <w:p>
            <w:pPr>
              <w:spacing w:after="0"/>
              <w:rPr>
                <w:sz w:val="1"/>
                <w:szCs w:val="1"/>
                <w:color w:val="auto"/>
              </w:rPr>
            </w:pPr>
          </w:p>
        </w:tc>
      </w:tr>
      <w:tr>
        <w:trPr>
          <w:trHeight w:val="26"/>
        </w:trPr>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-3308350</wp:posOffset>
            </wp:positionV>
            <wp:extent cx="71151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-2931160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-2451100</wp:posOffset>
            </wp:positionV>
            <wp:extent cx="711517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-2159635</wp:posOffset>
            </wp:positionV>
            <wp:extent cx="711517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-1868170</wp:posOffset>
            </wp:positionV>
            <wp:extent cx="7115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-1559560</wp:posOffset>
            </wp:positionV>
            <wp:extent cx="711517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-1079500</wp:posOffset>
            </wp:positionV>
            <wp:extent cx="71151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-599440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-307975</wp:posOffset>
            </wp:positionV>
            <wp:extent cx="71151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20"/>
          </w:cols>
          <w:pgMar w:left="36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bookmarkStart w:id="7" w:name="page8"/>
    <w:bookmarkEnd w:id="7"/>
    <w:p>
      <w:pPr>
        <w:jc w:val="center"/>
        <w:ind w:left="340" w:right="2340"/>
        <w:spacing w:after="0" w:line="39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Nine Months Ended September 30, 2023 and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2023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311,459,076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232,589,023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71,001,177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73,289,065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(271,510)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(Gain) on sale of investments and equity method investment income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(2,747,586)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(391,378)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 and equity method investment losses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6,840,692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1,248,450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Change in deferred income taxes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(11,870,944)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4,785,787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36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29,212,236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22,973,113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receivable, net</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(74,648,395)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(42,618,585)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8,907,490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(102,018,719)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(5,416,624)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27,451,773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52,511,201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liabilities, excluding dividends declared</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7,500,486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11,002,238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367,668,306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236,357,565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Activity in investments: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32,839,883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37,429,595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14,435,000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(112,608,739)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(49,554,476)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Plant and equipment additions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(121,393,801)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(108,475,787)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Proceeds from sale of plant and equipment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185,610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91,949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in other assets</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(2,533,687)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investing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(189,075,734)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(119,319,147)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common stock from stock plan transactions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24,304,861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12,365,103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Cash dividends paid</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(84,159,105)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(84,941,178)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(76,859,341)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(83,840,290)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financing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(136,713,585)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(156,416,365)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41,878,987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(39,377,947)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218,754,638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262,311,670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260,633,625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222,933,723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3400" w:type="dxa"/>
            <w:vAlign w:val="bottom"/>
            <w:tcBorders>
              <w:bottom w:val="single" w:sz="8" w:color="auto"/>
            </w:tcBorders>
            <w:gridSpan w:val="7"/>
            <w:shd w:val="clear" w:color="auto" w:fill="CCEEFF"/>
          </w:tcPr>
          <w:p>
            <w:pPr>
              <w:jc w:val="right"/>
              <w:ind w:right="7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SUPPLEMENTAL CASH FLOW DATA</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investing and financing activities:</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360" w:type="dxa"/>
            <w:vAlign w:val="bottom"/>
          </w:tcPr>
          <w:p>
            <w:pPr>
              <w:ind w:left="200"/>
              <w:spacing w:after="0" w:line="176" w:lineRule="exact"/>
              <w:rPr>
                <w:sz w:val="20"/>
                <w:szCs w:val="20"/>
                <w:color w:val="auto"/>
              </w:rPr>
            </w:pPr>
            <w:r>
              <w:rPr>
                <w:rFonts w:ascii="Arial" w:cs="Arial" w:eastAsia="Arial" w:hAnsi="Arial"/>
                <w:sz w:val="18"/>
                <w:szCs w:val="18"/>
                <w:color w:val="auto"/>
              </w:rPr>
              <w:t>Property and equipment in accounts payable and accrued expenses and other current</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9,708,125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5,064,356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liabilities</w:t>
            </w:r>
          </w:p>
        </w:tc>
        <w:tc>
          <w:tcPr>
            <w:tcW w:w="4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2022 annual report on Form 10-K. In the opinion of management, the accompanying unaudited condensed consolidated financial statements contain all adjustments, consisting of only a normal and recurring nature, necessary to present fairly the financial position of the Company as of September 30, 2023, and the results of operations and cash flows for the interim periods presented.</w:t>
      </w:r>
    </w:p>
    <w:p>
      <w:pPr>
        <w:spacing w:after="0" w:line="223"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43"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$3.7 million as part of the acquisition of Vaporsens, Inc. ("Vaporsens") in the second quarter of 2020; $ 0.2 million as part of the acquisition of Air-Craftglass Production BV ("Air-Craftglass") in the third quarter of 2020; $1.0 million as a part of the acquisition of Argil, Inc. ("Argil") in the fourth quarter of 2020; and $2.0 million as part of the acquisition of Guardian Optical Technologies ("Guardian") in the first quarter of 2021. The carrying value of Goodwill as of both September 30, 2023 and December 31, 2022 was $313.2 million and $313.8 million, respectively, as set forth in the table below:</w:t>
      </w:r>
    </w:p>
    <w:p>
      <w:pPr>
        <w:spacing w:after="0" w:line="270" w:lineRule="exact"/>
        <w:rPr>
          <w:sz w:val="20"/>
          <w:szCs w:val="20"/>
          <w:color w:val="auto"/>
        </w:rPr>
      </w:pPr>
    </w:p>
    <w:tbl>
      <w:tblPr>
        <w:tblLayout w:type="fixed"/>
        <w:tblInd w:w="1160" w:type="dxa"/>
        <w:tblCellMar>
          <w:top w:w="0" w:type="dxa"/>
          <w:left w:w="0" w:type="dxa"/>
          <w:bottom w:w="0" w:type="dxa"/>
          <w:right w:w="0" w:type="dxa"/>
        </w:tblCellMar>
      </w:tblPr>
      <w:tr>
        <w:trPr>
          <w:trHeight w:val="203"/>
        </w:trPr>
        <w:tc>
          <w:tcPr>
            <w:tcW w:w="7580" w:type="dxa"/>
            <w:vAlign w:val="bottom"/>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313,807,494</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5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(650,101)</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313,157,393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the UAW strike, component shortages, supply chain constraints, inflation, and labor shortages were considered in the most recently completed quarter, but did not indicate the need for interim impairment testing.</w:t>
      </w:r>
    </w:p>
    <w:p>
      <w:pPr>
        <w:spacing w:after="0" w:line="222"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The Company also acquired In-Process Research &amp; Development ("In-Process R &amp; D") as part of the acquisitions of: Vaporsens; Air-Craftglass; Argil; and Guardian, each of which has been previously disclosed.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39,170,904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(27,611,804)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11,559,100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gridSpan w:val="3"/>
          </w:tcPr>
          <w:p>
            <w:pPr>
              <w:ind w:left="112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52,000,000</w:t>
            </w:r>
          </w:p>
        </w:tc>
        <w:tc>
          <w:tcPr>
            <w:tcW w:w="40" w:type="dxa"/>
            <w:vAlign w:val="bottom"/>
          </w:tcPr>
          <w:p>
            <w:pPr>
              <w:spacing w:after="0"/>
              <w:rPr>
                <w:sz w:val="19"/>
                <w:szCs w:val="19"/>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(43,000,000)</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11,000,000</w:t>
            </w:r>
          </w:p>
        </w:tc>
        <w:tc>
          <w:tcPr>
            <w:tcW w:w="40" w:type="dxa"/>
            <w:vAlign w:val="bottom"/>
          </w:tcPr>
          <w:p>
            <w:pPr>
              <w:spacing w:after="0"/>
              <w:rPr>
                <w:sz w:val="19"/>
                <w:szCs w:val="19"/>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6,278,132</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Air-Craftglass In-Process R&amp;D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1,507,778</w:t>
            </w:r>
          </w:p>
        </w:tc>
        <w:tc>
          <w:tcPr>
            <w:tcW w:w="40" w:type="dxa"/>
            <w:vAlign w:val="bottom"/>
          </w:tcPr>
          <w:p>
            <w:pPr>
              <w:spacing w:after="0"/>
              <w:rPr>
                <w:sz w:val="19"/>
                <w:szCs w:val="19"/>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6,800,000</w:t>
            </w:r>
          </w:p>
        </w:tc>
        <w:tc>
          <w:tcPr>
            <w:tcW w:w="40" w:type="dxa"/>
            <w:vAlign w:val="bottom"/>
            <w:tcBorders>
              <w:bottom w:val="single" w:sz="8" w:color="auto"/>
            </w:tcBorders>
          </w:tcPr>
          <w:p>
            <w:pPr>
              <w:spacing w:after="0"/>
              <w:rPr>
                <w:sz w:val="19"/>
                <w:szCs w:val="19"/>
                <w:color w:val="auto"/>
              </w:rPr>
            </w:pPr>
          </w:p>
        </w:tc>
        <w:tc>
          <w:tcPr>
            <w:tcW w:w="1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397,885,910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(193,000,000)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204,885,910</w:t>
            </w:r>
          </w:p>
        </w:tc>
        <w:tc>
          <w:tcPr>
            <w:tcW w:w="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437,056,814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(220,611,804)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216,445,010</w:t>
            </w:r>
          </w:p>
        </w:tc>
        <w:tc>
          <w:tcPr>
            <w:tcW w:w="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2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5"/>
                <w:szCs w:val="15"/>
                <w:color w:val="auto"/>
              </w:rPr>
            </w:pPr>
          </w:p>
        </w:tc>
        <w:tc>
          <w:tcPr>
            <w:tcW w:w="1300" w:type="dxa"/>
            <w:vAlign w:val="bottom"/>
          </w:tcPr>
          <w:p>
            <w:pPr>
              <w:ind w:left="1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40,653,851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(27,820,383)</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12,833,468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52,000,000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(39,775,000)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3,225,000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20"/>
              <w:spacing w:after="0"/>
              <w:rPr>
                <w:sz w:val="20"/>
                <w:szCs w:val="20"/>
                <w:color w:val="auto"/>
              </w:rPr>
            </w:pPr>
            <w:r>
              <w:rPr>
                <w:rFonts w:ascii="Arial" w:cs="Arial" w:eastAsia="Arial" w:hAnsi="Arial"/>
                <w:sz w:val="18"/>
                <w:szCs w:val="18"/>
                <w:color w:val="auto"/>
              </w:rPr>
              <w:t>Vaporsens In-Process R&amp;D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Argil In-Process R&amp;D</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Air-Craftglass In-Process R&amp;D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1,507,778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Guardian Trade Names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Guardian In-Process R&amp;D</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397,885,910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(178,525,000)</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219,360,910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438,539,761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(206,345,383)</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232,194,378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on patents and intangible assets was approximately $5.2 million and $15.6 million during the three and nine months ended September 30, 2023, respectively, compared to approximately $5.5 million and $16.6 million for the same periods ended September 30, 2022, respectively.</w:t>
      </w:r>
    </w:p>
    <w:p>
      <w:pPr>
        <w:spacing w:after="0" w:line="21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Excluding the impact of any future acquisitions, the Company estimates amortization expense for the year ending December 31, 2023 to be approximately $20 million, for the year ending December 31, 2024 to be</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0"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approximately $16 million, for the year ending December 31, 2025 to be approximately $13 million, and for each of the years ending December 31, 2026 and December 31, 2027 to be approximately $5 million.</w:t>
      </w:r>
    </w:p>
    <w:p>
      <w:pPr>
        <w:spacing w:after="0" w:line="200" w:lineRule="exact"/>
        <w:rPr>
          <w:sz w:val="20"/>
          <w:szCs w:val="20"/>
          <w:color w:val="auto"/>
        </w:rPr>
      </w:pPr>
    </w:p>
    <w:p>
      <w:pPr>
        <w:spacing w:after="0" w:line="244"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16"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20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The Company also periodically makes technology investments in certain non-consolidated third parties. These equity investments are accounted for in accordance with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The Company's share of the earnings or losses of non-controlled affiliates, over which the Company exercises significant influence (generally a 20% to 50% common shares ownership interest), is included in the consolidated operating results using the equity method of accounting. The Company has also made technology investments in certain non-consolidated affiliates for common share ownership interests of less than 20% (where the Company does not have the ability to exercise significant influence).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For these equity investments that do not have readily determinable fair values, and where the Company has not identified any observable events that would cause adjustment of the valuation to date, the equity investments are held at cost.</w:t>
      </w:r>
    </w:p>
    <w:p>
      <w:pPr>
        <w:spacing w:after="0" w:line="223"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Such technology investments totaled approximately $125.3 million and $69.5 million as of September 30, 2023 and December 31, 2022, respectively. On March 9, 2023, the Company purchased a 15% equity investment in Adasky, LTD. for $21.5 million. On July 5, 2023, the Company purchased an additional 12% equity investment in Adasky, for an additional $21.5 million. Adasky is an Israeli-based leading developer and manufacturer of intelligent thermal sensing technologies. $2.2 million and $3.8 million of these technology investments are classified within Short-Term Investments in the condensed consolidated balance sheets as of September 30, 2023 and December 31, 2022, respectively. $123.1 million and $65.7 million of these investments are classified within Long-Term Investments in the condensed consolidated balance sheets as of September 30, 2023 and December 31, 2022, respectively.</w:t>
      </w:r>
    </w:p>
    <w:p>
      <w:pPr>
        <w:spacing w:after="0" w:line="110"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Assets or liabilities that have recurring fair value measurements are shown below as of September 30, 2023 and December 31, 2022:</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1" w:name="page12"/>
    <w:bookmarkEnd w:id="11"/>
    <w:p>
      <w:pPr>
        <w:jc w:val="center"/>
        <w:ind w:right="6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11"/>
          </w:tcPr>
          <w:p>
            <w:pPr>
              <w:jc w:val="center"/>
              <w:ind w:right="1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center"/>
              <w:ind w:right="280"/>
              <w:spacing w:after="0" w:line="143"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4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center"/>
              <w:ind w:right="300"/>
              <w:spacing w:after="0" w:line="148"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2"/>
                <w:szCs w:val="12"/>
                <w:color w:val="auto"/>
              </w:rPr>
            </w:pPr>
          </w:p>
        </w:tc>
        <w:tc>
          <w:tcPr>
            <w:tcW w:w="14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260,633,625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260,633,625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989,198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1,927,301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1,927,301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5,176,215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2,409,861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2,409,861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1,256,600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3,467,025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21,064,870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21,064,870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740,950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740,950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50,484,099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50,484,099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28,297,530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28,297,530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47,583,725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47,583,725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1,386,988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1,386,988</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425,417,987</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265,007,361</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160,410,626</w:t>
            </w: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2022:</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10"/>
          </w:tcPr>
          <w:p>
            <w:pPr>
              <w:ind w:left="6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center"/>
              <w:ind w:right="320"/>
              <w:spacing w:after="0" w:line="143"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4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center"/>
              <w:ind w:right="300"/>
              <w:spacing w:after="0" w:line="148"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2"/>
                <w:szCs w:val="12"/>
                <w:color w:val="auto"/>
              </w:rPr>
            </w:pPr>
          </w:p>
        </w:tc>
        <w:tc>
          <w:tcPr>
            <w:tcW w:w="14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9"/>
              </w:rPr>
              <w:t>Inputs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214,754,638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214,754,638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1,736,163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1,736,163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5,473,341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4,423,041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4,423,041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2,347,602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1,093,602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1,254,000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18,829,696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18,829,696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36,310,477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36,310,477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Governmental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36,532,634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48,430,166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48,430,166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378,544,756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222,116,628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156,428,128</w:t>
            </w:r>
          </w:p>
        </w:tc>
        <w:tc>
          <w:tcPr>
            <w:tcW w:w="20" w:type="dxa"/>
            <w:vAlign w:val="bottom"/>
          </w:tcPr>
          <w:p>
            <w:pPr>
              <w:spacing w:after="0"/>
              <w:rPr>
                <w:sz w:val="19"/>
                <w:szCs w:val="19"/>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type w:val="continuous"/>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The amortized cost, unrealized gains and losses, and market value of investment securities are shown as of September 30, 2023 and December 31, 2022:</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51"/>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989,198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1,982,128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5,198,015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5,176,215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4,723,625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4,723,625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21,273,402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(208,532)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21,064,870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53,814,699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(3,330,600)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50,484,099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29,640,890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(1,343,360)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28,297,530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51,881,686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378,802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(4,676,763)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47,583,725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1,637,386</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(252,709)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174,332,862</w:t>
            </w: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(9,929,613)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164,784,362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As of December 31, 2022:</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3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ind w:left="20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1,750,256</w:t>
            </w:r>
          </w:p>
        </w:tc>
        <w:tc>
          <w:tcPr>
            <w:tcW w:w="10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(14,093)</w:t>
            </w:r>
          </w:p>
        </w:tc>
        <w:tc>
          <w:tcPr>
            <w:tcW w:w="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1,736,163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5,571,417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(98,076)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4,476,613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(53,572)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4,423,041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(48,727)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2,347,602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2,347,602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19,151,229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(321,533)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18,829,696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40,410,206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(4,099,729)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36,310,477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39,637,461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(3,104,827)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36,532,634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53,476,883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235,713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(5,282,430)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48,430,166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292,638</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172,587,805</w:t>
            </w:r>
          </w:p>
        </w:tc>
        <w:tc>
          <w:tcPr>
            <w:tcW w:w="10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236,375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(13,034,062)</w:t>
            </w:r>
          </w:p>
        </w:tc>
        <w:tc>
          <w:tcPr>
            <w:tcW w:w="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159,790,118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September 30, 2023,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3"/>
                <w:szCs w:val="13"/>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1,340,283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51,123,646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8,589,330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103,252,208</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9,929,613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154,375,854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0"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Unrealized losses on investments as of December 31, 2022, are as follows:</w:t>
      </w:r>
    </w:p>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4,816,103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77,701,146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8,217,959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76,643,586</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13,034,062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154,344,732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any amortized cost basis has been recovered.</w:t>
      </w: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Fixed</w:t>
            </w:r>
          </w:p>
        </w:tc>
        <w:tc>
          <w:tcPr>
            <w:tcW w:w="1060" w:type="dxa"/>
            <w:vAlign w:val="bottom"/>
          </w:tcPr>
          <w:p>
            <w:pPr>
              <w:ind w:left="180"/>
              <w:spacing w:after="0"/>
              <w:rPr>
                <w:sz w:val="20"/>
                <w:szCs w:val="20"/>
                <w:color w:val="auto"/>
              </w:rPr>
            </w:pPr>
            <w:r>
              <w:rPr>
                <w:rFonts w:ascii="Arial" w:cs="Arial" w:eastAsia="Arial" w:hAnsi="Arial"/>
                <w:sz w:val="18"/>
                <w:szCs w:val="18"/>
                <w:color w:val="auto"/>
              </w:rPr>
              <w:t>income</w:t>
            </w:r>
          </w:p>
        </w:tc>
        <w:tc>
          <w:tcPr>
            <w:tcW w:w="104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460" w:type="dxa"/>
            <w:vAlign w:val="bottom"/>
          </w:tcPr>
          <w:p>
            <w:pPr>
              <w:ind w:left="100"/>
              <w:spacing w:after="0"/>
              <w:rPr>
                <w:sz w:val="20"/>
                <w:szCs w:val="20"/>
                <w:color w:val="auto"/>
              </w:rPr>
            </w:pPr>
            <w:r>
              <w:rPr>
                <w:rFonts w:ascii="Arial" w:cs="Arial" w:eastAsia="Arial" w:hAnsi="Arial"/>
                <w:sz w:val="18"/>
                <w:szCs w:val="18"/>
                <w:color w:val="auto"/>
              </w:rPr>
              <w:t>as</w:t>
            </w:r>
          </w:p>
        </w:tc>
        <w:tc>
          <w:tcPr>
            <w:tcW w:w="480" w:type="dxa"/>
            <w:vAlign w:val="bottom"/>
          </w:tcPr>
          <w:p>
            <w:pPr>
              <w:ind w:left="160"/>
              <w:spacing w:after="0"/>
              <w:rPr>
                <w:sz w:val="20"/>
                <w:szCs w:val="20"/>
                <w:color w:val="auto"/>
              </w:rPr>
            </w:pPr>
            <w:r>
              <w:rPr>
                <w:rFonts w:ascii="Arial" w:cs="Arial" w:eastAsia="Arial" w:hAnsi="Arial"/>
                <w:sz w:val="18"/>
                <w:szCs w:val="18"/>
                <w:color w:val="auto"/>
              </w:rPr>
              <w:t>of</w:t>
            </w:r>
          </w:p>
        </w:tc>
        <w:tc>
          <w:tcPr>
            <w:tcW w:w="1220" w:type="dxa"/>
            <w:vAlign w:val="bottom"/>
          </w:tcPr>
          <w:p>
            <w:pPr>
              <w:ind w:left="180"/>
              <w:spacing w:after="0"/>
              <w:rPr>
                <w:sz w:val="20"/>
                <w:szCs w:val="20"/>
                <w:color w:val="auto"/>
              </w:rPr>
            </w:pPr>
            <w:r>
              <w:rPr>
                <w:rFonts w:ascii="Arial" w:cs="Arial" w:eastAsia="Arial" w:hAnsi="Arial"/>
                <w:sz w:val="18"/>
                <w:szCs w:val="18"/>
                <w:color w:val="auto"/>
              </w:rPr>
              <w:t>September</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2023</w:t>
            </w:r>
          </w:p>
        </w:tc>
        <w:tc>
          <w:tcPr>
            <w:tcW w:w="720" w:type="dxa"/>
            <w:vAlign w:val="bottom"/>
          </w:tcPr>
          <w:p>
            <w:pPr>
              <w:ind w:left="160"/>
              <w:spacing w:after="0"/>
              <w:rPr>
                <w:sz w:val="20"/>
                <w:szCs w:val="20"/>
                <w:color w:val="auto"/>
              </w:rPr>
            </w:pPr>
            <w:r>
              <w:rPr>
                <w:rFonts w:ascii="Arial" w:cs="Arial" w:eastAsia="Arial" w:hAnsi="Arial"/>
                <w:sz w:val="18"/>
                <w:szCs w:val="18"/>
                <w:color w:val="auto"/>
              </w:rPr>
              <w:t>have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contractual</w:t>
            </w:r>
          </w:p>
        </w:tc>
        <w:tc>
          <w:tcPr>
            <w:tcW w:w="1100" w:type="dxa"/>
            <w:vAlign w:val="bottom"/>
          </w:tcPr>
          <w:p>
            <w:pPr>
              <w:ind w:left="160"/>
              <w:spacing w:after="0"/>
              <w:rPr>
                <w:sz w:val="20"/>
                <w:szCs w:val="20"/>
                <w:color w:val="auto"/>
              </w:rPr>
            </w:pPr>
            <w:r>
              <w:rPr>
                <w:rFonts w:ascii="Arial" w:cs="Arial" w:eastAsia="Arial" w:hAnsi="Arial"/>
                <w:sz w:val="18"/>
                <w:szCs w:val="18"/>
                <w:color w:val="auto"/>
              </w:rPr>
              <w:t>maturities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as</w:t>
            </w:r>
          </w:p>
        </w:tc>
        <w:tc>
          <w:tcPr>
            <w:tcW w:w="740" w:type="dxa"/>
            <w:vAlign w:val="bottom"/>
          </w:tcPr>
          <w:p>
            <w:pPr>
              <w:ind w:left="140"/>
              <w:spacing w:after="0"/>
              <w:rPr>
                <w:sz w:val="20"/>
                <w:szCs w:val="20"/>
                <w:color w:val="auto"/>
              </w:rPr>
            </w:pPr>
            <w:r>
              <w:rPr>
                <w:rFonts w:ascii="Arial" w:cs="Arial" w:eastAsia="Arial" w:hAnsi="Arial"/>
                <w:sz w:val="18"/>
                <w:szCs w:val="18"/>
                <w:color w:val="auto"/>
                <w:w w:val="96"/>
              </w:rPr>
              <w:t>follows:</w:t>
            </w:r>
          </w:p>
        </w:tc>
      </w:tr>
      <w:tr>
        <w:trPr>
          <w:trHeight w:val="27"/>
        </w:trPr>
        <w:tc>
          <w:tcPr>
            <w:tcW w:w="16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10,502,575</w:t>
            </w:r>
          </w:p>
        </w:tc>
        <w:tc>
          <w:tcPr>
            <w:tcW w:w="740" w:type="dxa"/>
            <w:vAlign w:val="bottom"/>
          </w:tcPr>
          <w:p>
            <w:pPr>
              <w:spacing w:after="0"/>
              <w:rPr>
                <w:sz w:val="19"/>
                <w:szCs w:val="19"/>
                <w:color w:val="auto"/>
              </w:rPr>
            </w:pPr>
          </w:p>
        </w:tc>
      </w:tr>
      <w:tr>
        <w:trPr>
          <w:trHeight w:val="230"/>
        </w:trPr>
        <w:tc>
          <w:tcPr>
            <w:tcW w:w="2700" w:type="dxa"/>
            <w:vAlign w:val="bottom"/>
            <w:gridSpan w:val="3"/>
          </w:tcPr>
          <w:p>
            <w:pPr>
              <w:ind w:left="20"/>
              <w:spacing w:after="0"/>
              <w:rPr>
                <w:sz w:val="20"/>
                <w:szCs w:val="20"/>
                <w:color w:val="auto"/>
              </w:rPr>
            </w:pPr>
            <w:r>
              <w:rPr>
                <w:rFonts w:ascii="Arial" w:cs="Arial" w:eastAsia="Arial" w:hAnsi="Arial"/>
                <w:sz w:val="18"/>
                <w:szCs w:val="18"/>
                <w:color w:val="auto"/>
              </w:rPr>
              <w:t>Due between one and five years</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98,587,270</w:t>
            </w:r>
          </w:p>
        </w:tc>
        <w:tc>
          <w:tcPr>
            <w:tcW w:w="740" w:type="dxa"/>
            <w:vAlign w:val="bottom"/>
          </w:tcPr>
          <w:p>
            <w:pPr>
              <w:spacing w:after="0"/>
              <w:rPr>
                <w:sz w:val="19"/>
                <w:szCs w:val="19"/>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49,583,904</w:t>
            </w:r>
          </w:p>
        </w:tc>
        <w:tc>
          <w:tcPr>
            <w:tcW w:w="740" w:type="dxa"/>
            <w:vAlign w:val="bottom"/>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158,673,749</w:t>
            </w:r>
          </w:p>
        </w:tc>
        <w:tc>
          <w:tcPr>
            <w:tcW w:w="7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201"/>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2022</w:t>
            </w:r>
          </w:p>
        </w:tc>
      </w:tr>
      <w:tr>
        <w:trPr>
          <w:trHeight w:val="224"/>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281,802,062</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304,184,004</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44,896,661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45,512,275</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68,754,057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54,663,991</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395,452,780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404,360,270</w:t>
            </w: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22"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nine months ended September 30, 2023 and September 30, 2022:</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27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104,725,412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72,655,995</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311,459,076</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232,589,023</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Less: Dividends and undistributed</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earnings allocated to participating</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1,537,105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1,096,274</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4,636,523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3,563,605</w:t>
            </w:r>
          </w:p>
        </w:tc>
        <w:tc>
          <w:tcPr>
            <w:tcW w:w="0" w:type="dxa"/>
            <w:vAlign w:val="bottom"/>
          </w:tcPr>
          <w:p>
            <w:pPr>
              <w:spacing w:after="0"/>
              <w:rPr>
                <w:sz w:val="1"/>
                <w:szCs w:val="1"/>
                <w:color w:val="auto"/>
              </w:rPr>
            </w:pPr>
          </w:p>
        </w:tc>
      </w:tr>
      <w:tr>
        <w:trPr>
          <w:trHeight w:val="156"/>
        </w:trPr>
        <w:tc>
          <w:tcPr>
            <w:tcW w:w="3840" w:type="dxa"/>
            <w:vAlign w:val="bottom"/>
          </w:tcPr>
          <w:p>
            <w:pPr>
              <w:ind w:left="240"/>
              <w:spacing w:after="0" w:line="157" w:lineRule="exact"/>
              <w:rPr>
                <w:sz w:val="20"/>
                <w:szCs w:val="20"/>
                <w:color w:val="auto"/>
              </w:rPr>
            </w:pPr>
            <w:r>
              <w:rPr>
                <w:rFonts w:ascii="Arial" w:cs="Arial" w:eastAsia="Arial" w:hAnsi="Arial"/>
                <w:sz w:val="18"/>
                <w:szCs w:val="18"/>
                <w:color w:val="auto"/>
              </w:rPr>
              <w:t>Net Income available to common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103,188,307</w:t>
            </w:r>
          </w:p>
        </w:tc>
        <w:tc>
          <w:tcPr>
            <w:tcW w:w="8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71,559,721</w:t>
            </w:r>
          </w:p>
        </w:tc>
        <w:tc>
          <w:tcPr>
            <w:tcW w:w="1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306,822,553</w:t>
            </w:r>
          </w:p>
        </w:tc>
        <w:tc>
          <w:tcPr>
            <w:tcW w:w="14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229,025,418</w:t>
            </w:r>
          </w:p>
        </w:tc>
        <w:tc>
          <w:tcPr>
            <w:tcW w:w="0" w:type="dxa"/>
            <w:vAlign w:val="bottom"/>
          </w:tcPr>
          <w:p>
            <w:pPr>
              <w:spacing w:after="0"/>
              <w:rPr>
                <w:sz w:val="1"/>
                <w:szCs w:val="1"/>
                <w:color w:val="auto"/>
              </w:rPr>
            </w:pPr>
          </w:p>
        </w:tc>
      </w:tr>
      <w:tr>
        <w:trPr>
          <w:trHeight w:val="220"/>
        </w:trPr>
        <w:tc>
          <w:tcPr>
            <w:tcW w:w="3840" w:type="dxa"/>
            <w:vAlign w:val="bottom"/>
          </w:tcPr>
          <w:p>
            <w:pPr>
              <w:ind w:left="240"/>
              <w:spacing w:after="0"/>
              <w:rPr>
                <w:sz w:val="20"/>
                <w:szCs w:val="20"/>
                <w:color w:val="auto"/>
              </w:rPr>
            </w:pPr>
            <w:r>
              <w:rPr>
                <w:rFonts w:ascii="Arial" w:cs="Arial" w:eastAsia="Arial" w:hAnsi="Arial"/>
                <w:sz w:val="18"/>
                <w:szCs w:val="18"/>
                <w:color w:val="auto"/>
              </w:rPr>
              <w:t>shareholders</w:t>
            </w:r>
          </w:p>
        </w:tc>
        <w:tc>
          <w:tcPr>
            <w:tcW w:w="1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230,047,014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231,316,879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229,866,008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231,072,421</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240"/>
              <w:spacing w:after="0" w:line="176" w:lineRule="exact"/>
              <w:rPr>
                <w:sz w:val="20"/>
                <w:szCs w:val="20"/>
                <w:color w:val="auto"/>
              </w:rPr>
            </w:pPr>
            <w:r>
              <w:rPr>
                <w:rFonts w:ascii="Arial" w:cs="Arial" w:eastAsia="Arial" w:hAnsi="Arial"/>
                <w:sz w:val="18"/>
                <w:szCs w:val="18"/>
                <w:color w:val="auto"/>
              </w:rPr>
              <w:t>Allocation of Net Income used in basic</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840" w:type="dxa"/>
            <w:vAlign w:val="bottom"/>
          </w:tcPr>
          <w:p>
            <w:pPr>
              <w:ind w:left="240"/>
              <w:spacing w:after="0"/>
              <w:rPr>
                <w:sz w:val="20"/>
                <w:szCs w:val="20"/>
                <w:color w:val="auto"/>
              </w:rPr>
            </w:pPr>
            <w:r>
              <w:rPr>
                <w:rFonts w:ascii="Arial" w:cs="Arial" w:eastAsia="Arial" w:hAnsi="Arial"/>
                <w:sz w:val="18"/>
                <w:szCs w:val="18"/>
                <w:color w:val="auto"/>
              </w:rPr>
              <w:t>computation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103,188,307</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71,559,721</w:t>
            </w:r>
          </w:p>
        </w:tc>
        <w:tc>
          <w:tcPr>
            <w:tcW w:w="1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306,822,553</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229,025,418</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156"/>
        </w:trPr>
        <w:tc>
          <w:tcPr>
            <w:tcW w:w="3840" w:type="dxa"/>
            <w:vAlign w:val="bottom"/>
          </w:tcPr>
          <w:p>
            <w:pPr>
              <w:ind w:left="240"/>
              <w:spacing w:after="0" w:line="157" w:lineRule="exact"/>
              <w:rPr>
                <w:sz w:val="20"/>
                <w:szCs w:val="20"/>
                <w:color w:val="auto"/>
              </w:rPr>
            </w:pPr>
            <w:r>
              <w:rPr>
                <w:rFonts w:ascii="Arial" w:cs="Arial" w:eastAsia="Arial" w:hAnsi="Arial"/>
                <w:sz w:val="18"/>
                <w:szCs w:val="18"/>
                <w:color w:val="auto"/>
              </w:rPr>
              <w:t>Net Income available to common</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3840" w:type="dxa"/>
            <w:vAlign w:val="bottom"/>
          </w:tcPr>
          <w:p>
            <w:pPr>
              <w:ind w:left="240"/>
              <w:spacing w:after="0"/>
              <w:rPr>
                <w:sz w:val="20"/>
                <w:szCs w:val="20"/>
                <w:color w:val="auto"/>
              </w:rPr>
            </w:pPr>
            <w:r>
              <w:rPr>
                <w:rFonts w:ascii="Arial" w:cs="Arial" w:eastAsia="Arial" w:hAnsi="Arial"/>
                <w:sz w:val="18"/>
                <w:szCs w:val="18"/>
                <w:color w:val="auto"/>
              </w:rPr>
              <w:t>shareholders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103,190,285</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71,560,569</w:t>
            </w:r>
          </w:p>
        </w:tc>
        <w:tc>
          <w:tcPr>
            <w:tcW w:w="1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306,827,130</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229,029,830</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230,047,014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231,316,879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229,866,008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231,072,421</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Additional weighted average dilutive</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equivalents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410,397</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300,138</w:t>
            </w:r>
          </w:p>
        </w:tc>
        <w:tc>
          <w:tcPr>
            <w:tcW w:w="1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315,666</w:t>
            </w:r>
          </w:p>
        </w:tc>
        <w:tc>
          <w:tcPr>
            <w:tcW w:w="1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457,032</w:t>
            </w:r>
          </w:p>
        </w:tc>
        <w:tc>
          <w:tcPr>
            <w:tcW w:w="0" w:type="dxa"/>
            <w:vAlign w:val="bottom"/>
          </w:tcPr>
          <w:p>
            <w:pPr>
              <w:spacing w:after="0"/>
              <w:rPr>
                <w:sz w:val="1"/>
                <w:szCs w:val="1"/>
                <w:color w:val="auto"/>
              </w:rPr>
            </w:pPr>
          </w:p>
        </w:tc>
      </w:tr>
      <w:tr>
        <w:trPr>
          <w:trHeight w:val="156"/>
        </w:trPr>
        <w:tc>
          <w:tcPr>
            <w:tcW w:w="3840" w:type="dxa"/>
            <w:vAlign w:val="bottom"/>
          </w:tcPr>
          <w:p>
            <w:pPr>
              <w:ind w:left="240"/>
              <w:spacing w:after="0" w:line="157" w:lineRule="exact"/>
              <w:rPr>
                <w:sz w:val="20"/>
                <w:szCs w:val="20"/>
                <w:color w:val="auto"/>
              </w:rPr>
            </w:pPr>
            <w:r>
              <w:rPr>
                <w:rFonts w:ascii="Arial" w:cs="Arial" w:eastAsia="Arial" w:hAnsi="Arial"/>
                <w:sz w:val="18"/>
                <w:szCs w:val="18"/>
                <w:color w:val="auto"/>
              </w:rPr>
              <w:t>Diluted weighted average shares</w:t>
            </w:r>
          </w:p>
        </w:tc>
        <w:tc>
          <w:tcPr>
            <w:tcW w:w="1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230,457,411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231,617,017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230,181,674</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231,529,453</w:t>
            </w:r>
          </w:p>
        </w:tc>
        <w:tc>
          <w:tcPr>
            <w:tcW w:w="0" w:type="dxa"/>
            <w:vAlign w:val="bottom"/>
          </w:tcPr>
          <w:p>
            <w:pPr>
              <w:spacing w:after="0"/>
              <w:rPr>
                <w:sz w:val="1"/>
                <w:szCs w:val="1"/>
                <w:color w:val="auto"/>
              </w:rPr>
            </w:pPr>
          </w:p>
        </w:tc>
      </w:tr>
      <w:tr>
        <w:trPr>
          <w:trHeight w:val="215"/>
        </w:trPr>
        <w:tc>
          <w:tcPr>
            <w:tcW w:w="3840" w:type="dxa"/>
            <w:vAlign w:val="bottom"/>
          </w:tcPr>
          <w:p>
            <w:pPr>
              <w:ind w:left="240"/>
              <w:spacing w:after="0"/>
              <w:rPr>
                <w:sz w:val="20"/>
                <w:szCs w:val="20"/>
                <w:color w:val="auto"/>
              </w:rPr>
            </w:pPr>
            <w:r>
              <w:rPr>
                <w:rFonts w:ascii="Arial" w:cs="Arial" w:eastAsia="Arial" w:hAnsi="Arial"/>
                <w:sz w:val="18"/>
                <w:szCs w:val="18"/>
                <w:color w:val="auto"/>
              </w:rPr>
              <w:t>outstanding</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20"/>
              <w:spacing w:after="0" w:line="176" w:lineRule="exact"/>
              <w:rPr>
                <w:sz w:val="20"/>
                <w:szCs w:val="20"/>
                <w:color w:val="auto"/>
              </w:rPr>
            </w:pPr>
            <w:r>
              <w:rPr>
                <w:rFonts w:ascii="Arial" w:cs="Arial" w:eastAsia="Arial" w:hAnsi="Arial"/>
                <w:sz w:val="18"/>
                <w:szCs w:val="18"/>
                <w:color w:val="auto"/>
              </w:rPr>
              <w:t>Shares related to stock plans not included in</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0"/>
              <w:spacing w:after="0" w:line="189" w:lineRule="exact"/>
              <w:rPr>
                <w:sz w:val="20"/>
                <w:szCs w:val="20"/>
                <w:color w:val="auto"/>
              </w:rPr>
            </w:pPr>
            <w:r>
              <w:rPr>
                <w:rFonts w:ascii="Arial" w:cs="Arial" w:eastAsia="Arial" w:hAnsi="Arial"/>
                <w:sz w:val="18"/>
                <w:szCs w:val="18"/>
                <w:color w:val="auto"/>
              </w:rPr>
              <w:t>diluted average common shares outstanding</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because their effect would be anti-dilutive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1,384,066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2,456,463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1,410,341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1,526,986</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44"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As of September 30, 2023,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1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2022, for additional information related to the Prior Plans.</w:t>
      </w:r>
    </w:p>
    <w:p>
      <w:pPr>
        <w:spacing w:after="0" w:line="93" w:lineRule="exact"/>
        <w:rPr>
          <w:sz w:val="20"/>
          <w:szCs w:val="20"/>
          <w:color w:val="auto"/>
        </w:rPr>
      </w:pPr>
    </w:p>
    <w:p>
      <w:pPr>
        <w:jc w:val="both"/>
        <w:ind w:left="4"/>
        <w:spacing w:after="0" w:line="258" w:lineRule="auto"/>
        <w:rPr>
          <w:sz w:val="20"/>
          <w:szCs w:val="20"/>
          <w:color w:val="auto"/>
        </w:rPr>
      </w:pPr>
      <w:r>
        <w:rPr>
          <w:rFonts w:ascii="Arial" w:cs="Arial" w:eastAsia="Arial" w:hAnsi="Arial"/>
          <w:sz w:val="18"/>
          <w:szCs w:val="18"/>
          <w:color w:val="auto"/>
        </w:rPr>
        <w:t>The Company recognized total compensation expense for share-based payments of $10,948,031 and $29,212,236 for the three and nine months ended September 30, 2023, respectively. The Company recognized compensation expense for share-based payments of $7,611,546 and $ 22,973,113 for the three and nine months ended September 30, 2022, respectively. A portion of the compensation cost for share based payment awards is capitalized as part of inventory.</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62"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The purpose of the 2019 Omnibus Plan is to attract and retain employees, officers, and directors of the Company and its subsidiaries and to motivate and provide such persons incentives and rewards for performance. Pursuant to the terms of the 2019 Omnibus Plan, each type of award counts against the available shares based on a predetermined conversion rate (shown in the table below). As of September 30, 2023, 9,733,895 share awards have been made under the Plan, resulting in 24,797,549 shares granted of the 45,000,000 total shares available to be issued under the Plan. The shares issued are presented net of shares from canceled/expired options and shares.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9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Pr>
          <w:p>
            <w:pPr>
              <w:spacing w:after="0"/>
              <w:rPr>
                <w:sz w:val="14"/>
                <w:szCs w:val="14"/>
                <w:color w:val="auto"/>
              </w:rPr>
            </w:pPr>
          </w:p>
        </w:tc>
        <w:tc>
          <w:tcPr>
            <w:tcW w:w="196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vMerge w:val="restart"/>
          </w:tcPr>
          <w:p>
            <w:pPr>
              <w:spacing w:after="0"/>
              <w:rPr>
                <w:sz w:val="14"/>
                <w:szCs w:val="14"/>
                <w:color w:val="auto"/>
              </w:rPr>
            </w:pPr>
          </w:p>
        </w:tc>
        <w:tc>
          <w:tcPr>
            <w:tcW w:w="19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4,811,132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4,811,132</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tcPr>
          <w:p>
            <w:pPr>
              <w:jc w:val="right"/>
              <w:spacing w:after="0"/>
              <w:rPr>
                <w:sz w:val="20"/>
                <w:szCs w:val="20"/>
                <w:color w:val="auto"/>
              </w:rPr>
            </w:pPr>
            <w:r>
              <w:rPr>
                <w:rFonts w:ascii="Arial" w:cs="Arial" w:eastAsia="Arial" w:hAnsi="Arial"/>
                <w:sz w:val="18"/>
                <w:szCs w:val="18"/>
                <w:color w:val="auto"/>
              </w:rPr>
              <w:t>4,056,891</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16,470,977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865,872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3,515,440</w:t>
            </w:r>
          </w:p>
        </w:tc>
        <w:tc>
          <w:tcPr>
            <w:tcW w:w="0" w:type="dxa"/>
            <w:vAlign w:val="bottom"/>
          </w:tcPr>
          <w:p>
            <w:pPr>
              <w:spacing w:after="0"/>
              <w:rPr>
                <w:sz w:val="1"/>
                <w:szCs w:val="1"/>
                <w:color w:val="auto"/>
              </w:rPr>
            </w:pPr>
          </w:p>
        </w:tc>
      </w:tr>
      <w:tr>
        <w:trPr>
          <w:trHeight w:val="223"/>
        </w:trPr>
        <w:tc>
          <w:tcPr>
            <w:tcW w:w="3880" w:type="dxa"/>
            <w:vAlign w:val="bottom"/>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9,733,895</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24,797,549</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58" w:lineRule="exact"/>
        <w:rPr>
          <w:sz w:val="20"/>
          <w:szCs w:val="20"/>
          <w:color w:val="auto"/>
        </w:rPr>
      </w:pPr>
    </w:p>
    <w:p>
      <w:pPr>
        <w:jc w:val="both"/>
        <w:ind w:left="4"/>
        <w:spacing w:after="0" w:line="258"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September 30, 2023, there was $8,461,373 of unearned compensation cost associated with stock options granted under the 2019 Omnibus Incentive Plan and the Employee Stock Option Plan, which is expected to be recognized over the remaining vesting periods.</w:t>
      </w:r>
    </w:p>
    <w:p>
      <w:pPr>
        <w:spacing w:after="0" w:line="122" w:lineRule="exact"/>
        <w:rPr>
          <w:sz w:val="20"/>
          <w:szCs w:val="20"/>
          <w:color w:val="auto"/>
        </w:rPr>
      </w:pPr>
    </w:p>
    <w:p>
      <w:pPr>
        <w:ind w:left="4" w:right="740"/>
        <w:spacing w:after="0" w:line="275"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33" w:lineRule="exact"/>
        <w:rPr>
          <w:sz w:val="20"/>
          <w:szCs w:val="20"/>
          <w:color w:val="auto"/>
        </w:rPr>
      </w:pPr>
    </w:p>
    <w:tbl>
      <w:tblPr>
        <w:tblLayout w:type="fixed"/>
        <w:tblInd w:w="4" w:type="dxa"/>
        <w:tblCellMar>
          <w:top w:w="0" w:type="dxa"/>
          <w:left w:w="0" w:type="dxa"/>
          <w:bottom w:w="0" w:type="dxa"/>
          <w:right w:w="0" w:type="dxa"/>
        </w:tblCellMar>
      </w:tblPr>
      <w:tr>
        <w:trPr>
          <w:trHeight w:val="201"/>
        </w:trPr>
        <w:tc>
          <w:tcPr>
            <w:tcW w:w="3340" w:type="dxa"/>
            <w:vAlign w:val="bottom"/>
          </w:tcPr>
          <w:p>
            <w:pPr>
              <w:spacing w:after="0"/>
              <w:rPr>
                <w:sz w:val="17"/>
                <w:szCs w:val="17"/>
                <w:color w:val="auto"/>
              </w:rPr>
            </w:pPr>
          </w:p>
        </w:tc>
        <w:tc>
          <w:tcPr>
            <w:tcW w:w="328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18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34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24"/>
        </w:trPr>
        <w:tc>
          <w:tcPr>
            <w:tcW w:w="33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30"/>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28.66 %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29.02 %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28.89 %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28.62 %</w:t>
            </w:r>
          </w:p>
        </w:tc>
      </w:tr>
      <w:tr>
        <w:trPr>
          <w:trHeight w:val="230"/>
        </w:trPr>
        <w:tc>
          <w:tcPr>
            <w:tcW w:w="3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r>
      <w:tr>
        <w:trPr>
          <w:trHeight w:val="230"/>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15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bl>
    <w:p>
      <w:pPr>
        <w:spacing w:after="0" w:line="53" w:lineRule="exact"/>
        <w:rPr>
          <w:sz w:val="20"/>
          <w:szCs w:val="20"/>
          <w:color w:val="auto"/>
        </w:rPr>
      </w:pPr>
    </w:p>
    <w:p>
      <w:pPr>
        <w:ind w:left="324" w:hanging="324"/>
        <w:spacing w:after="0"/>
        <w:tabs>
          <w:tab w:leader="none" w:pos="324"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estimated cash dividend yield over the expected term of option grant.</w:t>
      </w:r>
    </w:p>
    <w:p>
      <w:pPr>
        <w:spacing w:after="0" w:line="3" w:lineRule="exact"/>
        <w:rPr>
          <w:rFonts w:ascii="Arial" w:cs="Arial" w:eastAsia="Arial" w:hAnsi="Arial"/>
          <w:sz w:val="19"/>
          <w:szCs w:val="19"/>
          <w:color w:val="auto"/>
          <w:vertAlign w:val="superscript"/>
        </w:rPr>
      </w:pPr>
    </w:p>
    <w:p>
      <w:pPr>
        <w:ind w:left="324" w:right="260" w:hanging="324"/>
        <w:spacing w:after="0" w:line="211" w:lineRule="auto"/>
        <w:tabs>
          <w:tab w:leader="none" w:pos="321"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324" w:hanging="324"/>
        <w:spacing w:after="0"/>
        <w:tabs>
          <w:tab w:leader="none" w:pos="324"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the U.S. Treasury yield over the expected term of the option grant.</w:t>
      </w:r>
    </w:p>
    <w:p>
      <w:pPr>
        <w:spacing w:after="0" w:line="14" w:lineRule="exact"/>
        <w:rPr>
          <w:rFonts w:ascii="Arial" w:cs="Arial" w:eastAsia="Arial" w:hAnsi="Arial"/>
          <w:sz w:val="9"/>
          <w:szCs w:val="9"/>
          <w:color w:val="auto"/>
        </w:rPr>
      </w:pPr>
    </w:p>
    <w:p>
      <w:pPr>
        <w:ind w:left="324" w:right="20" w:hanging="324"/>
        <w:spacing w:after="0" w:line="221" w:lineRule="auto"/>
        <w:tabs>
          <w:tab w:leader="none" w:pos="321"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ectPr>
          <w:pgSz w:w="11900" w:h="16838" w:orient="portrait"/>
          <w:cols w:equalWidth="0" w:num="1">
            <w:col w:w="10584"/>
          </w:cols>
          <w:pgMar w:left="976"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384"/>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0" w:right="339" w:bottom="1440" w:gutter="0" w:footer="0" w:header="0"/>
          <w:type w:val="continuous"/>
        </w:sectPr>
      </w:pPr>
    </w:p>
    <w:bookmarkStart w:id="16" w:name="page17"/>
    <w:bookmarkEnd w:id="16"/>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September 30, 2023, the Company had unearned stock-based compensation of $46,555,320 associated with the restricted stock grants issued under the 2019 Omnibus Plan and the Second Restricted Stock Plan. The unearned stock-based compensation related to these grants is being amortized to compensation expense over the applicable restriction periods. Compensation expense from restricted stock grants in the three and nine months ended September 30, 2023 was $6,369,348 and $18,178,157, respectively. Compensation expense from restricted stock grants in the three and nine months ended September 30, 2022 was $5,504,462 and $16,130,339,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2023, the Company had unearned stock-based compensation of $18,288,329 associated with these performance share grants. The unearned stock-based compensation related to these grants is being amortized to compensation expense over the applicable performance periods. Compensation expense related to these performance share grants in the three and nine months ended September 30, 2023 was $2,463,158 and $4,600,386, respectively. Compensation expense related to these performance share grants in the three and nine months ended September 30, 2022 was $308,812 and $1,431,018, respectively.</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 peer group. The grant date fair value of PSAs with TSR targets was determined using a Monte Carlo simulation. Compensation expense related to these retention grants in the three and nine months ended September 30, 2023 was $441,115 and $1,082,333,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Prior to July 1, 2022, the Company had in place an employee stock purchase plan covering 2,000,000 shares of common stock. Under that plan, the Company sold shares at 85% of the stock’s market price at date of purchase. Under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the 15% discounted value was recognized as compensation expense. As of September 30, 2023,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issued 1,624,122 shares under this prior plan.</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May 2022, the 2022 Gentex Corporation Employee Stock Purchase Plan covering 2,000,000 shares of common stock was approved by shareholders replacing the above referenced prior plan effective July 1, 2022. Under the plan, the Company sells shares at 85% of the stock's market price at date of purchase. Under ASC 718, the 15% discounted value is recognized as compensation expense. As of September 30, 2023, the Company has issued 250,369 shares under this plan.</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Comprehensive Income (Loss)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pacing w:after="0" w:line="211"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The following table presents the net changes in the Company's accumulated other comprehensive loss by component (all amounts shown are net of tax):</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28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33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(5,609,783)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(3,107,157)</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(4,032,239)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920,589</w:t>
            </w:r>
          </w:p>
        </w:tc>
        <w:tc>
          <w:tcPr>
            <w:tcW w:w="0" w:type="dxa"/>
            <w:vAlign w:val="bottom"/>
          </w:tcPr>
          <w:p>
            <w:pPr>
              <w:spacing w:after="0"/>
              <w:rPr>
                <w:sz w:val="1"/>
                <w:szCs w:val="1"/>
                <w:color w:val="auto"/>
              </w:rPr>
            </w:pPr>
          </w:p>
        </w:tc>
      </w:tr>
      <w:tr>
        <w:trPr>
          <w:trHeight w:val="176"/>
        </w:trPr>
        <w:tc>
          <w:tcPr>
            <w:tcW w:w="33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(loss) income</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before reclassifications</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(717,457)</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17,751,603</w:t>
            </w: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(2,295,001)</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13,723,857</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(717,457)</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17,751,603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(2,295,001)</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13,723,857</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(6,327,240)</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14,644,446</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(6,327,240)</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14,644,446</w:t>
            </w:r>
          </w:p>
        </w:tc>
        <w:tc>
          <w:tcPr>
            <w:tcW w:w="0" w:type="dxa"/>
            <w:vAlign w:val="bottom"/>
          </w:tcPr>
          <w:p>
            <w:pPr>
              <w:spacing w:after="0"/>
              <w:rPr>
                <w:sz w:val="1"/>
                <w:szCs w:val="1"/>
                <w:color w:val="auto"/>
              </w:rPr>
            </w:pPr>
          </w:p>
        </w:tc>
      </w:tr>
      <w:tr>
        <w:trPr>
          <w:trHeight w:val="88"/>
        </w:trPr>
        <w:tc>
          <w:tcPr>
            <w:tcW w:w="3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Unrealized (losses) gains on available-</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for-sale debt securities: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(7,632,985)</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(7,848,722)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(10,110,695)</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1,006,655</w:t>
            </w:r>
          </w:p>
        </w:tc>
        <w:tc>
          <w:tcPr>
            <w:tcW w:w="0" w:type="dxa"/>
            <w:vAlign w:val="bottom"/>
          </w:tcPr>
          <w:p>
            <w:pPr>
              <w:spacing w:after="0"/>
              <w:rPr>
                <w:sz w:val="1"/>
                <w:szCs w:val="1"/>
                <w:color w:val="auto"/>
              </w:rPr>
            </w:pPr>
          </w:p>
        </w:tc>
      </w:tr>
      <w:tr>
        <w:trPr>
          <w:trHeight w:val="176"/>
        </w:trPr>
        <w:tc>
          <w:tcPr>
            <w:tcW w:w="33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(loss) income</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before reclassifications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(1,293,419)</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(3,714,578)</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(468,359)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(13,042,231)</w:t>
            </w:r>
          </w:p>
        </w:tc>
        <w:tc>
          <w:tcPr>
            <w:tcW w:w="0" w:type="dxa"/>
            <w:vAlign w:val="bottom"/>
          </w:tcPr>
          <w:p>
            <w:pPr>
              <w:spacing w:after="0"/>
              <w:rPr>
                <w:sz w:val="1"/>
                <w:szCs w:val="1"/>
                <w:color w:val="auto"/>
              </w:rPr>
            </w:pPr>
          </w:p>
        </w:tc>
      </w:tr>
      <w:tr>
        <w:trPr>
          <w:trHeight w:val="176"/>
        </w:trPr>
        <w:tc>
          <w:tcPr>
            <w:tcW w:w="3380" w:type="dxa"/>
            <w:vAlign w:val="bottom"/>
          </w:tcPr>
          <w:p>
            <w:pPr>
              <w:ind w:left="240"/>
              <w:spacing w:after="0" w:line="176" w:lineRule="exact"/>
              <w:rPr>
                <w:sz w:val="20"/>
                <w:szCs w:val="20"/>
                <w:color w:val="auto"/>
              </w:rPr>
            </w:pPr>
            <w:r>
              <w:rPr>
                <w:rFonts w:ascii="Arial" w:cs="Arial" w:eastAsia="Arial" w:hAnsi="Arial"/>
                <w:sz w:val="18"/>
                <w:szCs w:val="18"/>
                <w:color w:val="auto"/>
              </w:rPr>
              <w:t>Amounts reclassified from</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Pr>
          <w:p>
            <w:pPr>
              <w:ind w:left="240"/>
              <w:spacing w:after="0" w:line="189" w:lineRule="exact"/>
              <w:rPr>
                <w:sz w:val="20"/>
                <w:szCs w:val="20"/>
                <w:color w:val="auto"/>
              </w:rPr>
            </w:pPr>
            <w:r>
              <w:rPr>
                <w:rFonts w:ascii="Arial" w:cs="Arial" w:eastAsia="Arial" w:hAnsi="Arial"/>
                <w:sz w:val="18"/>
                <w:szCs w:val="18"/>
                <w:color w:val="auto"/>
              </w:rPr>
              <w:t>accumulated other comprehensive</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1,580,904</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204,811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3,233,554</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677,087</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287,485</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(3,509,767)</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2,765,195</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(12,365,144)</w:t>
            </w:r>
          </w:p>
        </w:tc>
        <w:tc>
          <w:tcPr>
            <w:tcW w:w="0" w:type="dxa"/>
            <w:vAlign w:val="bottom"/>
          </w:tcPr>
          <w:p>
            <w:pPr>
              <w:spacing w:after="0"/>
              <w:rPr>
                <w:sz w:val="1"/>
                <w:szCs w:val="1"/>
                <w:color w:val="auto"/>
              </w:rPr>
            </w:pPr>
          </w:p>
        </w:tc>
      </w:tr>
      <w:tr>
        <w:trPr>
          <w:trHeight w:val="262"/>
        </w:trPr>
        <w:tc>
          <w:tcPr>
            <w:tcW w:w="3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(7,345,500)</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(11,358,489)</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(7,345,500)</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(11,358,489)</w:t>
            </w:r>
          </w:p>
        </w:tc>
        <w:tc>
          <w:tcPr>
            <w:tcW w:w="0" w:type="dxa"/>
            <w:vAlign w:val="bottom"/>
          </w:tcPr>
          <w:p>
            <w:pPr>
              <w:spacing w:after="0"/>
              <w:rPr>
                <w:sz w:val="1"/>
                <w:szCs w:val="1"/>
                <w:color w:val="auto"/>
              </w:rPr>
            </w:pPr>
          </w:p>
        </w:tc>
      </w:tr>
      <w:tr>
        <w:trPr>
          <w:trHeight w:val="176"/>
        </w:trPr>
        <w:tc>
          <w:tcPr>
            <w:tcW w:w="338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Accumulated other comprehensive (loss)</w:t>
            </w:r>
          </w:p>
        </w:tc>
        <w:tc>
          <w:tcPr>
            <w:tcW w:w="220" w:type="dxa"/>
            <w:vAlign w:val="bottom"/>
            <w:tcBorders>
              <w:top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(13,672,740)</w:t>
            </w:r>
          </w:p>
        </w:tc>
        <w:tc>
          <w:tcPr>
            <w:tcW w:w="300" w:type="dxa"/>
            <w:vAlign w:val="bottom"/>
            <w:tcBorders>
              <w:top w:val="single" w:sz="8" w:color="CCEEFF"/>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3,285,957</w:t>
            </w: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(13,672,740)</w:t>
            </w:r>
          </w:p>
        </w:tc>
        <w:tc>
          <w:tcPr>
            <w:tcW w:w="280" w:type="dxa"/>
            <w:vAlign w:val="bottom"/>
            <w:tcBorders>
              <w:top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3,285,957</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8"/>
                <w:szCs w:val="18"/>
                <w:color w:val="auto"/>
              </w:rPr>
              <w:t>income, end of period</w:t>
            </w:r>
          </w:p>
        </w:tc>
        <w:tc>
          <w:tcPr>
            <w:tcW w:w="2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60" w:right="180"/>
        <w:spacing w:after="0" w:line="275" w:lineRule="auto"/>
        <w:rPr>
          <w:sz w:val="20"/>
          <w:szCs w:val="20"/>
          <w:color w:val="auto"/>
        </w:rPr>
      </w:pPr>
      <w:r>
        <w:rPr>
          <w:rFonts w:ascii="Arial" w:cs="Arial" w:eastAsia="Arial" w:hAnsi="Arial"/>
          <w:sz w:val="18"/>
          <w:szCs w:val="18"/>
          <w:color w:val="auto"/>
        </w:rPr>
        <w:t>The following table presents details of reclassifications out of accumulated other comprehensive loss for the three and nine months ended September 30, 2023 and 2022:</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540" w:type="dxa"/>
            <w:vAlign w:val="bottom"/>
          </w:tcPr>
          <w:p>
            <w:pPr>
              <w:jc w:val="center"/>
              <w:ind w:right="12"/>
              <w:spacing w:after="0"/>
              <w:rPr>
                <w:sz w:val="20"/>
                <w:szCs w:val="20"/>
                <w:color w:val="auto"/>
              </w:rPr>
            </w:pPr>
            <w:r>
              <w:rPr>
                <w:rFonts w:ascii="Arial" w:cs="Arial" w:eastAsia="Arial" w:hAnsi="Arial"/>
                <w:sz w:val="16"/>
                <w:szCs w:val="16"/>
                <w:b w:val="1"/>
                <w:bCs w:val="1"/>
                <w:color w:val="auto"/>
              </w:rPr>
              <w:t>Details about 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tcPr>
          <w:p>
            <w:pPr>
              <w:jc w:val="center"/>
              <w:ind w:left="35"/>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62"/>
        </w:trPr>
        <w:tc>
          <w:tcPr>
            <w:tcW w:w="2540" w:type="dxa"/>
            <w:vAlign w:val="bottom"/>
          </w:tcPr>
          <w:p>
            <w:pPr>
              <w:jc w:val="center"/>
              <w:ind w:right="12"/>
              <w:spacing w:after="0" w:line="162" w:lineRule="exact"/>
              <w:rPr>
                <w:sz w:val="20"/>
                <w:szCs w:val="20"/>
                <w:color w:val="auto"/>
              </w:rPr>
            </w:pPr>
            <w:r>
              <w:rPr>
                <w:rFonts w:ascii="Arial" w:cs="Arial" w:eastAsia="Arial" w:hAnsi="Arial"/>
                <w:sz w:val="16"/>
                <w:szCs w:val="16"/>
                <w:b w:val="1"/>
                <w:bCs w:val="1"/>
                <w:color w:val="auto"/>
              </w:rPr>
              <w:t>Other Comprehensive Loss</w:t>
            </w:r>
          </w:p>
        </w:tc>
        <w:tc>
          <w:tcPr>
            <w:tcW w:w="120" w:type="dxa"/>
            <w:vAlign w:val="bottom"/>
          </w:tcPr>
          <w:p>
            <w:pPr>
              <w:spacing w:after="0"/>
              <w:rPr>
                <w:sz w:val="14"/>
                <w:szCs w:val="14"/>
                <w:color w:val="auto"/>
              </w:rPr>
            </w:pPr>
          </w:p>
        </w:tc>
        <w:tc>
          <w:tcPr>
            <w:tcW w:w="4980" w:type="dxa"/>
            <w:vAlign w:val="bottom"/>
            <w:gridSpan w:val="8"/>
            <w:vMerge w:val="restart"/>
          </w:tcPr>
          <w:p>
            <w:pPr>
              <w:jc w:val="right"/>
              <w:ind w:right="341"/>
              <w:spacing w:after="0"/>
              <w:rPr>
                <w:sz w:val="20"/>
                <w:szCs w:val="20"/>
                <w:color w:val="auto"/>
              </w:rPr>
            </w:pPr>
            <w:r>
              <w:rPr>
                <w:rFonts w:ascii="Arial" w:cs="Arial" w:eastAsia="Arial" w:hAnsi="Arial"/>
                <w:sz w:val="16"/>
                <w:szCs w:val="16"/>
                <w:b w:val="1"/>
                <w:bCs w:val="1"/>
                <w:color w:val="auto"/>
              </w:rPr>
              <w:t>Amounts Reclassified from Other Comprehensive Loss</w:t>
            </w:r>
          </w:p>
        </w:tc>
        <w:tc>
          <w:tcPr>
            <w:tcW w:w="2160" w:type="dxa"/>
            <w:vAlign w:val="bottom"/>
          </w:tcPr>
          <w:p>
            <w:pPr>
              <w:jc w:val="center"/>
              <w:ind w:left="15"/>
              <w:spacing w:after="0" w:line="162" w:lineRule="exact"/>
              <w:rPr>
                <w:sz w:val="20"/>
                <w:szCs w:val="20"/>
                <w:color w:val="auto"/>
              </w:rPr>
            </w:pPr>
            <w:r>
              <w:rPr>
                <w:rFonts w:ascii="Arial" w:cs="Arial" w:eastAsia="Arial" w:hAnsi="Arial"/>
                <w:sz w:val="16"/>
                <w:szCs w:val="16"/>
                <w:b w:val="1"/>
                <w:bCs w:val="1"/>
                <w:color w:val="auto"/>
              </w:rPr>
              <w:t>Consolidated Statements</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rPr>
              <w:t>Components</w:t>
            </w:r>
          </w:p>
        </w:tc>
        <w:tc>
          <w:tcPr>
            <w:tcW w:w="12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gridSpan w:val="8"/>
            <w:vMerge w:val="continue"/>
          </w:tcPr>
          <w:p>
            <w:pPr>
              <w:spacing w:after="0"/>
              <w:rPr>
                <w:sz w:val="18"/>
                <w:szCs w:val="18"/>
                <w:color w:val="auto"/>
              </w:rPr>
            </w:pPr>
          </w:p>
        </w:tc>
        <w:tc>
          <w:tcPr>
            <w:tcW w:w="2160" w:type="dxa"/>
            <w:vAlign w:val="bottom"/>
            <w:tcBorders>
              <w:bottom w:val="single" w:sz="8" w:color="auto"/>
            </w:tcBorders>
          </w:tcPr>
          <w:p>
            <w:pPr>
              <w:jc w:val="center"/>
              <w:ind w:left="15"/>
              <w:spacing w:after="0"/>
              <w:rPr>
                <w:sz w:val="20"/>
                <w:szCs w:val="20"/>
                <w:color w:val="auto"/>
              </w:rPr>
            </w:pPr>
            <w:r>
              <w:rPr>
                <w:rFonts w:ascii="Arial" w:cs="Arial" w:eastAsia="Arial" w:hAnsi="Arial"/>
                <w:sz w:val="16"/>
                <w:szCs w:val="16"/>
                <w:b w:val="1"/>
                <w:bCs w:val="1"/>
                <w:color w:val="auto"/>
              </w:rPr>
              <w:t>of Income</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Three Months Ended September</w:t>
            </w:r>
          </w:p>
        </w:tc>
        <w:tc>
          <w:tcPr>
            <w:tcW w:w="24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30,</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vMerge w:val="continue"/>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2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5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Unrealized gains (losses) on</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available-for-sale debt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240"/>
              <w:spacing w:after="0" w:line="176" w:lineRule="exact"/>
              <w:rPr>
                <w:sz w:val="20"/>
                <w:szCs w:val="20"/>
                <w:color w:val="auto"/>
              </w:rPr>
            </w:pPr>
            <w:r>
              <w:rPr>
                <w:rFonts w:ascii="Arial" w:cs="Arial" w:eastAsia="Arial" w:hAnsi="Arial"/>
                <w:sz w:val="18"/>
                <w:szCs w:val="18"/>
                <w:color w:val="auto"/>
              </w:rPr>
              <w:t>Realized gain (loss) on</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540" w:type="dxa"/>
            <w:vAlign w:val="bottom"/>
          </w:tcPr>
          <w:p>
            <w:pPr>
              <w:ind w:left="240"/>
              <w:spacing w:after="0"/>
              <w:rPr>
                <w:sz w:val="20"/>
                <w:szCs w:val="20"/>
                <w:color w:val="auto"/>
              </w:rPr>
            </w:pPr>
            <w:r>
              <w:rPr>
                <w:rFonts w:ascii="Arial" w:cs="Arial" w:eastAsia="Arial" w:hAnsi="Arial"/>
                <w:sz w:val="18"/>
                <w:szCs w:val="18"/>
                <w:color w:val="auto"/>
              </w:rPr>
              <w:t>sale of securities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(2,001,144)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(259,254)</w:t>
            </w:r>
          </w:p>
        </w:tc>
        <w:tc>
          <w:tcPr>
            <w:tcW w:w="140" w:type="dxa"/>
            <w:vAlign w:val="bottom"/>
          </w:tcPr>
          <w:p>
            <w:pPr>
              <w:spacing w:after="0"/>
              <w:rPr>
                <w:sz w:val="21"/>
                <w:szCs w:val="21"/>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(4,093,106)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center"/>
              <w:ind w:left="141"/>
              <w:spacing w:after="0"/>
              <w:rPr>
                <w:sz w:val="20"/>
                <w:szCs w:val="20"/>
                <w:color w:val="auto"/>
              </w:rPr>
            </w:pPr>
            <w:r>
              <w:rPr>
                <w:rFonts w:ascii="Arial" w:cs="Arial" w:eastAsia="Arial" w:hAnsi="Arial"/>
                <w:sz w:val="16"/>
                <w:szCs w:val="16"/>
                <w:color w:val="auto"/>
              </w:rPr>
              <w:t>(857,072)</w:t>
            </w:r>
          </w:p>
        </w:tc>
        <w:tc>
          <w:tcPr>
            <w:tcW w:w="2160" w:type="dxa"/>
            <w:vAlign w:val="bottom"/>
          </w:tcPr>
          <w:p>
            <w:pPr>
              <w:ind w:left="120"/>
              <w:spacing w:after="0"/>
              <w:rPr>
                <w:sz w:val="20"/>
                <w:szCs w:val="20"/>
                <w:color w:val="auto"/>
              </w:rPr>
            </w:pPr>
            <w:r>
              <w:rPr>
                <w:rFonts w:ascii="Arial" w:cs="Arial" w:eastAsia="Arial" w:hAnsi="Arial"/>
                <w:sz w:val="18"/>
                <w:szCs w:val="18"/>
                <w:color w:val="auto"/>
              </w:rPr>
              <w:t>Investment income</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1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Provision for income</w:t>
            </w:r>
          </w:p>
        </w:tc>
        <w:tc>
          <w:tcPr>
            <w:tcW w:w="0" w:type="dxa"/>
            <w:vAlign w:val="bottom"/>
          </w:tcPr>
          <w:p>
            <w:pPr>
              <w:spacing w:after="0"/>
              <w:rPr>
                <w:sz w:val="1"/>
                <w:szCs w:val="1"/>
                <w:color w:val="auto"/>
              </w:rPr>
            </w:pPr>
          </w:p>
        </w:tc>
      </w:tr>
      <w:tr>
        <w:trPr>
          <w:trHeight w:val="242"/>
        </w:trPr>
        <w:tc>
          <w:tcPr>
            <w:tcW w:w="2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420,240</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54,443</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859,552</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left="141"/>
              <w:spacing w:after="0"/>
              <w:rPr>
                <w:sz w:val="20"/>
                <w:szCs w:val="20"/>
                <w:color w:val="auto"/>
              </w:rPr>
            </w:pPr>
            <w:r>
              <w:rPr>
                <w:rFonts w:ascii="Arial" w:cs="Arial" w:eastAsia="Arial" w:hAnsi="Arial"/>
                <w:sz w:val="16"/>
                <w:szCs w:val="16"/>
                <w:color w:val="auto"/>
              </w:rPr>
              <w:t>179,985</w:t>
            </w:r>
          </w:p>
        </w:tc>
        <w:tc>
          <w:tcPr>
            <w:tcW w:w="2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line="157" w:lineRule="exact"/>
              <w:rPr>
                <w:sz w:val="20"/>
                <w:szCs w:val="20"/>
                <w:color w:val="auto"/>
              </w:rPr>
            </w:pPr>
            <w:r>
              <w:rPr>
                <w:rFonts w:ascii="Arial" w:cs="Arial" w:eastAsia="Arial" w:hAnsi="Arial"/>
                <w:sz w:val="18"/>
                <w:szCs w:val="18"/>
                <w:color w:val="auto"/>
              </w:rPr>
              <w:t>Total net reclassifications for</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8"/>
                <w:szCs w:val="18"/>
                <w:color w:val="auto"/>
              </w:rPr>
              <w:t>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(1,580,904)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(204,811)</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(3,233,554)</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center"/>
              <w:ind w:left="141"/>
              <w:spacing w:after="0"/>
              <w:rPr>
                <w:sz w:val="20"/>
                <w:szCs w:val="20"/>
                <w:color w:val="auto"/>
              </w:rPr>
            </w:pPr>
            <w:r>
              <w:rPr>
                <w:rFonts w:ascii="Arial" w:cs="Arial" w:eastAsia="Arial" w:hAnsi="Arial"/>
                <w:sz w:val="16"/>
                <w:szCs w:val="16"/>
                <w:color w:val="auto"/>
              </w:rPr>
              <w:t>(677,087)</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right="20"/>
        <w:spacing w:after="0" w:line="275" w:lineRule="auto"/>
        <w:rPr>
          <w:sz w:val="20"/>
          <w:szCs w:val="20"/>
          <w:color w:val="auto"/>
        </w:rPr>
      </w:pPr>
      <w:r>
        <w:rPr>
          <w:rFonts w:ascii="Arial" w:cs="Arial" w:eastAsia="Arial" w:hAnsi="Arial"/>
          <w:sz w:val="18"/>
          <w:szCs w:val="18"/>
          <w:color w:val="auto"/>
        </w:rPr>
        <w:t>On October 15, 2018, the Company entered into a credit agreement with PNC as the administrative agent and sole lender, which has now been amended and restated as discussed below.</w:t>
      </w:r>
    </w:p>
    <w:p>
      <w:pPr>
        <w:spacing w:after="0" w:line="20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On February 21, 2023, as previously disclosed, the Company entered into an amended and restated credit agreement ("Credit Agreement") that provides for, among other things, a three-year unsecured revolving credit facility with a borrowing capacity of up to $250.0 million ("Revolver") that matures on February 21, 2026, replacing in its entirety the Company's above referenced prior $150.0 million revolving credit facility scheduled to mature on October 15, 2023.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 As of September 30, 2023, there was no outstanding balance on the Revolver.</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2023, the Company is in compliance with its covenants under the Credit Agreement.</w:t>
      </w:r>
    </w:p>
    <w:p>
      <w:pPr>
        <w:spacing w:after="0" w:line="200" w:lineRule="exact"/>
        <w:rPr>
          <w:sz w:val="20"/>
          <w:szCs w:val="20"/>
          <w:color w:val="auto"/>
        </w:rPr>
      </w:pPr>
    </w:p>
    <w:p>
      <w:pPr>
        <w:spacing w:after="0" w:line="295"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decrease in common stock during the nine months ended September 30, 2023, was primarily due to the repurchases of 2.7 million shares, partially offset by the issuance of 1.8 million shares of the Company’s common stock, net of cancellations, under the Company’s stock-based compensation plans. The total net decrease was 0.9 million shares.</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recorded a cash dividend of $0.120 per share during the third quarter of 2023 as compared to a cash dividend of $0.120 per share during the third quarter of 2022. The third quarter 2023 dividend of $28.0 million was declared on September 1, 2023 and was paid on October 18, 2023.</w:t>
      </w:r>
    </w:p>
    <w:p>
      <w:pPr>
        <w:spacing w:after="0" w:line="200" w:lineRule="exact"/>
        <w:rPr>
          <w:sz w:val="20"/>
          <w:szCs w:val="20"/>
          <w:color w:val="auto"/>
        </w:rPr>
      </w:pPr>
    </w:p>
    <w:p>
      <w:pPr>
        <w:spacing w:after="0" w:line="254"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and laminate products for the aerospace industry and fire protection products for the commercial construction industry. In 2020, the Company acquired Vaporsens, which specializes in nanofiber chemical sensing. These three non-automotive segments are combined into the "Other" segment as shown below.</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36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2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11"/>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234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564,510,277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480,937,253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1,676,043,013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1,391,840,835</w:t>
            </w:r>
          </w:p>
        </w:tc>
      </w:tr>
      <w:tr>
        <w:trPr>
          <w:trHeight w:val="230"/>
        </w:trPr>
        <w:tc>
          <w:tcPr>
            <w:tcW w:w="2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11,338,213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12,699,442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34,039,634</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33,469,637</w:t>
            </w:r>
          </w:p>
        </w:tc>
      </w:tr>
      <w:tr>
        <w:trPr>
          <w:trHeight w:val="223"/>
        </w:trPr>
        <w:tc>
          <w:tcPr>
            <w:tcW w:w="234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575,848,490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493,636,695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1,710,082,647</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1,425,310,472</w:t>
            </w: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43"/>
        </w:trPr>
        <w:tc>
          <w:tcPr>
            <w:tcW w:w="234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Income (Loss) from</w:t>
            </w:r>
          </w:p>
        </w:tc>
        <w:tc>
          <w:tcPr>
            <w:tcW w:w="3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242"/>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9"/>
        </w:trPr>
        <w:tc>
          <w:tcPr>
            <w:tcW w:w="234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121,875,176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87,109,317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362,044,032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277,492,945</w:t>
            </w:r>
          </w:p>
        </w:tc>
      </w:tr>
      <w:tr>
        <w:trPr>
          <w:trHeight w:val="230"/>
        </w:trPr>
        <w:tc>
          <w:tcPr>
            <w:tcW w:w="2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912,532</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(1,604,532)</w:t>
            </w:r>
          </w:p>
        </w:tc>
      </w:tr>
      <w:tr>
        <w:trPr>
          <w:trHeight w:val="223"/>
        </w:trPr>
        <w:tc>
          <w:tcPr>
            <w:tcW w:w="234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122,416,529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86,791,540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362,956,564</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275,888,413</w:t>
            </w:r>
          </w:p>
        </w:tc>
      </w:tr>
      <w:tr>
        <w:trPr>
          <w:trHeight w:val="21"/>
        </w:trPr>
        <w:tc>
          <w:tcPr>
            <w:tcW w:w="2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4"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effective tax rate was 15.6% in the nine months ended September 30, 2023, compared to an effective tax rate of 15.2% for the same period in 2022. Generally, effective tax rates for these periods differ from statutory federal income tax rates, due to provisions for state and local income taxes, permanent tax differences, the foreign-derived intangible income tax deduction, and research and development tax credits.</w:t>
      </w:r>
    </w:p>
    <w:p>
      <w:pPr>
        <w:spacing w:after="0" w:line="21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and nine month periods ended September 30, 2023 and September 30, 2022:</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2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7"/>
                <w:szCs w:val="17"/>
                <w:color w:val="auto"/>
              </w:rPr>
            </w:pPr>
          </w:p>
        </w:tc>
        <w:tc>
          <w:tcPr>
            <w:tcW w:w="344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2022</w:t>
            </w:r>
          </w:p>
        </w:tc>
      </w:tr>
      <w:tr>
        <w:trPr>
          <w:trHeight w:val="224"/>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2120" w:type="dxa"/>
            <w:vAlign w:val="bottom"/>
          </w:tcPr>
          <w:p>
            <w:pPr>
              <w:ind w:left="120"/>
              <w:spacing w:after="0"/>
              <w:rPr>
                <w:sz w:val="20"/>
                <w:szCs w:val="20"/>
                <w:color w:val="auto"/>
              </w:rPr>
            </w:pPr>
            <w:r>
              <w:rPr>
                <w:rFonts w:ascii="Arial" w:cs="Arial" w:eastAsia="Arial" w:hAnsi="Arial"/>
                <w:sz w:val="18"/>
                <w:szCs w:val="18"/>
                <w:color w:val="auto"/>
              </w:rPr>
              <w:t>U.S.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171,312,177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147,865,393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520,034,256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435,877,621</w:t>
            </w:r>
          </w:p>
        </w:tc>
      </w:tr>
      <w:tr>
        <w:trPr>
          <w:trHeight w:val="230"/>
        </w:trPr>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72,169,634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65,508,444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226,739,945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204,653,773</w:t>
            </w:r>
          </w:p>
        </w:tc>
      </w:tr>
      <w:tr>
        <w:trPr>
          <w:trHeight w:val="229"/>
        </w:trPr>
        <w:tc>
          <w:tcPr>
            <w:tcW w:w="2120" w:type="dxa"/>
            <w:vAlign w:val="bottom"/>
          </w:tcPr>
          <w:p>
            <w:pPr>
              <w:ind w:left="120"/>
              <w:spacing w:after="0"/>
              <w:rPr>
                <w:sz w:val="20"/>
                <w:szCs w:val="20"/>
                <w:color w:val="auto"/>
              </w:rPr>
            </w:pPr>
            <w:r>
              <w:rPr>
                <w:rFonts w:ascii="Arial" w:cs="Arial" w:eastAsia="Arial" w:hAnsi="Arial"/>
                <w:sz w:val="18"/>
                <w:szCs w:val="18"/>
                <w:color w:val="auto"/>
              </w:rPr>
              <w:t>Japan</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73,330,091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63,797,497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229,664,642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165,215,741</w:t>
            </w:r>
          </w:p>
        </w:tc>
      </w:tr>
      <w:tr>
        <w:trPr>
          <w:trHeight w:val="230"/>
        </w:trPr>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Mexico</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38,494,969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32,024,141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109,585,767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93,951,398</w:t>
            </w:r>
          </w:p>
        </w:tc>
      </w:tr>
      <w:tr>
        <w:trPr>
          <w:trHeight w:val="230"/>
        </w:trPr>
        <w:tc>
          <w:tcPr>
            <w:tcW w:w="2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209,203,406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171,741,778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590,018,403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492,142,302</w:t>
            </w:r>
          </w:p>
        </w:tc>
      </w:tr>
      <w:tr>
        <w:trPr>
          <w:trHeight w:val="170"/>
        </w:trPr>
        <w:tc>
          <w:tcPr>
            <w:tcW w:w="212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Total Automotive</w:t>
            </w:r>
          </w:p>
        </w:tc>
        <w:tc>
          <w:tcPr>
            <w:tcW w:w="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564,510,277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480,937,253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1,676,043,013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1,391,840,835</w:t>
            </w:r>
          </w:p>
        </w:tc>
      </w:tr>
      <w:tr>
        <w:trPr>
          <w:trHeight w:val="230"/>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11,338,213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12,699,442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34,039,634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33,469,637</w:t>
            </w:r>
          </w:p>
        </w:tc>
      </w:tr>
      <w:tr>
        <w:trPr>
          <w:trHeight w:val="248"/>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575,848,490</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493,636,695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1,710,082,647</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1,425,310,472</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global supply chain constraints; unexpected changes in laws, regulations, trade or monetary or fiscal policy, including interest rates, foreign currency exchange rates and changes in the rate of inflation in the U.S. and other foreign countries; labor strikes, armed conflicts and acts of terrorism and war; and tariffs, quotas, customs and other import or export restrictions and other trade barriers.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0" w:lineRule="exact"/>
        <w:rPr>
          <w:sz w:val="20"/>
          <w:szCs w:val="20"/>
          <w:color w:val="auto"/>
        </w:rPr>
      </w:pPr>
    </w:p>
    <w:p>
      <w:pPr>
        <w:ind w:left="660" w:right="360"/>
        <w:spacing w:after="0" w:line="273"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nine month periods ended September 30, 2023 and September 30, 2022:</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7"/>
                <w:szCs w:val="17"/>
                <w:color w:val="auto"/>
              </w:rPr>
            </w:pPr>
          </w:p>
        </w:tc>
        <w:tc>
          <w:tcPr>
            <w:tcW w:w="344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 September 30,</w:t>
            </w:r>
          </w:p>
        </w:tc>
      </w:tr>
      <w:tr>
        <w:trPr>
          <w:trHeight w:val="232"/>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2022</w:t>
            </w: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176"/>
        </w:trPr>
        <w:tc>
          <w:tcPr>
            <w:tcW w:w="2740" w:type="dxa"/>
            <w:vAlign w:val="bottom"/>
          </w:tcPr>
          <w:p>
            <w:pPr>
              <w:ind w:left="240"/>
              <w:spacing w:after="0" w:line="176" w:lineRule="exact"/>
              <w:rPr>
                <w:sz w:val="20"/>
                <w:szCs w:val="20"/>
                <w:color w:val="auto"/>
              </w:rPr>
            </w:pPr>
            <w:r>
              <w:rPr>
                <w:rFonts w:ascii="Arial" w:cs="Arial" w:eastAsia="Arial" w:hAnsi="Arial"/>
                <w:sz w:val="18"/>
                <w:szCs w:val="18"/>
                <w:color w:val="auto"/>
              </w:rPr>
              <w:t>Automotive Mirrors &amp;</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2"/>
        </w:trPr>
        <w:tc>
          <w:tcPr>
            <w:tcW w:w="2740" w:type="dxa"/>
            <w:vAlign w:val="bottom"/>
          </w:tcPr>
          <w:p>
            <w:pPr>
              <w:ind w:left="240"/>
              <w:spacing w:after="0"/>
              <w:rPr>
                <w:sz w:val="20"/>
                <w:szCs w:val="20"/>
                <w:color w:val="auto"/>
              </w:rPr>
            </w:pPr>
            <w:r>
              <w:rPr>
                <w:rFonts w:ascii="Arial" w:cs="Arial" w:eastAsia="Arial" w:hAnsi="Arial"/>
                <w:sz w:val="18"/>
                <w:szCs w:val="18"/>
                <w:color w:val="auto"/>
              </w:rPr>
              <w:t>Electronics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531,423,832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448,773,060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1,577,792,206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1,291,891,664</w:t>
            </w:r>
          </w:p>
        </w:tc>
      </w:tr>
      <w:tr>
        <w:trPr>
          <w:trHeight w:val="229"/>
        </w:trPr>
        <w:tc>
          <w:tcPr>
            <w:tcW w:w="2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33,086,445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32,164,193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98,250,807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99,949,171</w:t>
            </w:r>
          </w:p>
        </w:tc>
      </w:tr>
      <w:tr>
        <w:trPr>
          <w:trHeight w:val="223"/>
        </w:trPr>
        <w:tc>
          <w:tcPr>
            <w:tcW w:w="274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564,510,277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480,937,253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1,676,043,013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1,391,840,835</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2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2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5,151,785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10,484,680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20,471,868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28,577,916</w:t>
            </w:r>
          </w:p>
        </w:tc>
      </w:tr>
      <w:tr>
        <w:trPr>
          <w:trHeight w:val="229"/>
        </w:trPr>
        <w:tc>
          <w:tcPr>
            <w:tcW w:w="2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Aerospace Products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6,186,428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2,214,762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13,567,766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4,891,721</w:t>
            </w:r>
          </w:p>
        </w:tc>
      </w:tr>
      <w:tr>
        <w:trPr>
          <w:trHeight w:val="24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11,338,213</w:t>
            </w: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12,699,442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34,039,634</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33,469,637</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624078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40780" cy="146050"/>
                    </a:xfrm>
                    <a:prstGeom prst="rect">
                      <a:avLst/>
                    </a:prstGeom>
                    <a:noFill/>
                  </pic:spPr>
                </pic:pic>
              </a:graphicData>
            </a:graphic>
          </wp:anchor>
        </w:drawing>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Company has operating leases for certain sales, manufacturing, and engineering offices, as well as other vehicles and equipment, which are included within "Plant and Equipment - Net" section of the condensed consolidated balance sheets. The leases have remaining lease terms of 1 year to 5 years. The weighted average remaining lease term for operating leases as of September 30, 2023 was 3 years, with a weighted average discount rate of 6.3%.</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September 30,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31115</wp:posOffset>
            </wp:positionV>
            <wp:extent cx="620649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06490" cy="128905"/>
                    </a:xfrm>
                    <a:prstGeom prst="rect">
                      <a:avLst/>
                    </a:prstGeom>
                    <a:noFill/>
                  </pic:spPr>
                </pic:pic>
              </a:graphicData>
            </a:graphic>
          </wp:anchor>
        </w:drawing>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2064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nine months ended September 30, 2023)</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499,620</w:t>
            </w:r>
          </w:p>
        </w:tc>
        <w:tc>
          <w:tcPr>
            <w:tcW w:w="60" w:type="dxa"/>
            <w:vAlign w:val="bottom"/>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1,526,098</w:t>
            </w:r>
          </w:p>
        </w:tc>
        <w:tc>
          <w:tcPr>
            <w:tcW w:w="60" w:type="dxa"/>
            <w:vAlign w:val="bottom"/>
          </w:tcPr>
          <w:p>
            <w:pPr>
              <w:spacing w:after="0"/>
              <w:rPr>
                <w:sz w:val="19"/>
                <w:szCs w:val="19"/>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1,058,401</w:t>
            </w:r>
          </w:p>
        </w:tc>
        <w:tc>
          <w:tcPr>
            <w:tcW w:w="60" w:type="dxa"/>
            <w:vAlign w:val="bottom"/>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2026</w:t>
            </w: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455,548</w:t>
            </w:r>
          </w:p>
        </w:tc>
        <w:tc>
          <w:tcPr>
            <w:tcW w:w="60" w:type="dxa"/>
            <w:vAlign w:val="bottom"/>
          </w:tcPr>
          <w:p>
            <w:pPr>
              <w:spacing w:after="0"/>
              <w:rPr>
                <w:sz w:val="19"/>
                <w:szCs w:val="19"/>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215,734</w:t>
            </w:r>
          </w:p>
        </w:tc>
        <w:tc>
          <w:tcPr>
            <w:tcW w:w="60" w:type="dxa"/>
            <w:vAlign w:val="bottom"/>
          </w:tcPr>
          <w:p>
            <w:pPr>
              <w:spacing w:after="0"/>
              <w:rPr>
                <w:sz w:val="19"/>
                <w:szCs w:val="19"/>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3,755,401</w:t>
            </w:r>
          </w:p>
        </w:tc>
        <w:tc>
          <w:tcPr>
            <w:tcW w:w="60" w:type="dxa"/>
            <w:vAlign w:val="bottom"/>
          </w:tcPr>
          <w:p>
            <w:pPr>
              <w:spacing w:after="0"/>
              <w:rPr>
                <w:sz w:val="19"/>
                <w:szCs w:val="19"/>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(189,042)</w:t>
            </w:r>
          </w:p>
        </w:tc>
        <w:tc>
          <w:tcPr>
            <w:tcW w:w="60" w:type="dxa"/>
            <w:vAlign w:val="bottom"/>
          </w:tcPr>
          <w:p>
            <w:pPr>
              <w:spacing w:after="0"/>
              <w:rPr>
                <w:sz w:val="19"/>
                <w:szCs w:val="19"/>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3,566,359</w:t>
            </w:r>
          </w:p>
        </w:tc>
        <w:tc>
          <w:tcPr>
            <w:tcW w:w="60" w:type="dxa"/>
            <w:vAlign w:val="bottom"/>
          </w:tcPr>
          <w:p>
            <w:pPr>
              <w:spacing w:after="0"/>
              <w:rPr>
                <w:sz w:val="19"/>
                <w:szCs w:val="19"/>
                <w:color w:val="auto"/>
              </w:rPr>
            </w:pPr>
          </w:p>
        </w:tc>
      </w:tr>
      <w:tr>
        <w:trPr>
          <w:trHeight w:val="365"/>
        </w:trPr>
        <w:tc>
          <w:tcPr>
            <w:tcW w:w="7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7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r>
    </w:tbl>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1,633,120</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8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1,933,239</w:t>
            </w: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3,566,359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0"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Subsequent Event</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On November 2, 2023, the Company acquired certain technology assets from eSight Corporation for approximately $18.9 million in cash, in addition to the 20% equity the Company previously held in the assets, as well as an earn out provision over a ten year period. The technology acquired from eSight provides the most advanced and versatile low-vision smart glasses available for those with visual impairments and is compatible with more than 20 eye conditions including Macular Degeneration, Diabetic Retinopathy, and Stargardt disease. These assets will be classified within the Company's Other segment.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Company will account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THIRD QUARTER 2023 VERSUS THIRD QUARTER 2022</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third quarter of 2023 increased by $82.2 million or 17%, when compared with the third quarter of 2022.</w:t>
      </w:r>
    </w:p>
    <w:p>
      <w:pPr>
        <w:spacing w:after="0" w:line="164"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Automotive net sales for the third quarter of 2023 were $564.5 million, a 17% increase when compared with automotive net sales of $480.9 million in the third quarter of 2022. The 10% increase in automotive mirror unit shipments in the third quarter of 2023 to 12.6 million units, compared with 11.5 million units in the third quarter of 2022, was driven by a 12% quarter over quarter increase in exterior auto-dimming mirror unit shipments and a 9% quarter over quarter increase in interior auto-dimming mirror unit shipments.</w:t>
      </w:r>
    </w:p>
    <w:p>
      <w:pPr>
        <w:spacing w:after="0" w:line="217"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months ended September 30, 2023, and 2022 </w:t>
      </w:r>
      <w:r>
        <w:rPr>
          <w:rFonts w:ascii="Arial" w:cs="Arial" w:eastAsia="Arial" w:hAnsi="Arial"/>
          <w:sz w:val="18"/>
          <w:szCs w:val="18"/>
          <w:i w:val="1"/>
          <w:iCs w:val="1"/>
          <w:color w:val="auto"/>
        </w:rPr>
        <w:t>(in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201"/>
        </w:trPr>
        <w:tc>
          <w:tcPr>
            <w:tcW w:w="3280" w:type="dxa"/>
            <w:vAlign w:val="bottom"/>
          </w:tcPr>
          <w:p>
            <w:pPr>
              <w:spacing w:after="0"/>
              <w:rPr>
                <w:sz w:val="17"/>
                <w:szCs w:val="17"/>
                <w:color w:val="auto"/>
              </w:rPr>
            </w:pPr>
          </w:p>
        </w:tc>
        <w:tc>
          <w:tcPr>
            <w:tcW w:w="33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2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10%</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7,192</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6,444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w:t>
            </w: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5,033</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4,532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11%</w:t>
            </w:r>
          </w:p>
        </w:tc>
      </w:tr>
      <w:tr>
        <w:trPr>
          <w:trHeight w:val="223"/>
        </w:trPr>
        <w:tc>
          <w:tcPr>
            <w:tcW w:w="3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Total North American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6%</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12,224</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10,976</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w:t>
            </w:r>
          </w:p>
        </w:tc>
      </w:tr>
      <w:tr>
        <w:trPr>
          <w:trHeight w:val="270"/>
        </w:trPr>
        <w:tc>
          <w:tcPr>
            <w:tcW w:w="3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8%</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17,100</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15,282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w:t>
            </w: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19%</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8,918</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6,926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29%</w:t>
            </w:r>
          </w:p>
        </w:tc>
      </w:tr>
      <w:tr>
        <w:trPr>
          <w:trHeight w:val="223"/>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International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12%</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26,018</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22,208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w:t>
            </w:r>
          </w:p>
        </w:tc>
      </w:tr>
      <w:tr>
        <w:trPr>
          <w:trHeight w:val="270"/>
        </w:trPr>
        <w:tc>
          <w:tcPr>
            <w:tcW w:w="3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9%</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24,292</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21,727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12%</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13,950</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11,457</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22%</w:t>
            </w:r>
          </w:p>
        </w:tc>
      </w:tr>
      <w:tr>
        <w:trPr>
          <w:trHeight w:val="248"/>
        </w:trPr>
        <w:tc>
          <w:tcPr>
            <w:tcW w:w="3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Total Auto-Dimming Mirror Units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color w:val="auto"/>
                <w:w w:val="99"/>
              </w:rPr>
              <w:t>10%</w:t>
            </w:r>
          </w:p>
        </w:tc>
        <w:tc>
          <w:tcPr>
            <w:tcW w:w="11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38,242</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33,184</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Other net sales were $11.3 million in the third quarter of 2023, compared to $12.7 million in the third quarter of 2022. Fire protection sales decreased to $5.2 million for the third quarter of 2023, compared to $10.5 million in the same quarter of last year. Dimmable aircraft sales increased during the third quarter of 2023 to $6.2 million, compared to $2.2 million in the same quarter of last year.</w:t>
      </w:r>
    </w:p>
    <w:p>
      <w:pPr>
        <w:spacing w:after="0" w:line="191" w:lineRule="exact"/>
        <w:rPr>
          <w:sz w:val="20"/>
          <w:szCs w:val="20"/>
          <w:color w:val="auto"/>
        </w:rPr>
      </w:pPr>
    </w:p>
    <w:p>
      <w:pPr>
        <w:ind w:left="660" w:right="20"/>
        <w:spacing w:after="0" w:line="237"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66.8% for the third quarter of 2023, versus 70.2%</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quarter last year. The quarter over quarter increase in the gross profit margin was primarily the result of as a result of improved fixed overhead leverage, improvements in freight and tariff related costs, cost recoveries and price increases from customers, and improvements in product mix. However, some of these improvements were partially offset by increased raw material costs, labor costs, and scrap and yield loss increases, as compared to the third quarter of 2022. On a quarter over quarter basis, both decreases in freight expense and improved fixed overhead leverage each had a positive impact on gross margin of approximately 150 - 200 basis points, and customer cost recoveries and product mix each had a positive impact of approximately 50</w:t>
      </w:r>
    </w:p>
    <w:p>
      <w:pPr>
        <w:spacing w:after="0" w:line="5" w:lineRule="exact"/>
        <w:rPr>
          <w:sz w:val="20"/>
          <w:szCs w:val="20"/>
          <w:color w:val="auto"/>
        </w:rPr>
      </w:pPr>
    </w:p>
    <w:p>
      <w:pPr>
        <w:ind w:left="660" w:right="460" w:hanging="4"/>
        <w:spacing w:after="0" w:line="246" w:lineRule="auto"/>
        <w:tabs>
          <w:tab w:leader="none" w:pos="7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 basis points on gross margin. Raw material increases, labor cost, and scrap and yield loss each had a negative impact on gross margin of approximately 25-50 basis points on a quarter over quarter basis.</w:t>
      </w:r>
    </w:p>
    <w:p>
      <w:pPr>
        <w:spacing w:after="0" w:line="111"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 R &amp; D") expenses for the third quarter of 2023 increased by $6.7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when compared with the third quarter of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Selling, general and administrative ("S, G &amp; A") expenses increased by 7% or $2.0 million for the third quarter of 2023, compared to the third quarter of 2022, primarily due to increased staffing. S, G &amp; A expenses were 5% of net sales in the third quarter of 2023 and 5% of net sales in the third quarter of 2022.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Total operating expenses were $69.0 million in the third quarter of 2023, an increase of 14% quarter over quarter or $8.6 million, compared to $60.4 million in the third quarter of 2022.</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Total Other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third quarter of 2023 increased by $2.7 million, when compared with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2022.</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15.9% for, and an income tax expense of $ 19.8 million was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2023, compared to an effective tax rate of 15.7% for, and an income tax expense of $13.5 million recorded in, the same quarter of 2022.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11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third quarter of 2023 was $104.7 million, up from a net income of $72.7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change in net income was primarily the result of quarter over quarter increases in net sales and operating profits.</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third quarter of 2023 of $0.45, which compared 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of $0.31 for the third quarter of 2022.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2023 VERSUS NINE MONTHS ENDED SEPTEMBER 30, 2022</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nine months ended September 30, 2023 increased by $284.8 million or 20%,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2022.</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Automotive net sales for the first nine months of 2023 were $1.7 billion, up 20% compared with automotive net sales of $ 1.4 billion for the first nine months of 2022, primarily due to a 15% period over period increase in automotive mirror unit shipments. Domestic automotive mirror shipments in the nine months ended September 30, 2023 increased 11% to 12.2 million units, compared with 11.0 million units in the same period in 2022. International automotive mirror shipments in the nine months ended September 30, 2023 increased 17% to 26.0 million units, compared with 22.2 million units in the same period in 2022.</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Other net sales were $34.0 million for the first nine months of 2023, compared to $33.5 million for the same period last year. This increase is primarily due to the 177% increase in dimmable window aircraft sales for the first nine months of 2023 to $13.6 million, from $4.9 million for the same period in 2022. Fire protection sales decreased by 28% to $20.5 million for the first nine months of 2023, compared to $28.6 million in the same period of 2022.</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67.3% for the first nine months of 2023,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68.0% in the same period last year. The period over period increase in the gross profit margin was primarily the result of improved fixed overhead leverage, cost recoveries and customer price increases, and freight expense decreases. These were partially offset by increases in raw material costs and labor costs, as well as prior commitments to annual customer price reductions. On a period over period basis, freight expense and fixed overhead leverage each had a positive impact on gross margin of approximately 100 - 150 basis points. Cost recoveries and customer price increases had a positive impact on gross margin of approximately 50 - 100 basis points on a period over period basis. Raw material cost increases and annual customer price reductions each had a negative impact of approximately 50 - 150 basis points on gross margin on a period over period basis.</w:t>
      </w:r>
    </w:p>
    <w:p>
      <w:pPr>
        <w:jc w:val="both"/>
        <w:spacing w:after="0" w:line="25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nine months ended September 30, 2023 were $112.8 million, compared with $98.4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last year. The 15% increase in E, R &amp; D expenses, in the first nine months of 2023 compared to the same period in 2022 was primarily due to additional staffing, professional fees, and new product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7"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S, G &amp; A expenses for the first nine months of 2023 increased $ 1.8 million to $83.5 million, when compared to $ 81.7 million for the same period in 2022. S, G &amp; A expenses were 5% of net sales in the first nine months of 2023 and 6% of net sales in the same period in 2022. S, G, &amp; A expenses increased on a year over year basis primarily due to increased staffing.</w:t>
      </w:r>
    </w:p>
    <w:p>
      <w:pPr>
        <w:spacing w:after="0" w:line="1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Total Other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nine months ended September 30, 2023 was $6.1 million, compared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loss of $1.6 million for the same period last year.</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15.6% for the nine months ended September 30, 2023, compared to 15.2%</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of 2022. Generally, effective tax rates for the Company differ from statutory federal income tax rates, due to provisions for state and local income taxes, permanent tax differences, the foreign-derived intangible income tax deduction, and research and development tax credits.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nine months ended September 30, 2023 increased by $78.9 million or 34% to $311.5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$232.6 million in the same period last year. The increase in net income was primarily the result of the period over period increases in net sales and operating profits.</w:t>
      </w:r>
    </w:p>
    <w:p>
      <w:pPr>
        <w:spacing w:after="0" w:line="1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nine months ended September 30, 2023 of $1.33,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earnings per diluted share of $0.99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cash and cash equivalents as of September 30, 2023 were $260.6 million, an increase of $45.9 million, compared to $214.8 million as of December 31, 2022. The increase was primarily due to cash flows from operations, which were partially offset by capital expenditures, investment purchases, dividend payments, and share repurchases during the nine months ended September 30, 2023.</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Short-term investments as of September 30, 2023 were $17.5 million, down from $23.0 million as of December 31, 2022, and long-term investments were $272.6 million as of September 30, 2023, up from $202.3 million as of December 31, 2022, primarily due to the $43.0 million investment in Adasky, as discussed in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of the consolidated financial statements.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as of September 30, 2023 increased approximately $74.6 million compared to December 31, 2022, primarily due to the increase in sales and timing thereof during the nine months ended September 30, 2023. As of September 30, 2023, all of the Company's material tier one and OEM customers continue to be in good standing.</w:t>
      </w:r>
    </w:p>
    <w:p>
      <w:pPr>
        <w:spacing w:after="0" w:line="10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Inventories as of September 30, 2023 were $395.5 million, compared to $404.4 million as of December 31, 2022, primarily due to decreases in raw materials, which was partially offset by increases in finished goods.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Accounts payable as of September 30, 2023 increased approximately $19.6 million to $171.4 million, when compared to December 31, 2022, primarily driven by month end payment timing and increased capital expenditures.</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Accrued liabilities as of September 30, 2023 increased approximately $4.2 million compared to December 31, 2022, primarily due to an increase in accrued salaries and wages.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 from operating activities for the nine months ended September 30, 2023 increased $131.3 million to $367.7 million, compared with $236.4 million during the same nine month period last year, primarily due to an increase in net income and changes in working capital.</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expenditures for the nine months ended September 30, 2023 were approximately $121.4 million, compared with approximately $108.5 million for the same period last year. The increase was primarily due to an increase in expenditures related to building and facility construction projects previously disclosed.</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In the first quarter of 2022, the Company began construction on a 350,000 square-foot manufacturing facility located at a 140 acre site in Zeeland, Michigan, where the Company previously performed master planning and completed land infrastructure improvements. The total cost of the building project is still expected to be approximately $80 - $90 million, which will be funded with cash and cash equivalents on hand. The facility is expected to be operational in the fourth quarter of 2023. The Company has also begun construction on two building expansions during the second quarter of 2022. The Company is expanding its current distribution center for an additional 300,000 square feet, with a total cost still expected to be approximately $40 - $45 million. The Company is also expanding one of its manufacturing facilities for an additional 60,000 feet, with a total cost still expected to be $20 - $30 million. Both expansion projects will be funded with cash and cash equivalents on hand. The Company also entered into a multi-year lease for 32,000 square feet of manufacturing space at a location approximately 20 miles from its main campus that began operations during the second quarter of 2023.</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estimates that it currently has building capacity to manufacture approximately 42 - 45 million interior mirror units annually and approximately 17 - 20 million exterior mirror units annually, based on current product mix. The Company also evaluates equipment capacity on an ongoing basis and adds equipment as needed.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2022</w:t>
            </w:r>
          </w:p>
        </w:tc>
      </w:tr>
      <w:tr>
        <w:trPr>
          <w:trHeight w:val="224"/>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781,046,324</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698,099,624</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272,615,535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202,331,983</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1,053,661,859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900,431,607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(including, but not limited to, industry-wide parts shortages, and global supply chain and labor constraints), market trends, and other factors the Company deems appropriate (including, but not limited to, the market price of the stock, anti-dilutive effect of repurchases, and available cash). During the three and nine months ended September 30, 2023, the Company repurchased 776,488 and 2,743,788 shares, respectively. The Company has 18,039,377 shares remaining under the plan as of September 30, 2023, as is further detailed in </w:t>
      </w:r>
      <w:r>
        <w:rPr>
          <w:rFonts w:ascii="Arial" w:cs="Arial" w:eastAsia="Arial" w:hAnsi="Arial"/>
          <w:sz w:val="18"/>
          <w:szCs w:val="18"/>
          <w:u w:val="single" w:color="auto"/>
          <w:color w:val="auto"/>
        </w:rPr>
        <w:t>Part II, Item 2</w:t>
      </w:r>
      <w:r>
        <w:rPr>
          <w:rFonts w:ascii="Arial" w:cs="Arial" w:eastAsia="Arial" w:hAnsi="Arial"/>
          <w:sz w:val="18"/>
          <w:szCs w:val="18"/>
          <w:color w:val="auto"/>
        </w:rPr>
        <w:t xml:space="preserve"> of this Form 10-Q.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third quarter of 2023, the Company reported net sales of $ 575.8 million, compared to net sales of $493.6 million in the third quarter of 2022, a 17% increase quarter over quarter. For the third quarter of 2023, global light vehicle production in North America, Europe, Japan/Korea, and China increased approximately 5%, when compared to the third quarter of 2022.</w:t>
      </w:r>
    </w:p>
    <w:p>
      <w:pPr>
        <w:spacing w:after="0" w:line="21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the third quarter of 2023, the Company had 28 net new launches of interior and exterior auto-dimming mirrors and electronic features. Over 70% of the launches in the third quarter of 2023 were advanced feature launches,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being the bulk of such launches.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Mirror Systems</w:t>
      </w:r>
    </w:p>
    <w:p>
      <w:pPr>
        <w:spacing w:after="0" w:line="2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the second quarter of 2023, The People's Republic of China newly issued GB15084 and the related procedures, which allow for the Company's frameless inside mirrors to be used on vehicles in the China domestic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5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2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of the third quarter of 2023,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fifteen different automaker customers, which are General Motors, Subaru, Toyota, Nissan, Jaguar Land Rover, Mitsubishi, Aston Martin, Stellantis, Maserati, Fiat, Mercedes, Ferrari, Ford, Hyundai, and Mazda. The Company remains confident that ongoing discussions with certain other customers may in the future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85" w:right="339" w:bottom="1440" w:gutter="0" w:footer="0" w:header="0"/>
        </w:sectPr>
      </w:pPr>
    </w:p>
    <w:bookmarkStart w:id="27" w:name="page28"/>
    <w:bookmarkEnd w:id="27"/>
    <w:p>
      <w:pPr>
        <w:jc w:val="both"/>
        <w:spacing w:after="0" w:line="239"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 ("NHTSA") to allow automakers to use camera monitoring systems as an option to replace conventional rearview mirrors within the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United States. At the annual SAE Government-Industry Meeting in January 2017, NHTSA requested that SAE develop Recommended Procedures for test protocols and performance criteria for camera monitoring systems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monitoring systems to replace mirrors in Japan and European countries. Since January 2017, camera monitoring systems are also permitted as an alternative to replace mirrors in the Korea market. As noted, China has now released an updated version of its GB15084, which will be effective later in 2023, and allows for camera monitoring systems, frameless mirrors and aspheric (free-form) glass surfaces. Notwithstanding the foregoing, the Company continues to believe rearview mirrors provide a robust, simple and cost effective means to view the surrounding areas of a vehicle and remain a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has been in production with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since 2015 and has, in the ordinary course of business, been awarded programs with fifteen OEM customers. The Company is currently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all fifteen of these automaker customers. The Company's CMS solution</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3" w:right="339" w:bottom="1440" w:gutter="0" w:footer="0" w:header="0"/>
        </w:sectPr>
      </w:pPr>
    </w:p>
    <w:bookmarkStart w:id="28" w:name="page29"/>
    <w:bookmarkEnd w:id="28"/>
    <w:p>
      <w:pPr>
        <w:jc w:val="both"/>
        <w:spacing w:after="0" w:line="256" w:lineRule="auto"/>
        <w:rPr>
          <w:sz w:val="20"/>
          <w:szCs w:val="20"/>
          <w:color w:val="auto"/>
        </w:rPr>
      </w:pPr>
      <w:r>
        <w:rPr>
          <w:rFonts w:ascii="Arial" w:cs="Arial" w:eastAsia="Arial" w:hAnsi="Arial"/>
          <w:sz w:val="18"/>
          <w:szCs w:val="18"/>
          <w:color w:val="auto"/>
        </w:rPr>
        <w:t>uses three cameras to provide a comprehensive view of the sides and rear of the vehicle while still providing the traditional safety of interior and exterior mirrors, which mirrors continue to function when cameras are obstructed or are not functioning. The Company has also previously announced that it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will be increased competition.</w:t>
      </w:r>
    </w:p>
    <w:p>
      <w:pPr>
        <w:spacing w:after="0" w:line="1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began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Digital Video Recording ("DVR" capability) for the Toyota Harrier in the second quarter of 2020. This mirror and system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with the added capability to record video from the rearward facing and forward-facing cameras simultaneously. The data is stored to an SD storage card as requested by the customer. This integrated solution provides consumers with the features they want, while allowing the OEM to control the integration and execution in the vehicle. During the third quarter of 2023, the Company also continued shipping auto-dimming mirrors containing DVR for both the Toyota Yaris and the Yaris Cross for the Japan market. This product is the first Gentex DVR product that has an app available to allow the consumer to pull recorded information from the mirror to a phone, which creates a more user friendly experience.</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combining with other systems on the vehicle, including radar, navigation, steering, and related modules provided by other suppliers. This enables the Company to provide its customers with highly customizable solutions that meets their unique needs and specifications.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On January 14, 2021, NHTSA issued a request for comment regarding NCAP with advanced driver assist features, including forward collision, lane keeping, blind spot detection, and forward pedestrian impact avoidance technologies.</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85" w:right="339" w:bottom="144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18"/>
          <w:szCs w:val="18"/>
          <w:color w:val="auto"/>
        </w:rPr>
        <w:t>As noted, on October 10, 2019, an Advanced Notice of Proposed Rulemaking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22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final rule issued by NHTSA for adaptive driving beams (AEB) was made effective February 22, 2022. The Company believes its adaptive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(dynamic lighting system), which has been manufactured and sold for many years in jurisdictions outside the United States, will be permitted under the NHTSA Final Rule.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Connected Car</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Company's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2"/>
          <w:szCs w:val="22"/>
          <w:color w:val="auto"/>
          <w:vertAlign w:val="superscript"/>
        </w:rPr>
        <w:t>®</w:t>
      </w:r>
      <w:r>
        <w:rPr>
          <w:rFonts w:ascii="Arial" w:cs="Arial" w:eastAsia="Arial" w:hAnsi="Arial"/>
          <w:sz w:val="17"/>
          <w:szCs w:val="17"/>
          <w:color w:val="auto"/>
        </w:rPr>
        <w:t>, commonly referred to as HomeLink Connect</w:t>
      </w:r>
      <w:r>
        <w:rPr>
          <w:rFonts w:ascii="Arial" w:cs="Arial" w:eastAsia="Arial" w:hAnsi="Arial"/>
          <w:sz w:val="22"/>
          <w:szCs w:val="22"/>
          <w:color w:val="auto"/>
          <w:vertAlign w:val="superscript"/>
        </w:rPr>
        <w:t>®</w:t>
      </w:r>
      <w:r>
        <w:rPr>
          <w:rFonts w:ascii="Arial" w:cs="Arial" w:eastAsia="Arial" w:hAnsi="Arial"/>
          <w:sz w:val="17"/>
          <w:szCs w:val="17"/>
          <w:color w:val="auto"/>
        </w:rPr>
        <w:t>, which uses both RF and wireless cloud-based connectivity to deliver complete vehicle-to-home automation. With HomeLink Connect</w:t>
      </w:r>
      <w:r>
        <w:rPr>
          <w:rFonts w:ascii="Arial" w:cs="Arial" w:eastAsia="Arial" w:hAnsi="Arial"/>
          <w:sz w:val="22"/>
          <w:szCs w:val="22"/>
          <w:color w:val="auto"/>
          <w:vertAlign w:val="superscript"/>
        </w:rPr>
        <w:t>®</w:t>
      </w:r>
      <w:r>
        <w:rPr>
          <w:rFonts w:ascii="Arial" w:cs="Arial" w:eastAsia="Arial" w:hAnsi="Arial"/>
          <w:sz w:val="17"/>
          <w:szCs w:val="17"/>
          <w:color w:val="auto"/>
        </w:rPr>
        <w:t>, a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button press communicates with the HomeLink Connect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 on the user’s smartphone. The app contains 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third party software into the vehicle’s computer network. The Company also continues to work on providing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applications for alternative automobile and vehicle types which include, but are not limited to, motorcycles, mopeds, snowmobiles, tractors, combines, lawn mowers, loaders, bulldozers, road-graders, backhoes, and golf carts. In May 2021, the Company announced the Volkswagen as the first automaker to offer Bluetooth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enabled mirror for home automation that works in conjunction with HomeLink Connect</w:t>
      </w:r>
      <w:r>
        <w:rPr>
          <w:rFonts w:ascii="Arial" w:cs="Arial" w:eastAsia="Arial" w:hAnsi="Arial"/>
          <w:sz w:val="22"/>
          <w:szCs w:val="22"/>
          <w:color w:val="auto"/>
          <w:vertAlign w:val="superscript"/>
        </w:rPr>
        <w:t>®</w:t>
      </w:r>
      <w:r>
        <w:rPr>
          <w:rFonts w:ascii="Arial" w:cs="Arial" w:eastAsia="Arial" w:hAnsi="Arial"/>
          <w:sz w:val="17"/>
          <w:szCs w:val="17"/>
          <w:color w:val="auto"/>
        </w:rPr>
        <w:t>. The Company further continues to work with compatibility partners for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applications in other markets, like China. The unique attributes of the China market allow for potential different use cases of these products and offer the potential for additional growth opportunities for the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and products. In 2017, the Company began its first volume production shipments of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units on vehicles for the China market.</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0" w:right="339" w:bottom="1440" w:gutter="0" w:footer="0" w:header="0"/>
        </w:sectPr>
      </w:pPr>
    </w:p>
    <w:bookmarkStart w:id="30" w:name="page31"/>
    <w:bookmarkEnd w:id="30"/>
    <w:p>
      <w:pPr>
        <w:jc w:val="both"/>
        <w:spacing w:after="0" w:line="223" w:lineRule="auto"/>
        <w:rPr>
          <w:sz w:val="20"/>
          <w:szCs w:val="20"/>
          <w:color w:val="auto"/>
        </w:rPr>
      </w:pPr>
      <w:r>
        <w:rPr>
          <w:rFonts w:ascii="Arial" w:cs="Arial" w:eastAsia="Arial" w:hAnsi="Arial"/>
          <w:sz w:val="18"/>
          <w:szCs w:val="18"/>
          <w:color w:val="auto"/>
        </w:rPr>
        <w:t>The Company previously announced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11 Audi platforms, which are: the A4, A5, A6, A7, A8, Q5, Q5 Sportback,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throughout the remainder of 2023 and 2024. The Company is also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 second OEM customer, Mercedes, on the EQS model. In April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recognizes automotive suppliers for superior innovation, technological advancement, and business performance.</w:t>
      </w:r>
    </w:p>
    <w:p>
      <w:pPr>
        <w:spacing w:after="0" w:line="23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current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November 2020, the Company announced a partnership, in the ordinary course of business, with PayByCar™, to pursue compatibility between the Company's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3"/>
          <w:szCs w:val="23"/>
          <w:color w:val="auto"/>
          <w:vertAlign w:val="superscript"/>
        </w:rPr>
        <w:t>®</w:t>
      </w:r>
      <w:r>
        <w:rPr>
          <w:rFonts w:ascii="Arial" w:cs="Arial" w:eastAsia="Arial" w:hAnsi="Arial"/>
          <w:sz w:val="18"/>
          <w:szCs w:val="18"/>
          <w:color w:val="auto"/>
        </w:rPr>
        <w:t>, which, again, is the automotive industry’s leading car-to-home automation system.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consists of vehicle-integrated buttons that can be programmed to operate a myriad of home automation devices. Integration of Simplenight into the Company's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is underway and will allow users to program their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buttons and control cloud-based devices from their vehicles.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As also previously announced, Airbus is now offering, as optional content, the Company's dimmable aircraft windows on its aircraft, with production having begun in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0" w:right="339" w:bottom="1440" w:gutter="0" w:footer="0" w:header="0"/>
        </w:sectPr>
      </w:pPr>
    </w:p>
    <w:bookmarkStart w:id="31" w:name="page32"/>
    <w:bookmarkEnd w:id="31"/>
    <w:p>
      <w:pPr>
        <w:jc w:val="both"/>
        <w:spacing w:after="0" w:line="256" w:lineRule="auto"/>
        <w:rPr>
          <w:sz w:val="20"/>
          <w:szCs w:val="20"/>
          <w:color w:val="auto"/>
        </w:rPr>
      </w:pPr>
      <w:r>
        <w:rPr>
          <w:rFonts w:ascii="Arial" w:cs="Arial" w:eastAsia="Arial" w:hAnsi="Arial"/>
          <w:sz w:val="18"/>
          <w:szCs w:val="18"/>
          <w:color w:val="auto"/>
        </w:rPr>
        <w:t>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2023, the Company continues to further develop and work on the intelligent medical lighting system in order to assess system performance and work toward obtaining any necessary approvals.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November 2, 2023, the Company acquired certain technology assets from eSight Corporation for approximately $18.9 million in cash, in addition to the 20% equity the Company previously held in the assets, as well as an earn out provision. The technology acquired from eSight provides the most advanced and versatile low-vision smart glasses available for those with visual impairments and is compatible with more than 20 eye conditions including Macular Degeneration, Diabetic Retinopathy, and Stargardt disease.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Automotive revenues represent approximately 97% - 99% of the Company's total revenue, consisting of interior and exterior electrochromic automatic-dimming rearview mirrors and automotive electronics.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as the Company engages with automotive customers regarding the inflationary aspects of the business, it continues to experience pricing pressure from such customers and competitors, in addition to raw material cost increases, labor cost increases, and logistics costs, which will continue to cause downward pressure on its sales and profit margins. The Company works continuously to offset these supply chain issues and inflationary pressures with engineering and purchasing cost reductions, productivity improvements, increases in unit sales volume, and negotiations with customers to reduce the impact of the inflationary pressures, but there is no assurance the Company will be able to do so in the future.</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including the current inflationary environment. The Company has been likewise affected by industry-wide parts shortages and global supply constraints and labor shortages, as well as the UAW strikes.</w:t>
      </w:r>
    </w:p>
    <w:p>
      <w:pPr>
        <w:spacing w:after="0" w:line="21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current forecasts for light vehicle production for the fourth quarter of 2023, and full years 2023 and 2024 are based on the mid-October 2023 S&amp;P Global Mobility forecast for light vehicle production in North America, Europe, Japan/Korea, and China. Fourth quarter of 2023, and calendar years 2023 and 2024, forecasted light vehicle production volumes are shown below:</w:t>
      </w:r>
    </w:p>
    <w:p>
      <w:pPr>
        <w:spacing w:after="0" w:line="219" w:lineRule="exact"/>
        <w:rPr>
          <w:sz w:val="20"/>
          <w:szCs w:val="20"/>
          <w:color w:val="auto"/>
        </w:rPr>
      </w:pPr>
    </w:p>
    <w:p>
      <w:pPr>
        <w:jc w:val="center"/>
        <w:ind w:right="4220"/>
        <w:spacing w:after="0"/>
        <w:rPr>
          <w:sz w:val="20"/>
          <w:szCs w:val="20"/>
          <w:color w:val="auto"/>
        </w:rPr>
      </w:pPr>
      <w:r>
        <w:rPr>
          <w:rFonts w:ascii="Arial" w:cs="Arial" w:eastAsia="Arial" w:hAnsi="Arial"/>
          <w:sz w:val="20"/>
          <w:szCs w:val="20"/>
          <w:b w:val="1"/>
          <w:bCs w:val="1"/>
          <w:color w:val="auto"/>
        </w:rPr>
        <w:t>Light Vehicle Production (per S&amp;P Global Mobility mid-October</w:t>
      </w:r>
    </w:p>
    <w:p>
      <w:pPr>
        <w:jc w:val="center"/>
        <w:ind w:right="4220"/>
        <w:spacing w:after="0"/>
        <w:rPr>
          <w:sz w:val="20"/>
          <w:szCs w:val="20"/>
          <w:color w:val="auto"/>
        </w:rPr>
      </w:pPr>
      <w:r>
        <w:rPr>
          <w:rFonts w:ascii="Arial" w:cs="Arial" w:eastAsia="Arial" w:hAnsi="Arial"/>
          <w:sz w:val="20"/>
          <w:szCs w:val="20"/>
          <w:b w:val="1"/>
          <w:bCs w:val="1"/>
          <w:color w:val="auto"/>
        </w:rPr>
        <w:t>light vehicle production forecast)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Calendar Calendar Calendar</w:t>
            </w:r>
          </w:p>
        </w:tc>
        <w:tc>
          <w:tcPr>
            <w:tcW w:w="760" w:type="dxa"/>
            <w:vAlign w:val="bottom"/>
          </w:tcPr>
          <w:p>
            <w:pPr>
              <w:jc w:val="right"/>
              <w:ind w:right="38"/>
              <w:spacing w:after="0"/>
              <w:rPr>
                <w:sz w:val="20"/>
                <w:szCs w:val="20"/>
                <w:color w:val="auto"/>
              </w:rPr>
            </w:pPr>
            <w:r>
              <w:rPr>
                <w:rFonts w:ascii="Arial" w:cs="Arial" w:eastAsia="Arial" w:hAnsi="Arial"/>
                <w:sz w:val="14"/>
                <w:szCs w:val="14"/>
                <w:b w:val="1"/>
                <w:bCs w:val="1"/>
                <w:color w:val="auto"/>
              </w:rPr>
              <w:t>2024 vs</w:t>
            </w:r>
          </w:p>
        </w:tc>
        <w:tc>
          <w:tcPr>
            <w:tcW w:w="720" w:type="dxa"/>
            <w:vAlign w:val="bottom"/>
          </w:tcPr>
          <w:p>
            <w:pPr>
              <w:jc w:val="right"/>
              <w:ind w:right="38"/>
              <w:spacing w:after="0"/>
              <w:rPr>
                <w:sz w:val="20"/>
                <w:szCs w:val="20"/>
                <w:color w:val="auto"/>
              </w:rPr>
            </w:pPr>
            <w:r>
              <w:rPr>
                <w:rFonts w:ascii="Arial" w:cs="Arial" w:eastAsia="Arial" w:hAnsi="Arial"/>
                <w:sz w:val="14"/>
                <w:szCs w:val="14"/>
                <w:b w:val="1"/>
                <w:bCs w:val="1"/>
                <w:color w:val="auto"/>
              </w:rPr>
              <w:t>2023 vs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Q4</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Q4</w:t>
            </w: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76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2023</w:t>
            </w:r>
          </w:p>
        </w:tc>
        <w:tc>
          <w:tcPr>
            <w:tcW w:w="72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9"/>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Region</w:t>
            </w:r>
          </w:p>
        </w:tc>
        <w:tc>
          <w:tcPr>
            <w:tcW w:w="5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Year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Year</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Year</w:t>
            </w:r>
          </w:p>
        </w:tc>
        <w:tc>
          <w:tcPr>
            <w:tcW w:w="76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960" w:type="dxa"/>
            <w:vAlign w:val="bottom"/>
            <w:vMerge w:val="continue"/>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2024</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760" w:type="dxa"/>
            <w:vAlign w:val="bottom"/>
          </w:tcPr>
          <w:p>
            <w:pPr>
              <w:jc w:val="right"/>
              <w:ind w:right="38"/>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jc w:val="right"/>
              <w:ind w:right="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0"/>
        </w:trPr>
        <w:tc>
          <w:tcPr>
            <w:tcW w:w="9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North</w:t>
            </w:r>
          </w:p>
        </w:tc>
        <w:tc>
          <w:tcPr>
            <w:tcW w:w="5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right w:val="single" w:sz="8" w:color="auto"/>
            </w:tcBorders>
            <w:shd w:val="clear" w:color="auto" w:fill="CCEEFF"/>
          </w:tcPr>
          <w:p>
            <w:pPr>
              <w:spacing w:after="0"/>
              <w:rPr>
                <w:sz w:val="14"/>
                <w:szCs w:val="14"/>
                <w:color w:val="auto"/>
              </w:rPr>
            </w:pPr>
          </w:p>
        </w:tc>
        <w:tc>
          <w:tcPr>
            <w:tcW w:w="720" w:type="dxa"/>
            <w:vAlign w:val="bottom"/>
            <w:tcBorders>
              <w:top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w:t>
            </w:r>
          </w:p>
        </w:tc>
        <w:tc>
          <w:tcPr>
            <w:tcW w:w="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3.24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16.29</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21"/>
                <w:szCs w:val="21"/>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Europe</w:t>
            </w:r>
          </w:p>
        </w:tc>
        <w:tc>
          <w:tcPr>
            <w:tcW w:w="560" w:type="dxa"/>
            <w:vAlign w:val="bottom"/>
          </w:tcPr>
          <w:p>
            <w:pPr>
              <w:ind w:left="100"/>
              <w:spacing w:after="0"/>
              <w:rPr>
                <w:sz w:val="20"/>
                <w:szCs w:val="20"/>
                <w:color w:val="auto"/>
              </w:rPr>
            </w:pPr>
            <w:r>
              <w:rPr>
                <w:rFonts w:ascii="Arial" w:cs="Arial" w:eastAsia="Arial" w:hAnsi="Arial"/>
                <w:sz w:val="18"/>
                <w:szCs w:val="18"/>
                <w:color w:val="auto"/>
              </w:rPr>
              <w:t>4.58</w:t>
            </w:r>
          </w:p>
        </w:tc>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17.44</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17.71</w:t>
            </w:r>
          </w:p>
        </w:tc>
        <w:tc>
          <w:tcPr>
            <w:tcW w:w="620" w:type="dxa"/>
            <w:vAlign w:val="bottom"/>
          </w:tcPr>
          <w:p>
            <w:pPr>
              <w:jc w:val="right"/>
              <w:spacing w:after="0"/>
              <w:rPr>
                <w:sz w:val="20"/>
                <w:szCs w:val="20"/>
                <w:color w:val="auto"/>
              </w:rPr>
            </w:pPr>
            <w:r>
              <w:rPr>
                <w:rFonts w:ascii="Arial" w:cs="Arial" w:eastAsia="Arial" w:hAnsi="Arial"/>
                <w:sz w:val="18"/>
                <w:szCs w:val="18"/>
                <w:color w:val="auto"/>
              </w:rPr>
              <w:t>15.83</w:t>
            </w:r>
          </w:p>
        </w:tc>
        <w:tc>
          <w:tcPr>
            <w:tcW w:w="80" w:type="dxa"/>
            <w:vAlign w:val="bottom"/>
          </w:tcPr>
          <w:p>
            <w:pPr>
              <w:spacing w:after="0"/>
              <w:rPr>
                <w:sz w:val="19"/>
                <w:szCs w:val="19"/>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76"/>
        </w:trPr>
        <w:tc>
          <w:tcPr>
            <w:tcW w:w="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Japan and</w:t>
            </w: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3.32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12.14</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12.69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21"/>
                <w:szCs w:val="21"/>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7.85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28.05</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27.89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56"/>
        </w:trPr>
        <w:tc>
          <w:tcPr>
            <w:tcW w:w="9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Total Light</w:t>
            </w: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auto"/>
            </w:tcBorders>
            <w:shd w:val="clear" w:color="auto" w:fill="CCEEFF"/>
          </w:tcPr>
          <w:p>
            <w:pPr>
              <w:spacing w:after="0"/>
              <w:rPr>
                <w:sz w:val="13"/>
                <w:szCs w:val="13"/>
                <w:color w:val="auto"/>
              </w:rPr>
            </w:pPr>
          </w:p>
        </w:tc>
        <w:tc>
          <w:tcPr>
            <w:tcW w:w="7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Vehicle</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18.99 18.26</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73.92</w:t>
            </w: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73.49</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80" w:type="dxa"/>
            <w:vAlign w:val="bottom"/>
            <w:shd w:val="clear" w:color="auto" w:fill="CCEEFF"/>
          </w:tcPr>
          <w:p>
            <w:pPr>
              <w:spacing w:after="0"/>
              <w:rPr>
                <w:sz w:val="15"/>
                <w:szCs w:val="15"/>
                <w:color w:val="auto"/>
              </w:rPr>
            </w:pP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5"/>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80" w:type="dxa"/>
            <w:vAlign w:val="bottom"/>
            <w:tcBorders>
              <w:bottom w:val="single" w:sz="8" w:color="auto"/>
            </w:tcBorders>
            <w:gridSpan w:val="2"/>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aforementioned light vehicle production forecast and the results for the first nine months of 2023, the Company has updated certain guidance for calendar year 2023, included in what is shown below.</w:t>
      </w:r>
    </w:p>
    <w:p>
      <w:pPr>
        <w:spacing w:after="0" w:line="1" w:lineRule="exact"/>
        <w:rPr>
          <w:sz w:val="20"/>
          <w:szCs w:val="20"/>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is expected to be between $2.2 and $2.3 billion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is expected to be between 32.5% and 33%</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$260 to $270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15% and 15.5%</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are expected to be between $200 and $215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$95 and $100 million</w:t>
      </w:r>
    </w:p>
    <w:p>
      <w:pPr>
        <w:spacing w:after="0" w:line="24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Due to ongoing volatility in customer orders and vehicle production volumes, work stoppages stemming from labor union strikes, the Ukraine-Russia war, Israel-Hamas war, labor shortages, and overall economic uncertainty, the Company believes that revenue remains difficult to forecast for the remainder of the year and beyond. Ongoing uncertainties remain, including: light vehicle production levels; industry-wide parts shortages and global supply chain constraints; impacts of already in place and potential additional future tariffs; impacts of regulation changes; automotive plant shutdowns; vehicle sales rates in Europe, Asia and North America; OEM strategies and cost pressures; the UAW strikes; customer inventory management and the impact of potential automotive customer (including their Tier 1 suppliers) and supplier bankruptcies; etc., all of which are disrupting and could further disrupt shipments to these customers and make forecasting difficult.</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 As of September 30, 2023, the Company has 18.0 million shares remaining available for repurchase under the previously announced share repurchase plan.</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Additionally, based on the Company’s current forecasts for light vehicle production for calendar year 2024, the Company still expects calendar year 2024 revenue of approximately $2.45 to $2.55 billion. As noted above, continuing uncertainties make forecasting difficult.</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3"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2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2022.</w:t>
      </w:r>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an impairment adjustment on investment securities, as well as the impact on demand for light vehicles. For the quarter ended September 30, 2023, any material changes in risk factors that were disclosed in the Company's report on Form 10-K for the year ended December 31, 2022 are set forth herein, including potential work stoppages stemming from automaker or union labor strikes.</w:t>
      </w:r>
    </w:p>
    <w:p>
      <w:pPr>
        <w:spacing w:after="0" w:line="12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including inflation, that have reduced, and could continue to reduce, demand for its products.</w:t>
      </w:r>
    </w:p>
    <w:p>
      <w:pPr>
        <w:spacing w:after="0" w:line="10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September 30, 2023, and have concluded that as of that date, the Company's disclosure controls and procedures are effective.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September 30, 2023 that materially affected, or are reasonably likely to materially affect, the Company's internal control over financial reporting.</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3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w:t>
      </w:r>
      <w:r>
        <w:rPr>
          <w:rFonts w:ascii="Arial" w:cs="Arial" w:eastAsia="Arial" w:hAnsi="Arial"/>
          <w:sz w:val="18"/>
          <w:szCs w:val="18"/>
          <w:color w:val="0A0A0A"/>
        </w:rPr>
        <w:t>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w:t>
      </w:r>
    </w:p>
    <w:p>
      <w:pPr>
        <w:sectPr>
          <w:pgSz w:w="11900" w:h="16838" w:orient="portrait"/>
          <w:cols w:equalWidth="0" w:num="1">
            <w:col w:w="11240"/>
          </w:cols>
          <w:pgMar w:left="320" w:top="1183"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type w:val="continuous"/>
        </w:sectPr>
      </w:pPr>
    </w:p>
    <w:bookmarkStart w:id="34" w:name="page35"/>
    <w:bookmarkEnd w:id="34"/>
    <w:p>
      <w:pPr>
        <w:jc w:val="both"/>
        <w:spacing w:after="0" w:line="252" w:lineRule="auto"/>
        <w:rPr>
          <w:sz w:val="20"/>
          <w:szCs w:val="20"/>
          <w:color w:val="auto"/>
        </w:rPr>
      </w:pPr>
      <w:r>
        <w:rPr>
          <w:rFonts w:ascii="Arial" w:cs="Arial" w:eastAsia="Arial" w:hAnsi="Arial"/>
          <w:sz w:val="18"/>
          <w:szCs w:val="18"/>
          <w:color w:val="0A0A0A"/>
        </w:rPr>
        <w:t>described. These risks and uncertainties include, without limitation: changes in general industry or regional market conditions, including the impact of inflation; potential work stoppages stemming from automaker or union labor strikes;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the remaining impact of the COVID-19 (coronavirus) pandemic across our business on demand, operations, and the global supply chain. Readers are cautioned not to place undue reliance on these forward-looking statements, which speak only as of the date they are made.</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the impacts of the UAW strikes and COVID-19 (coronavirus) pandemic and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October 16, 2023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2022. There have been no material changes to the risk factors previously disclosed in the Company’s report on Form 10-K for the year ended December 31, 2022, except to the extent described in Part I – Item 2 and Item 3 of this Form 10-Q, and otherwise herein.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52"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6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nine months of 2023, the Company repurchased 2.7 million shares under the share repurchase plan. As previously disclosed, the Company will consider the appropriateness of continuing to repurchase additional shares of common stock in the future in support of the capital allocation strategy, but share repurchases will vary from time to time and will take into account macroeconomic events (including shutdowns related to the microchip shortage as well as other supply chain and labor constraints), market trends, and other factors the Company deems appropriate (including the market price of the stock, anti-dilutive effect of repurchases, and available cash).</w:t>
      </w:r>
    </w:p>
    <w:p>
      <w:pPr>
        <w:spacing w:after="0" w:line="219"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After the Company repurchased 2,743,788 shares during the first nine months of 2023, the Company has 18.0 million shares remaining under the plan as of September 30, 2023.</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each month of the nine month period ended September 30, 2023:</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42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jc w:val="right"/>
              <w:ind w:right="1494"/>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8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 a</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2"/>
                <w:szCs w:val="12"/>
                <w:color w:val="auto"/>
              </w:rPr>
            </w:pP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20,783,165</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February 2023</w:t>
            </w:r>
          </w:p>
        </w:tc>
        <w:tc>
          <w:tcPr>
            <w:tcW w:w="1800" w:type="dxa"/>
            <w:vAlign w:val="bottom"/>
          </w:tcPr>
          <w:p>
            <w:pPr>
              <w:jc w:val="right"/>
              <w:spacing w:after="0"/>
              <w:rPr>
                <w:sz w:val="20"/>
                <w:szCs w:val="20"/>
                <w:color w:val="auto"/>
              </w:rPr>
            </w:pPr>
            <w:r>
              <w:rPr>
                <w:rFonts w:ascii="Arial" w:cs="Arial" w:eastAsia="Arial" w:hAnsi="Arial"/>
                <w:sz w:val="18"/>
                <w:szCs w:val="18"/>
                <w:color w:val="auto"/>
              </w:rPr>
              <w:t>46,835</w:t>
            </w:r>
          </w:p>
        </w:tc>
        <w:tc>
          <w:tcPr>
            <w:tcW w:w="1440" w:type="dxa"/>
            <w:vAlign w:val="bottom"/>
          </w:tcPr>
          <w:p>
            <w:pPr>
              <w:jc w:val="right"/>
              <w:spacing w:after="0"/>
              <w:rPr>
                <w:sz w:val="20"/>
                <w:szCs w:val="20"/>
                <w:color w:val="auto"/>
              </w:rPr>
            </w:pPr>
            <w:r>
              <w:rPr>
                <w:rFonts w:ascii="Arial" w:cs="Arial" w:eastAsia="Arial" w:hAnsi="Arial"/>
                <w:sz w:val="18"/>
                <w:szCs w:val="18"/>
                <w:color w:val="auto"/>
              </w:rPr>
              <w:t>28.58</w:t>
            </w:r>
          </w:p>
        </w:tc>
        <w:tc>
          <w:tcPr>
            <w:tcW w:w="2060" w:type="dxa"/>
            <w:vAlign w:val="bottom"/>
          </w:tcPr>
          <w:p>
            <w:pPr>
              <w:jc w:val="right"/>
              <w:spacing w:after="0"/>
              <w:rPr>
                <w:sz w:val="20"/>
                <w:szCs w:val="20"/>
                <w:color w:val="auto"/>
              </w:rPr>
            </w:pPr>
            <w:r>
              <w:rPr>
                <w:rFonts w:ascii="Arial" w:cs="Arial" w:eastAsia="Arial" w:hAnsi="Arial"/>
                <w:sz w:val="18"/>
                <w:szCs w:val="18"/>
                <w:color w:val="auto"/>
              </w:rPr>
              <w:t>46,835</w:t>
            </w:r>
          </w:p>
        </w:tc>
        <w:tc>
          <w:tcPr>
            <w:tcW w:w="2060" w:type="dxa"/>
            <w:vAlign w:val="bottom"/>
          </w:tcPr>
          <w:p>
            <w:pPr>
              <w:jc w:val="right"/>
              <w:spacing w:after="0"/>
              <w:rPr>
                <w:sz w:val="20"/>
                <w:szCs w:val="20"/>
                <w:color w:val="auto"/>
              </w:rPr>
            </w:pPr>
            <w:r>
              <w:rPr>
                <w:rFonts w:ascii="Arial" w:cs="Arial" w:eastAsia="Arial" w:hAnsi="Arial"/>
                <w:sz w:val="18"/>
                <w:szCs w:val="18"/>
                <w:color w:val="auto"/>
              </w:rPr>
              <w:t>20,736,330</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1,000,091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1,000,091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19,736,239</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1st Quarter 2023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1,046,926</w:t>
            </w:r>
          </w:p>
        </w:tc>
        <w:tc>
          <w:tcPr>
            <w:tcW w:w="1440" w:type="dxa"/>
            <w:vAlign w:val="bottom"/>
          </w:tcPr>
          <w:p>
            <w:pPr>
              <w:jc w:val="right"/>
              <w:spacing w:after="0"/>
              <w:rPr>
                <w:sz w:val="20"/>
                <w:szCs w:val="20"/>
                <w:color w:val="auto"/>
              </w:rPr>
            </w:pPr>
            <w:r>
              <w:rPr>
                <w:rFonts w:ascii="Arial" w:cs="Arial" w:eastAsia="Arial" w:hAnsi="Arial"/>
                <w:sz w:val="18"/>
                <w:szCs w:val="18"/>
                <w:color w:val="auto"/>
              </w:rPr>
              <w:t>27.19</w:t>
            </w:r>
          </w:p>
        </w:tc>
        <w:tc>
          <w:tcPr>
            <w:tcW w:w="2060" w:type="dxa"/>
            <w:vAlign w:val="bottom"/>
          </w:tcPr>
          <w:p>
            <w:pPr>
              <w:jc w:val="right"/>
              <w:spacing w:after="0"/>
              <w:rPr>
                <w:sz w:val="20"/>
                <w:szCs w:val="20"/>
                <w:color w:val="auto"/>
              </w:rPr>
            </w:pPr>
            <w:r>
              <w:rPr>
                <w:rFonts w:ascii="Arial" w:cs="Arial" w:eastAsia="Arial" w:hAnsi="Arial"/>
                <w:sz w:val="18"/>
                <w:szCs w:val="18"/>
                <w:color w:val="auto"/>
              </w:rPr>
              <w:t>1,046,926</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April 2023</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19,736,239</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400,062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400,062</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19,336,177</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June 2023</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520,312</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27.64</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520,312</w:t>
            </w: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18,815,865</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2nd Quarter 2023 Total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920,374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920,374</w:t>
            </w: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18,815,865</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August 2023</w:t>
            </w:r>
          </w:p>
        </w:tc>
        <w:tc>
          <w:tcPr>
            <w:tcW w:w="1800" w:type="dxa"/>
            <w:vAlign w:val="bottom"/>
          </w:tcPr>
          <w:p>
            <w:pPr>
              <w:jc w:val="right"/>
              <w:spacing w:after="0"/>
              <w:rPr>
                <w:sz w:val="20"/>
                <w:szCs w:val="20"/>
                <w:color w:val="auto"/>
              </w:rPr>
            </w:pPr>
            <w:r>
              <w:rPr>
                <w:rFonts w:ascii="Arial" w:cs="Arial" w:eastAsia="Arial" w:hAnsi="Arial"/>
                <w:sz w:val="18"/>
                <w:szCs w:val="18"/>
                <w:color w:val="auto"/>
              </w:rPr>
              <w:t>210,525</w:t>
            </w:r>
          </w:p>
        </w:tc>
        <w:tc>
          <w:tcPr>
            <w:tcW w:w="1440" w:type="dxa"/>
            <w:vAlign w:val="bottom"/>
          </w:tcPr>
          <w:p>
            <w:pPr>
              <w:jc w:val="right"/>
              <w:spacing w:after="0"/>
              <w:rPr>
                <w:sz w:val="20"/>
                <w:szCs w:val="20"/>
                <w:color w:val="auto"/>
              </w:rPr>
            </w:pPr>
            <w:r>
              <w:rPr>
                <w:rFonts w:ascii="Arial" w:cs="Arial" w:eastAsia="Arial" w:hAnsi="Arial"/>
                <w:sz w:val="18"/>
                <w:szCs w:val="18"/>
                <w:color w:val="auto"/>
              </w:rPr>
              <w:t>32.51</w:t>
            </w:r>
          </w:p>
        </w:tc>
        <w:tc>
          <w:tcPr>
            <w:tcW w:w="2060" w:type="dxa"/>
            <w:vAlign w:val="bottom"/>
          </w:tcPr>
          <w:p>
            <w:pPr>
              <w:jc w:val="right"/>
              <w:spacing w:after="0"/>
              <w:rPr>
                <w:sz w:val="20"/>
                <w:szCs w:val="20"/>
                <w:color w:val="auto"/>
              </w:rPr>
            </w:pPr>
            <w:r>
              <w:rPr>
                <w:rFonts w:ascii="Arial" w:cs="Arial" w:eastAsia="Arial" w:hAnsi="Arial"/>
                <w:sz w:val="18"/>
                <w:szCs w:val="18"/>
                <w:color w:val="auto"/>
              </w:rPr>
              <w:t>210,525</w:t>
            </w:r>
          </w:p>
        </w:tc>
        <w:tc>
          <w:tcPr>
            <w:tcW w:w="2060" w:type="dxa"/>
            <w:vAlign w:val="bottom"/>
          </w:tcPr>
          <w:p>
            <w:pPr>
              <w:jc w:val="right"/>
              <w:spacing w:after="0"/>
              <w:rPr>
                <w:sz w:val="20"/>
                <w:szCs w:val="20"/>
                <w:color w:val="auto"/>
              </w:rPr>
            </w:pPr>
            <w:r>
              <w:rPr>
                <w:rFonts w:ascii="Arial" w:cs="Arial" w:eastAsia="Arial" w:hAnsi="Arial"/>
                <w:sz w:val="18"/>
                <w:szCs w:val="18"/>
                <w:color w:val="auto"/>
              </w:rPr>
              <w:t>18,605,340</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565,963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565,963</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18,039,377</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3rd Quarter 2023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776,488</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32.41</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776,488</w:t>
            </w:r>
          </w:p>
        </w:tc>
        <w:tc>
          <w:tcPr>
            <w:tcW w:w="2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2023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2,743,788</w:t>
            </w:r>
          </w:p>
        </w:tc>
        <w:tc>
          <w:tcPr>
            <w:tcW w:w="1440" w:type="dxa"/>
            <w:vAlign w:val="bottom"/>
          </w:tcPr>
          <w:p>
            <w:pPr>
              <w:jc w:val="right"/>
              <w:spacing w:after="0"/>
              <w:rPr>
                <w:sz w:val="20"/>
                <w:szCs w:val="20"/>
                <w:color w:val="auto"/>
              </w:rPr>
            </w:pPr>
            <w:r>
              <w:rPr>
                <w:rFonts w:ascii="Arial" w:cs="Arial" w:eastAsia="Arial" w:hAnsi="Arial"/>
                <w:sz w:val="18"/>
                <w:szCs w:val="18"/>
                <w:color w:val="auto"/>
              </w:rPr>
              <w:t>28.70</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2,743,788</w:t>
            </w:r>
          </w:p>
        </w:tc>
        <w:tc>
          <w:tcPr>
            <w:tcW w:w="2060" w:type="dxa"/>
            <w:vAlign w:val="bottom"/>
          </w:tcPr>
          <w:p>
            <w:pPr>
              <w:jc w:val="right"/>
              <w:spacing w:after="0"/>
              <w:rPr>
                <w:sz w:val="20"/>
                <w:szCs w:val="20"/>
                <w:color w:val="auto"/>
              </w:rPr>
            </w:pPr>
            <w:r>
              <w:rPr>
                <w:rFonts w:ascii="Arial" w:cs="Arial" w:eastAsia="Arial" w:hAnsi="Arial"/>
                <w:sz w:val="18"/>
                <w:szCs w:val="18"/>
                <w:color w:val="auto"/>
              </w:rPr>
              <w:t>18,039,377</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660" w:right="440"/>
        <w:spacing w:after="0" w:line="275" w:lineRule="auto"/>
        <w:rPr>
          <w:sz w:val="20"/>
          <w:szCs w:val="20"/>
          <w:color w:val="auto"/>
        </w:rPr>
      </w:pPr>
      <w:r>
        <w:rPr>
          <w:rFonts w:ascii="Arial" w:cs="Arial" w:eastAsia="Arial" w:hAnsi="Arial"/>
          <w:sz w:val="18"/>
          <w:szCs w:val="18"/>
          <w:color w:val="auto"/>
        </w:rPr>
        <w:t>As of September 30, 2023, the Company has repurchased 153,960,351 shares at a total cost of $2,679,383,973 under its share repurchase plan or as otherwise previously disclosed.</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38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November 3, 2023</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23"/>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30"/>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November 3, 2023</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23"/>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r>
        <w:trPr>
          <w:trHeight w:val="190"/>
        </w:trPr>
        <w:tc>
          <w:tcPr>
            <w:tcW w:w="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680" w:type="dxa"/>
            <w:vAlign w:val="bottom"/>
          </w:tcPr>
          <w:p>
            <w:pPr>
              <w:ind w:left="20"/>
              <w:spacing w:after="0" w:line="189"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ind w:left="20"/>
        <w:spacing w:after="0"/>
        <w:tabs>
          <w:tab w:leader="none" w:pos="58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0628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2" w:lineRule="exact"/>
        <w:rPr>
          <w:sz w:val="20"/>
          <w:szCs w:val="20"/>
          <w:color w:val="auto"/>
        </w:rPr>
      </w:pPr>
    </w:p>
    <w:p>
      <w:pPr>
        <w:ind w:left="1320" w:hanging="129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FF"/>
        </w:rPr>
        <w:t>Speciman Form of Gentex Corporation Restricted Stock Unit Award Agreement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right"/>
              <w:ind w:right="850"/>
              <w:spacing w:after="0"/>
              <w:rPr>
                <w:sz w:val="20"/>
                <w:szCs w:val="20"/>
                <w:color w:val="auto"/>
              </w:rPr>
            </w:pPr>
            <w:r>
              <w:rPr>
                <w:rFonts w:ascii="Arial" w:cs="Arial" w:eastAsia="Arial" w:hAnsi="Arial"/>
                <w:sz w:val="18"/>
                <w:szCs w:val="18"/>
                <w:color w:val="auto"/>
              </w:rPr>
              <w:t>31.1</w:t>
            </w:r>
          </w:p>
        </w:tc>
        <w:tc>
          <w:tcPr>
            <w:tcW w:w="9880" w:type="dxa"/>
            <w:vAlign w:val="bottom"/>
            <w:gridSpan w:val="4"/>
          </w:tcPr>
          <w:p>
            <w:pPr>
              <w:spacing w:after="0"/>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6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Pr>
          <w:p>
            <w:pPr>
              <w:spacing w:after="0"/>
              <w:rPr>
                <w:sz w:val="14"/>
                <w:szCs w:val="14"/>
                <w:color w:val="auto"/>
              </w:rPr>
            </w:pPr>
          </w:p>
        </w:tc>
      </w:tr>
      <w:tr>
        <w:trPr>
          <w:trHeight w:val="21"/>
        </w:trPr>
        <w:tc>
          <w:tcPr>
            <w:tcW w:w="13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320" w:type="dxa"/>
            <w:vAlign w:val="bottom"/>
            <w:shd w:val="clear" w:color="auto" w:fill="CCEEFF"/>
          </w:tcPr>
          <w:p>
            <w:pPr>
              <w:jc w:val="right"/>
              <w:ind w:right="85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2"/>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tcBorders>
              <w:top w:val="single" w:sz="8" w:color="CCEEFF"/>
            </w:tcBorders>
            <w:gridSpan w:val="2"/>
            <w:shd w:val="clear" w:color="auto" w:fill="CCEEFF"/>
          </w:tcPr>
          <w:p>
            <w:pPr>
              <w:spacing w:after="0"/>
              <w:rPr>
                <w:sz w:val="14"/>
                <w:szCs w:val="14"/>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p>
      <w:pPr>
        <w:ind w:left="1320" w:right="300" w:hanging="1294"/>
        <w:spacing w:after="0" w:line="244"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tbl>
      <w:tblPr>
        <w:tblLayout w:type="fixed"/>
        <w:tblInd w:w="0" w:type="dxa"/>
        <w:tblCellMar>
          <w:top w:w="0" w:type="dxa"/>
          <w:left w:w="0" w:type="dxa"/>
          <w:bottom w:w="0" w:type="dxa"/>
          <w:right w:w="0" w:type="dxa"/>
        </w:tblCellMar>
      </w:tblPr>
      <w:tr>
        <w:trPr>
          <w:trHeight w:val="187"/>
        </w:trPr>
        <w:tc>
          <w:tcPr>
            <w:tcW w:w="104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280"/>
              <w:spacing w:after="0" w:line="187"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29"/>
        </w:trPr>
        <w:tc>
          <w:tcPr>
            <w:tcW w:w="1040" w:type="dxa"/>
            <w:vAlign w:val="bottom"/>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927" w:right="339" w:bottom="1440" w:gutter="0" w:footer="0" w:header="0"/>
        </w:sectPr>
      </w:pPr>
    </w:p>
    <w:bookmarkStart w:id="38" w:name="page39"/>
    <w:bookmarkEnd w:id="38"/>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GENTEX CORPORATION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2019 OMNIBUS INCENTIVE PLAN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Summary of Award Terms</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Granted To: </w:t>
      </w:r>
      <w:r>
        <w:rPr>
          <w:rFonts w:ascii="Arial" w:cs="Arial" w:eastAsia="Arial" w:hAnsi="Arial"/>
          <w:sz w:val="21"/>
          <w:szCs w:val="21"/>
          <w:u w:val="single" w:color="auto"/>
          <w:color w:val="auto"/>
        </w:rPr>
        <w:t>###PARTICIPANT_NAME###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Grant Date: </w:t>
      </w:r>
      <w:r>
        <w:rPr>
          <w:rFonts w:ascii="Arial" w:cs="Arial" w:eastAsia="Arial" w:hAnsi="Arial"/>
          <w:sz w:val="21"/>
          <w:szCs w:val="21"/>
          <w:u w:val="single" w:color="auto"/>
          <w:color w:val="auto"/>
        </w:rPr>
        <w:t>###GRANT_DATE###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Number of RSUs Granted: </w:t>
      </w:r>
      <w:r>
        <w:rPr>
          <w:rFonts w:ascii="Arial" w:cs="Arial" w:eastAsia="Arial" w:hAnsi="Arial"/>
          <w:sz w:val="21"/>
          <w:szCs w:val="21"/>
          <w:u w:val="single" w:color="auto"/>
          <w:color w:val="auto"/>
        </w:rPr>
        <w:t>###TOTAL_AWARDS###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Vesting Schedule: </w:t>
      </w:r>
      <w:r>
        <w:rPr>
          <w:rFonts w:ascii="Arial" w:cs="Arial" w:eastAsia="Arial" w:hAnsi="Arial"/>
          <w:sz w:val="21"/>
          <w:szCs w:val="21"/>
          <w:color w:val="auto"/>
        </w:rPr>
        <w:t>###VEST_SCHEDULE_TABLE###</w:t>
      </w:r>
    </w:p>
    <w:p>
      <w:pPr>
        <w:spacing w:after="0" w:line="329" w:lineRule="exact"/>
        <w:rPr>
          <w:sz w:val="20"/>
          <w:szCs w:val="20"/>
          <w:color w:val="auto"/>
        </w:rPr>
      </w:pPr>
    </w:p>
    <w:p>
      <w:pPr>
        <w:jc w:val="both"/>
        <w:ind w:firstLine="656"/>
        <w:spacing w:after="0" w:line="223" w:lineRule="auto"/>
        <w:tabs>
          <w:tab w:leader="none" w:pos="128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The Award and the Plan</w:t>
      </w:r>
      <w:r>
        <w:rPr>
          <w:rFonts w:ascii="Arial" w:cs="Arial" w:eastAsia="Arial" w:hAnsi="Arial"/>
          <w:sz w:val="19"/>
          <w:szCs w:val="19"/>
          <w:color w:val="auto"/>
        </w:rPr>
        <w:t>. Subject to the terms and conditions of this Award Agreement and the Plan, on (or as soon as practicable after) the date that some or all of the RSUs vest as set forth on the Vesting Schedule (the “Vest Date”), the Company will pay to the Grantee an amount equal to the Fair Market Value of one share of Common Stock as of the Vest Date, multiplied by the number of vested RSUs granted hereby, subject to applicable withholding for taxes. The RSUs may be settled in such form as provided in Section 7 of this Agreement. Certain terms used in this Agreement are defined in Section 25 below. If such grant is not expressly rejected within thirty (30) days from the Grant Date, it will be deemed automatically accepted and the terms contained in this Agreement shall be binding upon the recipient. Any undefined terms in this Agreement appearing as defined terms will have the same meaning as they do in the Gentex Corporation 2019 Omnibus Incentive Plan as amended and/or restated from time to time (the "Plan"). Gentex will provide a copy of the Plan to you upon request.</w:t>
      </w:r>
    </w:p>
    <w:p>
      <w:pPr>
        <w:spacing w:after="0" w:line="197" w:lineRule="exact"/>
        <w:rPr>
          <w:rFonts w:ascii="Arial" w:cs="Arial" w:eastAsia="Arial" w:hAnsi="Arial"/>
          <w:sz w:val="19"/>
          <w:szCs w:val="19"/>
          <w:color w:val="auto"/>
        </w:rPr>
      </w:pPr>
    </w:p>
    <w:p>
      <w:pPr>
        <w:jc w:val="both"/>
        <w:ind w:firstLine="656"/>
        <w:spacing w:after="0" w:line="223" w:lineRule="auto"/>
        <w:tabs>
          <w:tab w:leader="none" w:pos="1285"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The Award is subject to the vesting terms, if any, set forth in the Employee Award Notification, except as may otherwise be provided in this Award Agreement, in the Plan, or in another agreement with the Grantee that expressly supersedes the provisions of the Award Agreement or the Plan.</w:t>
      </w:r>
    </w:p>
    <w:p>
      <w:pPr>
        <w:spacing w:after="0" w:line="195" w:lineRule="exact"/>
        <w:rPr>
          <w:rFonts w:ascii="Arial" w:cs="Arial" w:eastAsia="Arial" w:hAnsi="Arial"/>
          <w:sz w:val="20"/>
          <w:szCs w:val="20"/>
          <w:color w:val="auto"/>
        </w:rPr>
      </w:pPr>
    </w:p>
    <w:p>
      <w:pPr>
        <w:jc w:val="both"/>
        <w:ind w:firstLine="656"/>
        <w:spacing w:after="0" w:line="223" w:lineRule="auto"/>
        <w:tabs>
          <w:tab w:leader="none" w:pos="1285"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Effect of Change in Control</w:t>
      </w:r>
      <w:r>
        <w:rPr>
          <w:rFonts w:ascii="Arial" w:cs="Arial" w:eastAsia="Arial" w:hAnsi="Arial"/>
          <w:sz w:val="20"/>
          <w:szCs w:val="20"/>
          <w:color w:val="auto"/>
        </w:rPr>
        <w:t>. In the event a Change in Control occurs prior to the RSUs becoming vested as provided in Section 2 above and while you are an employee of Gentex or any Subsidiary, the RSUs covered by this Agreement will become vested to the extent set forth in the Plan.</w:t>
      </w:r>
    </w:p>
    <w:p>
      <w:pPr>
        <w:spacing w:after="0" w:line="182" w:lineRule="exact"/>
        <w:rPr>
          <w:rFonts w:ascii="Arial" w:cs="Arial" w:eastAsia="Arial" w:hAnsi="Arial"/>
          <w:sz w:val="20"/>
          <w:szCs w:val="20"/>
          <w:color w:val="auto"/>
        </w:rPr>
      </w:pPr>
    </w:p>
    <w:p>
      <w:pPr>
        <w:jc w:val="both"/>
        <w:ind w:firstLine="656"/>
        <w:spacing w:after="0" w:line="220" w:lineRule="auto"/>
        <w:tabs>
          <w:tab w:leader="none" w:pos="1285"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Effect of Termination Due to: Death or Disability; or Retirement</w:t>
      </w:r>
      <w:r>
        <w:rPr>
          <w:rFonts w:ascii="Arial" w:cs="Arial" w:eastAsia="Arial" w:hAnsi="Arial"/>
          <w:sz w:val="20"/>
          <w:szCs w:val="20"/>
          <w:color w:val="auto"/>
        </w:rPr>
        <w:t>. Notwithstanding Section 3 above, if your employment with Gentex or any Subsidiary is terminated: (A) by reason of death or Disability, the RSUs will become vested to the extent set forth in the Plan; or (B) by Retirement, a prorated portion of the RSUs will become vested based on the number of months you were employed during the vesting schedule set forth in the Employee Award Notification.</w:t>
      </w:r>
    </w:p>
    <w:p>
      <w:pPr>
        <w:spacing w:after="0" w:line="196" w:lineRule="exact"/>
        <w:rPr>
          <w:rFonts w:ascii="Arial" w:cs="Arial" w:eastAsia="Arial" w:hAnsi="Arial"/>
          <w:sz w:val="20"/>
          <w:szCs w:val="20"/>
          <w:color w:val="auto"/>
        </w:rPr>
      </w:pPr>
    </w:p>
    <w:p>
      <w:pPr>
        <w:jc w:val="both"/>
        <w:ind w:right="20" w:firstLine="656"/>
        <w:spacing w:after="0" w:line="235" w:lineRule="auto"/>
        <w:tabs>
          <w:tab w:leader="none" w:pos="128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Other Employment Terminations</w:t>
      </w:r>
      <w:r>
        <w:rPr>
          <w:rFonts w:ascii="Arial" w:cs="Arial" w:eastAsia="Arial" w:hAnsi="Arial"/>
          <w:sz w:val="19"/>
          <w:szCs w:val="19"/>
          <w:color w:val="auto"/>
        </w:rPr>
        <w:t>. In the event that your employment with Gentex or a Subsidiary terminates during the vesting schedule in a manner other than any specified in Sections 3 or 4 above, all RSUs granted hereby that remain unvested shall be cancelled, terminated, and of no further force and effect, unless otherwise determined under the Plan.</w:t>
      </w:r>
    </w:p>
    <w:p>
      <w:pPr>
        <w:spacing w:after="0" w:line="195" w:lineRule="exact"/>
        <w:rPr>
          <w:rFonts w:ascii="Arial" w:cs="Arial" w:eastAsia="Arial" w:hAnsi="Arial"/>
          <w:sz w:val="19"/>
          <w:szCs w:val="19"/>
          <w:color w:val="auto"/>
        </w:rPr>
      </w:pPr>
    </w:p>
    <w:p>
      <w:pPr>
        <w:jc w:val="both"/>
        <w:ind w:firstLine="656"/>
        <w:spacing w:after="0" w:line="220" w:lineRule="auto"/>
        <w:tabs>
          <w:tab w:leader="none" w:pos="1285"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Time of Settlement</w:t>
      </w:r>
      <w:r>
        <w:rPr>
          <w:rFonts w:ascii="Arial" w:cs="Arial" w:eastAsia="Arial" w:hAnsi="Arial"/>
          <w:sz w:val="20"/>
          <w:szCs w:val="20"/>
          <w:color w:val="auto"/>
        </w:rPr>
        <w:t>. On the Vest Date, or as soon as practicable thereafter, the Company shall pay you the amount payable under the Award, determined in accordance with Section 1 of this Agreement and the terms of the Plan. For the avoidance of doubt, no payment shall be due with respect to any unvested RSUs, which shall automatically be terminated, cancelled, and of no further force and effect as of the Vest Date.</w:t>
      </w:r>
    </w:p>
    <w:p>
      <w:pPr>
        <w:spacing w:after="0" w:line="196" w:lineRule="exact"/>
        <w:rPr>
          <w:rFonts w:ascii="Arial" w:cs="Arial" w:eastAsia="Arial" w:hAnsi="Arial"/>
          <w:sz w:val="20"/>
          <w:szCs w:val="20"/>
          <w:color w:val="auto"/>
        </w:rPr>
      </w:pPr>
    </w:p>
    <w:p>
      <w:pPr>
        <w:ind w:firstLine="656"/>
        <w:spacing w:after="0" w:line="229" w:lineRule="auto"/>
        <w:tabs>
          <w:tab w:leader="none" w:pos="1285"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Form of Settlement</w:t>
      </w:r>
      <w:r>
        <w:rPr>
          <w:rFonts w:ascii="Arial" w:cs="Arial" w:eastAsia="Arial" w:hAnsi="Arial"/>
          <w:sz w:val="20"/>
          <w:szCs w:val="20"/>
          <w:color w:val="auto"/>
        </w:rPr>
        <w:t>. In full satisfaction of the RSUs granted hereby, the Company will pay you the amount owed in cash, subject to applicable withholding.</w:t>
      </w:r>
    </w:p>
    <w:p>
      <w:pPr>
        <w:sectPr>
          <w:pgSz w:w="11900" w:h="16838" w:orient="portrait"/>
          <w:cols w:equalWidth="0" w:num="1">
            <w:col w:w="11240"/>
          </w:cols>
          <w:pgMar w:left="320" w:top="1440" w:right="339" w:bottom="1440" w:gutter="0" w:footer="0" w:header="0"/>
        </w:sectPr>
      </w:pPr>
    </w:p>
    <w:bookmarkStart w:id="39" w:name="page40"/>
    <w:bookmarkEnd w:id="39"/>
    <w:p>
      <w:pPr>
        <w:jc w:val="both"/>
        <w:ind w:firstLine="656"/>
        <w:spacing w:after="0" w:line="215" w:lineRule="auto"/>
        <w:tabs>
          <w:tab w:leader="none" w:pos="1285"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Gentex has the right to withhold from any payment required to be made in settlement of the Award (whether such settlement is in cash, in shares of Common Stock, or in a combination thereof) an amount sufficient to satisfy such federal, state, and local withholding tax requirements. To the extent that Gentex is required to withhold any federal, state, local or foreign taxes in connection with the receipt of RSUs under this Agreement, and the amounts available to Gentex for such withholding are insufficient, it will be a condition to the receipt of such delivery that you will pay such taxes or make arrangements that are satisfactory to Gentex for payment thereof.</w:t>
      </w:r>
    </w:p>
    <w:p>
      <w:pPr>
        <w:spacing w:after="0" w:line="194" w:lineRule="exact"/>
        <w:rPr>
          <w:rFonts w:ascii="Arial" w:cs="Arial" w:eastAsia="Arial" w:hAnsi="Arial"/>
          <w:sz w:val="20"/>
          <w:szCs w:val="20"/>
          <w:color w:val="auto"/>
        </w:rPr>
      </w:pPr>
    </w:p>
    <w:p>
      <w:pPr>
        <w:jc w:val="both"/>
        <w:ind w:firstLine="656"/>
        <w:spacing w:after="0" w:line="212" w:lineRule="auto"/>
        <w:tabs>
          <w:tab w:leader="none" w:pos="1285"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Pursuant to and subject to the terms and conditions set forth herein, and in the Plan, the Company hereby awards to the Grantee a right to receive in respect of each RSU held by the Grantee on a dividend record date occurring after the Grant Date and prior to the Vest Date, the equivalent value of any ordinary cash dividends that are paid on a share of Common Stock (“Dividend Equivalent”). Dividend Equivalents will be reinvested in the form of additional RSUs determined by dividing the value of the Dividend Equivalent by the Fair Market Value of a share of Common Stock on the Company’s dividend payment date. Dividend Equivalents will also accrue on the additional RSUs issued from Dividend Equivalents (and be reinvested into additional Dividend Equivalents). Dividend Equivalents are subject to the same conditions as the RSUs to which they are attributable, including but not limited to vesting, transferability, forfeiture, time and form of settlement as further described in this Agreement and the Plan.</w:t>
      </w:r>
    </w:p>
    <w:p>
      <w:pPr>
        <w:spacing w:after="0" w:line="196" w:lineRule="exact"/>
        <w:rPr>
          <w:rFonts w:ascii="Arial" w:cs="Arial" w:eastAsia="Arial" w:hAnsi="Arial"/>
          <w:sz w:val="20"/>
          <w:szCs w:val="20"/>
          <w:color w:val="auto"/>
        </w:rPr>
      </w:pPr>
    </w:p>
    <w:p>
      <w:pPr>
        <w:ind w:firstLine="656"/>
        <w:spacing w:after="0" w:line="236" w:lineRule="auto"/>
        <w:tabs>
          <w:tab w:leader="none" w:pos="128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RSUs Nontransferable</w:t>
      </w:r>
      <w:r>
        <w:rPr>
          <w:rFonts w:ascii="Arial" w:cs="Arial" w:eastAsia="Arial" w:hAnsi="Arial"/>
          <w:sz w:val="20"/>
          <w:szCs w:val="20"/>
          <w:color w:val="auto"/>
        </w:rPr>
        <w:t>. Neither the RSUs nor any interest therein will be transferable or assignable other than by will or the laws of descent and distribution prior to payment.</w:t>
      </w:r>
    </w:p>
    <w:p>
      <w:pPr>
        <w:spacing w:after="0" w:line="182" w:lineRule="exact"/>
        <w:rPr>
          <w:rFonts w:ascii="Arial" w:cs="Arial" w:eastAsia="Arial" w:hAnsi="Arial"/>
          <w:sz w:val="20"/>
          <w:szCs w:val="20"/>
          <w:color w:val="auto"/>
        </w:rPr>
      </w:pPr>
    </w:p>
    <w:p>
      <w:pPr>
        <w:jc w:val="both"/>
        <w:ind w:firstLine="656"/>
        <w:spacing w:after="0" w:line="218" w:lineRule="auto"/>
        <w:tabs>
          <w:tab w:leader="none" w:pos="1273"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Gentex will make any adjustments in the number of RSUs that Gentex may determine to be equitably required to prevent any dilution or expansion of your rights under this Agreement as further described in Section 13 of the Plan. Furthermore, in the event that any transaction or event described or referred to in the immediately preceding sentence will occur, Gentex may provide in substitution of any or all of your rights under this Agreement such alternative consideration as Gentex may determine in good faith to be equitable under the circumstances.</w:t>
      </w:r>
    </w:p>
    <w:p>
      <w:pPr>
        <w:spacing w:after="0" w:line="184" w:lineRule="exact"/>
        <w:rPr>
          <w:rFonts w:ascii="Arial" w:cs="Arial" w:eastAsia="Arial" w:hAnsi="Arial"/>
          <w:sz w:val="20"/>
          <w:szCs w:val="20"/>
          <w:color w:val="auto"/>
        </w:rPr>
      </w:pPr>
    </w:p>
    <w:p>
      <w:pPr>
        <w:jc w:val="both"/>
        <w:ind w:firstLine="656"/>
        <w:spacing w:after="0" w:line="220" w:lineRule="auto"/>
        <w:tabs>
          <w:tab w:leader="none" w:pos="128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 of the Code</w:t>
      </w:r>
      <w:r>
        <w:rPr>
          <w:rFonts w:ascii="Arial" w:cs="Arial" w:eastAsia="Arial" w:hAnsi="Arial"/>
          <w:sz w:val="20"/>
          <w:szCs w:val="20"/>
          <w:color w:val="auto"/>
        </w:rPr>
        <w:t>. To the extent applicable, it is intended that this Agreement and the Plan be exempt from or comply with the provisions of Section 409A of the Code, so that the income inclusion provisions of Section 409A(a)(1) of the Code do not apply to you. This Agreement and the Plan will be administered in a manner consistent with this intent.</w:t>
      </w:r>
    </w:p>
    <w:p>
      <w:pPr>
        <w:spacing w:after="0" w:line="196" w:lineRule="exact"/>
        <w:rPr>
          <w:rFonts w:ascii="Arial" w:cs="Arial" w:eastAsia="Arial" w:hAnsi="Arial"/>
          <w:sz w:val="20"/>
          <w:szCs w:val="20"/>
          <w:color w:val="auto"/>
        </w:rPr>
      </w:pPr>
    </w:p>
    <w:p>
      <w:pPr>
        <w:jc w:val="both"/>
        <w:ind w:firstLine="656"/>
        <w:spacing w:after="0" w:line="223" w:lineRule="auto"/>
        <w:tabs>
          <w:tab w:leader="none" w:pos="128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Right to Terminate Employment</w:t>
      </w:r>
      <w:r>
        <w:rPr>
          <w:rFonts w:ascii="Arial" w:cs="Arial" w:eastAsia="Arial" w:hAnsi="Arial"/>
          <w:sz w:val="20"/>
          <w:szCs w:val="20"/>
          <w:color w:val="auto"/>
        </w:rPr>
        <w:t>. Nothing contained in this Agreement will confer upon you any right with respect to continuance of employment by Gentex or any Subsidiary, nor limit or affect in any manner the right of Gentex or any Subsidiary to terminate the employment or adjust your compensation.</w:t>
      </w:r>
    </w:p>
    <w:p>
      <w:pPr>
        <w:spacing w:after="0" w:line="195" w:lineRule="exact"/>
        <w:rPr>
          <w:rFonts w:ascii="Arial" w:cs="Arial" w:eastAsia="Arial" w:hAnsi="Arial"/>
          <w:sz w:val="20"/>
          <w:szCs w:val="20"/>
          <w:color w:val="auto"/>
        </w:rPr>
      </w:pPr>
    </w:p>
    <w:p>
      <w:pPr>
        <w:jc w:val="both"/>
        <w:ind w:firstLine="656"/>
        <w:spacing w:after="0" w:line="218" w:lineRule="auto"/>
        <w:tabs>
          <w:tab w:leader="none" w:pos="128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Information</w:t>
      </w:r>
      <w:r>
        <w:rPr>
          <w:rFonts w:ascii="Arial" w:cs="Arial" w:eastAsia="Arial" w:hAnsi="Arial"/>
          <w:sz w:val="20"/>
          <w:szCs w:val="20"/>
          <w:color w:val="auto"/>
        </w:rPr>
        <w:t>. Information about you and your participation in the Plan may be collected, recorded and held, used and disclosed for any purpose related to the administration of the Plan. You understand that such processing of this information may need to be carried out by Gentex and its Subsidiaries and by third party administrators whether such persons are located within your country or elsewhere, including the United States of America. You consent to the processing of information relating to you and your participation in the Plan in any one or more of the ways referred to above.</w:t>
      </w:r>
    </w:p>
    <w:p>
      <w:pPr>
        <w:spacing w:after="0" w:line="184" w:lineRule="exact"/>
        <w:rPr>
          <w:rFonts w:ascii="Arial" w:cs="Arial" w:eastAsia="Arial" w:hAnsi="Arial"/>
          <w:sz w:val="20"/>
          <w:szCs w:val="20"/>
          <w:color w:val="auto"/>
        </w:rPr>
      </w:pPr>
    </w:p>
    <w:p>
      <w:pPr>
        <w:jc w:val="both"/>
        <w:ind w:firstLine="656"/>
        <w:spacing w:after="0" w:line="218" w:lineRule="auto"/>
        <w:tabs>
          <w:tab w:leader="none" w:pos="128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Relation to Other Benefits</w:t>
      </w:r>
      <w:r>
        <w:rPr>
          <w:rFonts w:ascii="Arial" w:cs="Arial" w:eastAsia="Arial" w:hAnsi="Arial"/>
          <w:sz w:val="20"/>
          <w:szCs w:val="20"/>
          <w:color w:val="auto"/>
        </w:rPr>
        <w:t>. Any economic or other benefit to you under this Agreement or the Plan will not be taken into account or considered as salary or compensation in determining any benefits to which you may be entitled under any profit-sharing, retirement or other benefit or compensation plan maintained by Gentex or any Subsidiary, except to the extent otherwise expressly provided under any such plan, and will not affect the amount of any life insurance coverage available to any beneficiary under any life insurance plan covering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4"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employees of Gentex or a Subsidiary, except to the extent otherwise expressly provided under any such plan.</w:t>
      </w:r>
    </w:p>
    <w:p>
      <w:pPr>
        <w:spacing w:after="0" w:line="216" w:lineRule="exact"/>
        <w:rPr>
          <w:sz w:val="20"/>
          <w:szCs w:val="20"/>
          <w:color w:val="auto"/>
        </w:rPr>
      </w:pPr>
    </w:p>
    <w:p>
      <w:pPr>
        <w:jc w:val="both"/>
        <w:ind w:firstLine="656"/>
        <w:spacing w:after="0" w:line="215" w:lineRule="auto"/>
        <w:tabs>
          <w:tab w:leader="none" w:pos="1287"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Relation to Plan</w:t>
      </w:r>
      <w:r>
        <w:rPr>
          <w:rFonts w:ascii="Arial" w:cs="Arial" w:eastAsia="Arial" w:hAnsi="Arial"/>
          <w:sz w:val="20"/>
          <w:szCs w:val="20"/>
          <w:color w:val="auto"/>
        </w:rPr>
        <w:t>. This Agreement is subject to the terms and conditions of the Plan. In the event of any inconsistency between the provisions of this Agreement and the Plan, the Plan will govern. The Board or the Compensation Committee will, except as expressly provided otherwise herein, have the right to determine any questions which arise in connection with the grant of RSUs. By your acceptance of the award under this Agreement, you acknowledge receipt of a copy of the Prospectus for the Plan and your agreement to the terms and conditions of the Plan and this Agreement.</w:t>
      </w:r>
    </w:p>
    <w:p>
      <w:pPr>
        <w:spacing w:after="0" w:line="198" w:lineRule="exact"/>
        <w:rPr>
          <w:rFonts w:ascii="Arial" w:cs="Arial" w:eastAsia="Arial" w:hAnsi="Arial"/>
          <w:sz w:val="20"/>
          <w:szCs w:val="20"/>
          <w:color w:val="auto"/>
        </w:rPr>
      </w:pPr>
    </w:p>
    <w:p>
      <w:pPr>
        <w:jc w:val="both"/>
        <w:ind w:firstLine="656"/>
        <w:spacing w:after="0" w:line="220" w:lineRule="auto"/>
        <w:tabs>
          <w:tab w:leader="none" w:pos="1287"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Any amendment to the Plan will be deemed to be an amendment to this Agreement to the extent that the amendment is applicable hereto; provided, however, that no amendment will adversely affect your rights under this Agreement without your consent (provided, however, that your consent will not be required to an amendment that is deemed necessary by Gentex to ensure exemption from or compliance with Section 409A of the Code).</w:t>
      </w:r>
    </w:p>
    <w:p>
      <w:pPr>
        <w:spacing w:after="0" w:line="196" w:lineRule="exact"/>
        <w:rPr>
          <w:rFonts w:ascii="Arial" w:cs="Arial" w:eastAsia="Arial" w:hAnsi="Arial"/>
          <w:sz w:val="20"/>
          <w:szCs w:val="20"/>
          <w:color w:val="auto"/>
        </w:rPr>
      </w:pPr>
    </w:p>
    <w:p>
      <w:pPr>
        <w:jc w:val="both"/>
        <w:ind w:firstLine="656"/>
        <w:spacing w:after="0" w:line="232" w:lineRule="auto"/>
        <w:tabs>
          <w:tab w:leader="none" w:pos="1287"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or the application of any provision in this Agreement to any person or circumstances is held invalid, unenforceable or otherwise illegal, the remainder of this Agreement and the application of such provision to any other person or circumstances will not be affected, and the provisions so held to be invalid, unenforceable or otherwise illegal will be reformed to the extent (and only to the extent) necessary to make it enforceable, valid and legal.</w:t>
      </w:r>
    </w:p>
    <w:p>
      <w:pPr>
        <w:spacing w:after="0" w:line="181" w:lineRule="exact"/>
        <w:rPr>
          <w:rFonts w:ascii="Arial" w:cs="Arial" w:eastAsia="Arial" w:hAnsi="Arial"/>
          <w:sz w:val="19"/>
          <w:szCs w:val="19"/>
          <w:color w:val="auto"/>
        </w:rPr>
      </w:pPr>
    </w:p>
    <w:p>
      <w:pPr>
        <w:jc w:val="both"/>
        <w:ind w:firstLine="656"/>
        <w:spacing w:after="0" w:line="228" w:lineRule="auto"/>
        <w:tabs>
          <w:tab w:leader="none" w:pos="1287"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Compliance with Law</w:t>
      </w:r>
      <w:r>
        <w:rPr>
          <w:rFonts w:ascii="Arial" w:cs="Arial" w:eastAsia="Arial" w:hAnsi="Arial"/>
          <w:sz w:val="20"/>
          <w:szCs w:val="20"/>
          <w:color w:val="auto"/>
        </w:rPr>
        <w:t>. Notwithstanding any other provision of this Agreement, the RSUs covered by this Agreement will not be exercisable or otherwise paid if the payment thereof would result in violation of any applicable federal or state securities law.</w:t>
      </w:r>
    </w:p>
    <w:p>
      <w:pPr>
        <w:spacing w:after="0" w:line="181" w:lineRule="exact"/>
        <w:rPr>
          <w:rFonts w:ascii="Arial" w:cs="Arial" w:eastAsia="Arial" w:hAnsi="Arial"/>
          <w:sz w:val="20"/>
          <w:szCs w:val="20"/>
          <w:color w:val="auto"/>
        </w:rPr>
      </w:pPr>
    </w:p>
    <w:p>
      <w:pPr>
        <w:jc w:val="both"/>
        <w:ind w:firstLine="656"/>
        <w:spacing w:after="0" w:line="223" w:lineRule="auto"/>
        <w:tabs>
          <w:tab w:leader="none" w:pos="1287"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Without limiting Section 9 above, the provisions of this Agreement will inure to the benefit of, and be binding upon, your successors, administrators, heirs, legal representatives and assigns, and the successors and assigns of Gentex.</w:t>
      </w:r>
    </w:p>
    <w:p>
      <w:pPr>
        <w:spacing w:after="0" w:line="195" w:lineRule="exact"/>
        <w:rPr>
          <w:rFonts w:ascii="Arial" w:cs="Arial" w:eastAsia="Arial" w:hAnsi="Arial"/>
          <w:sz w:val="20"/>
          <w:szCs w:val="20"/>
          <w:color w:val="auto"/>
        </w:rPr>
      </w:pPr>
    </w:p>
    <w:p>
      <w:pPr>
        <w:ind w:firstLine="656"/>
        <w:spacing w:after="0" w:line="236" w:lineRule="auto"/>
        <w:tabs>
          <w:tab w:leader="none" w:pos="1287"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and construed in accordance with the internal substantive laws of the State of Michigan, without giving effect to any principles of conflict of laws thereof.</w:t>
      </w:r>
    </w:p>
    <w:p>
      <w:pPr>
        <w:spacing w:after="0" w:line="182" w:lineRule="exact"/>
        <w:rPr>
          <w:rFonts w:ascii="Arial" w:cs="Arial" w:eastAsia="Arial" w:hAnsi="Arial"/>
          <w:sz w:val="20"/>
          <w:szCs w:val="20"/>
          <w:color w:val="auto"/>
        </w:rPr>
      </w:pPr>
    </w:p>
    <w:p>
      <w:pPr>
        <w:ind w:firstLine="656"/>
        <w:spacing w:after="0" w:line="236" w:lineRule="auto"/>
        <w:tabs>
          <w:tab w:leader="none" w:pos="1287"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Failure to Enforce Not a Waiver</w:t>
      </w:r>
      <w:r>
        <w:rPr>
          <w:rFonts w:ascii="Arial" w:cs="Arial" w:eastAsia="Arial" w:hAnsi="Arial"/>
          <w:sz w:val="20"/>
          <w:szCs w:val="20"/>
          <w:color w:val="auto"/>
        </w:rPr>
        <w:t>. The failure of Gentex to enforce at any time any provision of this Agreement shall in no way be construed to be a waiver of such provision or of any other provision hereof.</w:t>
      </w:r>
    </w:p>
    <w:p>
      <w:pPr>
        <w:spacing w:after="0" w:line="195" w:lineRule="exact"/>
        <w:rPr>
          <w:rFonts w:ascii="Arial" w:cs="Arial" w:eastAsia="Arial" w:hAnsi="Arial"/>
          <w:sz w:val="20"/>
          <w:szCs w:val="20"/>
          <w:color w:val="auto"/>
        </w:rPr>
      </w:pPr>
    </w:p>
    <w:p>
      <w:pPr>
        <w:ind w:firstLine="656"/>
        <w:spacing w:after="0" w:line="229" w:lineRule="auto"/>
        <w:tabs>
          <w:tab w:leader="none" w:pos="1287"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No Shareholder Rights Prior to Exercise of RSUs</w:t>
      </w:r>
      <w:r>
        <w:rPr>
          <w:rFonts w:ascii="Arial" w:cs="Arial" w:eastAsia="Arial" w:hAnsi="Arial"/>
          <w:sz w:val="20"/>
          <w:szCs w:val="20"/>
          <w:color w:val="auto"/>
        </w:rPr>
        <w:t>. With respect to the RSUs, you will have no rights as a shareholder until the proper exercise of RSUs.</w:t>
      </w:r>
    </w:p>
    <w:p>
      <w:pPr>
        <w:spacing w:after="0" w:line="195" w:lineRule="exact"/>
        <w:rPr>
          <w:rFonts w:ascii="Arial" w:cs="Arial" w:eastAsia="Arial" w:hAnsi="Arial"/>
          <w:sz w:val="20"/>
          <w:szCs w:val="20"/>
          <w:color w:val="auto"/>
        </w:rPr>
      </w:pPr>
    </w:p>
    <w:p>
      <w:pPr>
        <w:ind w:left="1300" w:hanging="644"/>
        <w:spacing w:after="0"/>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Detrimental Activity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980"/>
        <w:spacing w:after="0" w:line="215" w:lineRule="auto"/>
        <w:tabs>
          <w:tab w:leader="none" w:pos="1295" w:val="left"/>
        </w:tabs>
        <w:numPr>
          <w:ilvl w:val="1"/>
          <w:numId w:val="27"/>
        </w:numPr>
        <w:rPr>
          <w:rFonts w:ascii="Arial" w:cs="Arial" w:eastAsia="Arial" w:hAnsi="Arial"/>
          <w:sz w:val="20"/>
          <w:szCs w:val="20"/>
          <w:color w:val="auto"/>
        </w:rPr>
      </w:pPr>
      <w:r>
        <w:rPr>
          <w:rFonts w:ascii="Arial" w:cs="Arial" w:eastAsia="Arial" w:hAnsi="Arial"/>
          <w:sz w:val="20"/>
          <w:szCs w:val="20"/>
          <w:color w:val="auto"/>
        </w:rPr>
        <w:t>If the Board or the Compensation Committee determines that you engaged in any Detrimental Activity, then, promptly upon receiving notice of the Board's or the Compensation Committee's finding, you shall: (i) forfeit all rights under this Agreement to the extent it remains outstanding; (ii) return to Gentex all RSUs and Shares acquired pursuant to this Agreement to the extent then still held by or for you; (iii) with respect to any Shares acquired pursuant to this Agreement that are no longer held by or for you, pay to Gentex the Market Value Per Share of such Shares on the date acquired.</w:t>
      </w:r>
    </w:p>
    <w:p>
      <w:pPr>
        <w:spacing w:after="0" w:line="198" w:lineRule="exact"/>
        <w:rPr>
          <w:rFonts w:ascii="Arial" w:cs="Arial" w:eastAsia="Arial" w:hAnsi="Arial"/>
          <w:sz w:val="20"/>
          <w:szCs w:val="20"/>
          <w:color w:val="auto"/>
        </w:rPr>
      </w:pPr>
    </w:p>
    <w:p>
      <w:pPr>
        <w:jc w:val="both"/>
        <w:ind w:firstLine="980"/>
        <w:spacing w:after="0" w:line="220" w:lineRule="auto"/>
        <w:tabs>
          <w:tab w:leader="none" w:pos="1295" w:val="left"/>
        </w:tabs>
        <w:numPr>
          <w:ilvl w:val="1"/>
          <w:numId w:val="27"/>
        </w:numPr>
        <w:rPr>
          <w:rFonts w:ascii="Arial" w:cs="Arial" w:eastAsia="Arial" w:hAnsi="Arial"/>
          <w:sz w:val="20"/>
          <w:szCs w:val="20"/>
          <w:color w:val="auto"/>
        </w:rPr>
      </w:pPr>
      <w:r>
        <w:rPr>
          <w:rFonts w:ascii="Arial" w:cs="Arial" w:eastAsia="Arial" w:hAnsi="Arial"/>
          <w:sz w:val="20"/>
          <w:szCs w:val="20"/>
          <w:color w:val="auto"/>
        </w:rPr>
        <w:t>To the extent that such Shares are not returned to or amounts are not paid to Gentex, Gentex may seek other remedies, including without limitation a set off of the amounts so payable to it against any amounts that may be owing from time to time by Gentex or a Subsidiary to you for any reason, including without limitation wages, deferred compensation or vacation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4" w:right="339" w:bottom="1440" w:gutter="0" w:footer="0" w:header="0"/>
        </w:sectPr>
      </w:pPr>
    </w:p>
    <w:bookmarkStart w:id="41" w:name="page42"/>
    <w:bookmarkEnd w:id="41"/>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Certain Defined Terms</w:t>
      </w:r>
      <w:r>
        <w:rPr>
          <w:rFonts w:ascii="Arial" w:cs="Arial" w:eastAsia="Arial" w:hAnsi="Arial"/>
          <w:sz w:val="20"/>
          <w:szCs w:val="20"/>
          <w:color w:val="auto"/>
        </w:rPr>
        <w:t>. For purposes of this Agreement:</w:t>
      </w:r>
    </w:p>
    <w:p>
      <w:pPr>
        <w:spacing w:after="0" w:line="210" w:lineRule="exact"/>
        <w:rPr>
          <w:sz w:val="20"/>
          <w:szCs w:val="20"/>
          <w:color w:val="auto"/>
        </w:rPr>
      </w:pPr>
    </w:p>
    <w:p>
      <w:pPr>
        <w:ind w:firstLine="648"/>
        <w:spacing w:after="0" w:line="214" w:lineRule="auto"/>
        <w:rPr>
          <w:sz w:val="20"/>
          <w:szCs w:val="20"/>
          <w:color w:val="auto"/>
        </w:rPr>
      </w:pPr>
      <w:r>
        <w:rPr>
          <w:rFonts w:ascii="Arial" w:cs="Arial" w:eastAsia="Arial" w:hAnsi="Arial"/>
          <w:sz w:val="20"/>
          <w:szCs w:val="20"/>
          <w:i w:val="1"/>
          <w:iCs w:val="1"/>
          <w:color w:val="auto"/>
        </w:rPr>
        <w:t xml:space="preserve">"Cause" </w:t>
      </w:r>
      <w:r>
        <w:rPr>
          <w:rFonts w:ascii="Arial" w:cs="Arial" w:eastAsia="Arial" w:hAnsi="Arial"/>
          <w:sz w:val="20"/>
          <w:szCs w:val="20"/>
          <w:color w:val="auto"/>
        </w:rPr>
        <w:t>shall mean (A) the intentional engagement in any acts or omissions constituting dishonesty, breach of a</w:t>
      </w:r>
      <w:r>
        <w:rPr>
          <w:rFonts w:ascii="Arial" w:cs="Arial" w:eastAsia="Arial" w:hAnsi="Arial"/>
          <w:sz w:val="20"/>
          <w:szCs w:val="20"/>
          <w:i w:val="1"/>
          <w:iCs w:val="1"/>
          <w:color w:val="auto"/>
        </w:rPr>
        <w:t xml:space="preserve"> </w:t>
      </w:r>
      <w:r>
        <w:rPr>
          <w:rFonts w:ascii="Arial" w:cs="Arial" w:eastAsia="Arial" w:hAnsi="Arial"/>
          <w:sz w:val="20"/>
          <w:szCs w:val="20"/>
          <w:color w:val="auto"/>
        </w:rPr>
        <w:t>fiduciary obligation, wrongdoing or misfeasance, in each case, in connection with your duties or otherwise during the course of</w:t>
      </w:r>
    </w:p>
    <w:p>
      <w:pPr>
        <w:spacing w:after="0" w:line="212" w:lineRule="auto"/>
        <w:rPr>
          <w:sz w:val="20"/>
          <w:szCs w:val="20"/>
          <w:color w:val="auto"/>
        </w:rPr>
      </w:pPr>
      <w:r>
        <w:rPr>
          <w:rFonts w:ascii="Arial" w:cs="Arial" w:eastAsia="Arial" w:hAnsi="Arial"/>
          <w:sz w:val="20"/>
          <w:szCs w:val="20"/>
          <w:color w:val="auto"/>
        </w:rPr>
        <w:t>your employment with Gentex or any Subsidiary; (B) the commission of a felony or the indictment for any felony, including, but</w:t>
      </w:r>
    </w:p>
    <w:p>
      <w:pPr>
        <w:spacing w:after="0" w:line="1" w:lineRule="exact"/>
        <w:rPr>
          <w:sz w:val="20"/>
          <w:szCs w:val="20"/>
          <w:color w:val="auto"/>
        </w:rPr>
      </w:pPr>
    </w:p>
    <w:p>
      <w:pPr>
        <w:ind w:right="20"/>
        <w:spacing w:after="0" w:line="215" w:lineRule="auto"/>
        <w:rPr>
          <w:sz w:val="20"/>
          <w:szCs w:val="20"/>
          <w:color w:val="auto"/>
        </w:rPr>
      </w:pPr>
      <w:r>
        <w:rPr>
          <w:rFonts w:ascii="Arial" w:cs="Arial" w:eastAsia="Arial" w:hAnsi="Arial"/>
          <w:sz w:val="19"/>
          <w:szCs w:val="19"/>
          <w:color w:val="auto"/>
        </w:rPr>
        <w:t>not limited to, any felony involving fraud, embezzlement, moral turpitude or theft; (C) the intentional and wrongful damaging of property, contractual interests or business relationships of Gentex or any Subsidiary; (D) the intentional and wrongful disclosure</w:t>
      </w:r>
    </w:p>
    <w:p>
      <w:pPr>
        <w:spacing w:after="0" w:line="211" w:lineRule="auto"/>
        <w:rPr>
          <w:sz w:val="20"/>
          <w:szCs w:val="20"/>
          <w:color w:val="auto"/>
        </w:rPr>
      </w:pPr>
      <w:r>
        <w:rPr>
          <w:rFonts w:ascii="Arial" w:cs="Arial" w:eastAsia="Arial" w:hAnsi="Arial"/>
          <w:sz w:val="20"/>
          <w:szCs w:val="20"/>
          <w:color w:val="auto"/>
        </w:rPr>
        <w:t>of secret processes or confidential information of Gentex or any Subsidiary in violation of an agreement with or a policy of</w:t>
      </w:r>
    </w:p>
    <w:p>
      <w:pPr>
        <w:ind w:right="20"/>
        <w:spacing w:after="0" w:line="204" w:lineRule="auto"/>
        <w:rPr>
          <w:sz w:val="20"/>
          <w:szCs w:val="20"/>
          <w:color w:val="auto"/>
        </w:rPr>
      </w:pPr>
      <w:r>
        <w:rPr>
          <w:rFonts w:ascii="Arial" w:cs="Arial" w:eastAsia="Arial" w:hAnsi="Arial"/>
          <w:sz w:val="20"/>
          <w:szCs w:val="20"/>
          <w:color w:val="auto"/>
        </w:rPr>
        <w:t>Gentex or a Subsidiary; (E) the continued failure to substantially perform your duties for Gentex or a Subsidiary; (F) current alcohol or prescription drug abuse affecting work performance; (G) current illegal use of drugs; or (H) any intentional conduct</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contrary to announced policies or practices of Gentex or any Subsidiary (including, but not limited to, those contained in Gentex's Code of Business Conduct and Ethics).</w:t>
      </w:r>
    </w:p>
    <w:p>
      <w:pPr>
        <w:spacing w:after="0" w:line="176" w:lineRule="exact"/>
        <w:rPr>
          <w:sz w:val="20"/>
          <w:szCs w:val="20"/>
          <w:color w:val="auto"/>
        </w:rPr>
      </w:pPr>
    </w:p>
    <w:p>
      <w:pPr>
        <w:ind w:right="20" w:firstLine="648"/>
        <w:spacing w:after="0" w:line="233" w:lineRule="auto"/>
        <w:rPr>
          <w:sz w:val="20"/>
          <w:szCs w:val="20"/>
          <w:color w:val="auto"/>
        </w:rPr>
      </w:pPr>
      <w:r>
        <w:rPr>
          <w:rFonts w:ascii="Arial" w:cs="Arial" w:eastAsia="Arial" w:hAnsi="Arial"/>
          <w:sz w:val="19"/>
          <w:szCs w:val="19"/>
          <w:i w:val="1"/>
          <w:iCs w:val="1"/>
          <w:color w:val="auto"/>
        </w:rPr>
        <w:t xml:space="preserve">"Detrimental Activity" </w:t>
      </w:r>
      <w:r>
        <w:rPr>
          <w:rFonts w:ascii="Arial" w:cs="Arial" w:eastAsia="Arial" w:hAnsi="Arial"/>
          <w:sz w:val="19"/>
          <w:szCs w:val="19"/>
          <w:color w:val="auto"/>
        </w:rPr>
        <w:t>shall mean: (A) engaging in any activity of competition or solicitation prohibited by any noncompete</w:t>
      </w:r>
      <w:r>
        <w:rPr>
          <w:rFonts w:ascii="Arial" w:cs="Arial" w:eastAsia="Arial" w:hAnsi="Arial"/>
          <w:sz w:val="19"/>
          <w:szCs w:val="19"/>
          <w:i w:val="1"/>
          <w:iCs w:val="1"/>
          <w:color w:val="auto"/>
        </w:rPr>
        <w:t xml:space="preserve"> </w:t>
      </w:r>
      <w:r>
        <w:rPr>
          <w:rFonts w:ascii="Arial" w:cs="Arial" w:eastAsia="Arial" w:hAnsi="Arial"/>
          <w:sz w:val="19"/>
          <w:szCs w:val="19"/>
          <w:color w:val="auto"/>
        </w:rPr>
        <w:t>or nonsolicitation agreement between you and Gentex or a Subsidiary or by any policy of Gentex; (B) the disclosure to anyone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outside Gentex or a Subsidiary, or the use in other than Gentex's or a Subsidiary's business, (i) without prior written authorization from Gentex, of any confidential, proprietary or trade secret information or material relating to the business of</w:t>
      </w:r>
    </w:p>
    <w:p>
      <w:pPr>
        <w:spacing w:after="0" w:line="211" w:lineRule="auto"/>
        <w:rPr>
          <w:sz w:val="20"/>
          <w:szCs w:val="20"/>
          <w:color w:val="auto"/>
        </w:rPr>
      </w:pPr>
      <w:r>
        <w:rPr>
          <w:rFonts w:ascii="Arial" w:cs="Arial" w:eastAsia="Arial" w:hAnsi="Arial"/>
          <w:sz w:val="20"/>
          <w:szCs w:val="20"/>
          <w:color w:val="auto"/>
        </w:rPr>
        <w:t>Gentex or its Subsidiaries and acquired by you during your employment or other service with Gentex or any of its Subsidiaries,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or (ii) in violation of any covenant not to disclose set forth in any agreement between you and Gentex or a Subsidiary or in any policy of Gentex; (C) the (i) unreasonable failure or refusal to disclose promptly and to assign to Gentex or a Subsidiary upon</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request all right, title and interest in any invention or idea, patentable or not, made or conceived by you during your service with Gentex or any of its Subsidiaries and relating in any manner to the actual or anticipated business, research or development work</w:t>
      </w:r>
    </w:p>
    <w:p>
      <w:pPr>
        <w:spacing w:after="0" w:line="211" w:lineRule="auto"/>
        <w:rPr>
          <w:sz w:val="20"/>
          <w:szCs w:val="20"/>
          <w:color w:val="auto"/>
        </w:rPr>
      </w:pPr>
      <w:r>
        <w:rPr>
          <w:rFonts w:ascii="Arial" w:cs="Arial" w:eastAsia="Arial" w:hAnsi="Arial"/>
          <w:sz w:val="20"/>
          <w:szCs w:val="20"/>
          <w:color w:val="auto"/>
        </w:rPr>
        <w:t>of Gentex or any Subsidiary or the failure or refusal to do anything reasonably necessary to enable Gentex or any Subsidiary to</w:t>
      </w:r>
    </w:p>
    <w:p>
      <w:pPr>
        <w:spacing w:after="0" w:line="215" w:lineRule="auto"/>
        <w:rPr>
          <w:sz w:val="20"/>
          <w:szCs w:val="20"/>
          <w:color w:val="auto"/>
        </w:rPr>
      </w:pPr>
      <w:r>
        <w:rPr>
          <w:rFonts w:ascii="Arial" w:cs="Arial" w:eastAsia="Arial" w:hAnsi="Arial"/>
          <w:sz w:val="19"/>
          <w:szCs w:val="19"/>
          <w:color w:val="auto"/>
        </w:rPr>
        <w:t>secure a patent where appropriate in the United States or in other countries, or (ii) violation of any development and inventions provision set forth in any agreement between you and Gentex or a Subsidiary or in any policy of Gentex; (D) activity during your</w:t>
      </w:r>
    </w:p>
    <w:p>
      <w:pPr>
        <w:spacing w:after="0" w:line="211" w:lineRule="auto"/>
        <w:rPr>
          <w:sz w:val="20"/>
          <w:szCs w:val="20"/>
          <w:color w:val="auto"/>
        </w:rPr>
      </w:pPr>
      <w:r>
        <w:rPr>
          <w:rFonts w:ascii="Arial" w:cs="Arial" w:eastAsia="Arial" w:hAnsi="Arial"/>
          <w:sz w:val="20"/>
          <w:szCs w:val="20"/>
          <w:color w:val="auto"/>
        </w:rPr>
        <w:t>employment by Gentex or a Subsidiary that could form the basis of your termination for Cause; or (E) if you are or were an</w:t>
      </w:r>
    </w:p>
    <w:p>
      <w:pPr>
        <w:ind w:right="20"/>
        <w:spacing w:after="0" w:line="222" w:lineRule="auto"/>
        <w:rPr>
          <w:sz w:val="20"/>
          <w:szCs w:val="20"/>
          <w:color w:val="auto"/>
        </w:rPr>
      </w:pPr>
      <w:r>
        <w:rPr>
          <w:rFonts w:ascii="Arial" w:cs="Arial" w:eastAsia="Arial" w:hAnsi="Arial"/>
          <w:sz w:val="20"/>
          <w:szCs w:val="20"/>
          <w:color w:val="auto"/>
        </w:rPr>
        <w:t>officer of Gentex, activity that the Board or the Compensation Committee determines entitles Gentex to seek recovery from an officer under any policy promulgated by the Board or the Compensation Committee as in effect on the date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"Disability" </w:t>
      </w:r>
      <w:r>
        <w:rPr>
          <w:rFonts w:ascii="Arial" w:cs="Arial" w:eastAsia="Arial" w:hAnsi="Arial"/>
          <w:sz w:val="19"/>
          <w:szCs w:val="19"/>
          <w:color w:val="auto"/>
        </w:rPr>
        <w:t>shall mean a termination of employment under circumstances that would make you eligible to receive benefits</w:t>
      </w:r>
    </w:p>
    <w:p>
      <w:pPr>
        <w:spacing w:after="0" w:line="4"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under Gentex's long-term disability plan, as it may be in effect from time to time, or any successor plan, program, agreement or arrangement.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"Retirement" </w:t>
      </w:r>
      <w:r>
        <w:rPr>
          <w:rFonts w:ascii="Arial" w:cs="Arial" w:eastAsia="Arial" w:hAnsi="Arial"/>
          <w:sz w:val="20"/>
          <w:szCs w:val="20"/>
          <w:color w:val="auto"/>
        </w:rPr>
        <w:t>shall mean termination of employment (other than termination for Cause or due to death or Disability) at or</w:t>
      </w:r>
    </w:p>
    <w:p>
      <w:pPr>
        <w:spacing w:after="0" w:line="222" w:lineRule="auto"/>
        <w:rPr>
          <w:sz w:val="20"/>
          <w:szCs w:val="20"/>
          <w:color w:val="auto"/>
        </w:rPr>
      </w:pPr>
      <w:r>
        <w:rPr>
          <w:rFonts w:ascii="Arial" w:cs="Arial" w:eastAsia="Arial" w:hAnsi="Arial"/>
          <w:sz w:val="20"/>
          <w:szCs w:val="20"/>
          <w:color w:val="auto"/>
        </w:rPr>
        <w:t>after age 60 with at least 10 years of service with Gentex or a Subsidiary or at or after age 65, with at least 5 years of service with Gentex or a Subsidiary, in each case requiring six months advance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3" w:lineRule="auto"/>
        <w:tabs>
          <w:tab w:leader="none" w:pos="2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0" w:lineRule="exact"/>
        <w:rPr>
          <w:rFonts w:ascii="Arial" w:cs="Arial" w:eastAsia="Arial" w:hAnsi="Arial"/>
          <w:sz w:val="18"/>
          <w:szCs w:val="18"/>
          <w:color w:val="auto"/>
        </w:rPr>
      </w:pPr>
    </w:p>
    <w:p>
      <w:pPr>
        <w:jc w:val="both"/>
        <w:ind w:left="240" w:hanging="232"/>
        <w:spacing w:after="0" w:line="263" w:lineRule="auto"/>
        <w:tabs>
          <w:tab w:leader="none" w:pos="2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10" w:lineRule="exact"/>
        <w:rPr>
          <w:rFonts w:ascii="Arial" w:cs="Arial" w:eastAsia="Arial" w:hAnsi="Arial"/>
          <w:sz w:val="18"/>
          <w:szCs w:val="18"/>
          <w:color w:val="auto"/>
        </w:rPr>
      </w:pPr>
    </w:p>
    <w:p>
      <w:pPr>
        <w:jc w:val="both"/>
        <w:ind w:left="240" w:hanging="232"/>
        <w:spacing w:after="0" w:line="257" w:lineRule="auto"/>
        <w:tabs>
          <w:tab w:leader="none" w:pos="2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40" w:lineRule="exact"/>
        <w:rPr>
          <w:rFonts w:ascii="Arial" w:cs="Arial" w:eastAsia="Arial" w:hAnsi="Arial"/>
          <w:sz w:val="18"/>
          <w:szCs w:val="18"/>
          <w:color w:val="auto"/>
        </w:rPr>
      </w:pPr>
    </w:p>
    <w:p>
      <w:pPr>
        <w:jc w:val="both"/>
        <w:ind w:left="660" w:hanging="238"/>
        <w:spacing w:after="0" w:line="263" w:lineRule="auto"/>
        <w:tabs>
          <w:tab w:leader="none" w:pos="64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4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77"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240" w:hanging="232"/>
        <w:spacing w:after="0" w:line="263" w:lineRule="auto"/>
        <w:tabs>
          <w:tab w:leader="none" w:pos="2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660" w:hanging="238"/>
        <w:spacing w:after="0" w:line="275" w:lineRule="auto"/>
        <w:tabs>
          <w:tab w:leader="none" w:pos="64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ind w:left="660" w:hanging="238"/>
        <w:spacing w:after="0" w:line="275" w:lineRule="auto"/>
        <w:tabs>
          <w:tab w:leader="none" w:pos="6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27"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3" w:lineRule="auto"/>
        <w:tabs>
          <w:tab w:leader="none" w:pos="2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0" w:lineRule="exact"/>
        <w:rPr>
          <w:rFonts w:ascii="Arial" w:cs="Arial" w:eastAsia="Arial" w:hAnsi="Arial"/>
          <w:sz w:val="18"/>
          <w:szCs w:val="18"/>
          <w:color w:val="auto"/>
        </w:rPr>
      </w:pPr>
    </w:p>
    <w:p>
      <w:pPr>
        <w:jc w:val="both"/>
        <w:ind w:left="240" w:hanging="232"/>
        <w:spacing w:after="0" w:line="263" w:lineRule="auto"/>
        <w:tabs>
          <w:tab w:leader="none" w:pos="2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10" w:lineRule="exact"/>
        <w:rPr>
          <w:rFonts w:ascii="Arial" w:cs="Arial" w:eastAsia="Arial" w:hAnsi="Arial"/>
          <w:sz w:val="18"/>
          <w:szCs w:val="18"/>
          <w:color w:val="auto"/>
        </w:rPr>
      </w:pPr>
    </w:p>
    <w:p>
      <w:pPr>
        <w:jc w:val="both"/>
        <w:ind w:left="240" w:hanging="232"/>
        <w:spacing w:after="0" w:line="257" w:lineRule="auto"/>
        <w:tabs>
          <w:tab w:leader="none" w:pos="2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40" w:lineRule="exact"/>
        <w:rPr>
          <w:rFonts w:ascii="Arial" w:cs="Arial" w:eastAsia="Arial" w:hAnsi="Arial"/>
          <w:sz w:val="18"/>
          <w:szCs w:val="18"/>
          <w:color w:val="auto"/>
        </w:rPr>
      </w:pPr>
    </w:p>
    <w:p>
      <w:pPr>
        <w:jc w:val="both"/>
        <w:ind w:left="660" w:hanging="238"/>
        <w:spacing w:after="0" w:line="263" w:lineRule="auto"/>
        <w:tabs>
          <w:tab w:leader="none" w:pos="64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4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240" w:hanging="232"/>
        <w:spacing w:after="0" w:line="263" w:lineRule="auto"/>
        <w:tabs>
          <w:tab w:leader="none" w:pos="2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660" w:hanging="238"/>
        <w:spacing w:after="0" w:line="275" w:lineRule="auto"/>
        <w:tabs>
          <w:tab w:leader="none" w:pos="64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ind w:left="660" w:hanging="238"/>
        <w:spacing w:after="0" w:line="275" w:lineRule="auto"/>
        <w:tabs>
          <w:tab w:leader="none" w:pos="6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27"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01" w:lineRule="exact"/>
        <w:rPr>
          <w:sz w:val="20"/>
          <w:szCs w:val="20"/>
          <w:color w:val="auto"/>
        </w:rPr>
      </w:pPr>
    </w:p>
    <w:p>
      <w:pPr>
        <w:ind w:left="240" w:hanging="232"/>
        <w:spacing w:after="0" w:line="275" w:lineRule="auto"/>
        <w:tabs>
          <w:tab w:leader="none" w:pos="2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2023, which this statement accompanies,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ind w:left="240" w:right="20" w:hanging="232"/>
        <w:spacing w:after="0" w:line="275" w:lineRule="auto"/>
        <w:tabs>
          <w:tab w:leader="none" w:pos="2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September 30, 2023,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7"/>
    </w:lvl>
  </w:abstractNum>
  <w:abstractNum w:abstractNumId="11">
    <w:nsid w:val="333AB105"/>
    <w:multiLevelType w:val="hybridMultilevel"/>
    <w:lvl w:ilvl="0">
      <w:lvlJc w:val="left"/>
      <w:lvlText w:val="(%1)"/>
      <w:numFmt w:val="decimal"/>
      <w:start w:val="8"/>
    </w:lvl>
  </w:abstractNum>
  <w:abstractNum w:abstractNumId="12">
    <w:nsid w:val="721DA317"/>
    <w:multiLevelType w:val="hybridMultilevel"/>
    <w:lvl w:ilvl="0">
      <w:lvlJc w:val="left"/>
      <w:lvlText w:val="(%1)"/>
      <w:numFmt w:val="decimal"/>
      <w:start w:val="9"/>
    </w:lvl>
  </w:abstractNum>
  <w:abstractNum w:abstractNumId="13">
    <w:nsid w:val="2443A858"/>
    <w:multiLevelType w:val="hybridMultilevel"/>
    <w:lvl w:ilvl="0">
      <w:lvlJc w:val="left"/>
      <w:lvlText w:val="(%1)"/>
      <w:numFmt w:val="decimal"/>
      <w:start w:val="10"/>
    </w:lvl>
  </w:abstractNum>
  <w:abstractNum w:abstractNumId="14">
    <w:nsid w:val="2D1D5AE9"/>
    <w:multiLevelType w:val="hybridMultilevel"/>
    <w:lvl w:ilvl="0">
      <w:lvlJc w:val="left"/>
      <w:lvlText w:val="(%1)"/>
      <w:numFmt w:val="decimal"/>
      <w:start w:val="11"/>
    </w:lvl>
  </w:abstractNum>
  <w:abstractNum w:abstractNumId="15">
    <w:nsid w:val="6763845E"/>
    <w:multiLevelType w:val="hybridMultilevel"/>
    <w:lvl w:ilvl="0">
      <w:lvlJc w:val="left"/>
      <w:lvlText w:val="(%1)"/>
      <w:numFmt w:val="decimal"/>
      <w:start w:val="12"/>
    </w:lvl>
  </w:abstractNum>
  <w:abstractNum w:abstractNumId="16">
    <w:nsid w:val="75A2A8D4"/>
    <w:multiLevelType w:val="hybridMultilevel"/>
    <w:lvl w:ilvl="0">
      <w:lvlJc w:val="left"/>
      <w:lvlText w:val="(%1)"/>
      <w:numFmt w:val="decimal"/>
      <w:start w:val="13"/>
    </w:lvl>
  </w:abstractNum>
  <w:abstractNum w:abstractNumId="17">
    <w:nsid w:val="8EDBDAB"/>
    <w:multiLevelType w:val="hybridMultilevel"/>
    <w:lvl w:ilvl="0">
      <w:lvlJc w:val="left"/>
      <w:lvlText w:val="(%1)"/>
      <w:numFmt w:val="decimal"/>
      <w:start w:val="14"/>
    </w:lvl>
  </w:abstractNum>
  <w:abstractNum w:abstractNumId="18">
    <w:nsid w:val="79838CB2"/>
    <w:multiLevelType w:val="hybridMultilevel"/>
    <w:lvl w:ilvl="0">
      <w:lvlJc w:val="left"/>
      <w:lvlText w:val="(%1)"/>
      <w:numFmt w:val="decimal"/>
      <w:start w:val="15"/>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lowerLetter"/>
      <w:start w:val="3"/>
    </w:lvl>
  </w:abstractNum>
  <w:abstractNum w:abstractNumId="22">
    <w:nsid w:val="54E49EB4"/>
    <w:multiLevelType w:val="hybridMultilevel"/>
    <w:lvl w:ilvl="0">
      <w:lvlJc w:val="left"/>
      <w:lvlText w:val="%1"/>
      <w:numFmt w:val="decimal"/>
      <w:start w:val="10"/>
    </w:lvl>
  </w:abstractNum>
  <w:abstractNum w:abstractNumId="23">
    <w:nsid w:val="71F32454"/>
    <w:multiLevelType w:val="hybridMultilevel"/>
    <w:lvl w:ilvl="0">
      <w:lvlJc w:val="left"/>
      <w:lvlText w:val="%1"/>
      <w:numFmt w:val="decimal"/>
      <w:start w:val="32"/>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8"/>
    </w:lvl>
  </w:abstractNum>
  <w:abstractNum w:abstractNumId="26">
    <w:nsid w:val="2901D82"/>
    <w:multiLevelType w:val="hybridMultilevel"/>
    <w:lvl w:ilvl="0">
      <w:lvlJc w:val="left"/>
      <w:lvlText w:val="%1."/>
      <w:numFmt w:val="decimal"/>
      <w:start w:val="16"/>
    </w:lvl>
    <w:lvl w:ilvl="1">
      <w:lvlJc w:val="left"/>
      <w:lvlText w:val="(%2)"/>
      <w:numFmt w:val="lowerLetter"/>
      <w:start w:val="1"/>
    </w:lvl>
  </w:abstractNum>
  <w:abstractNum w:abstractNumId="27">
    <w:nsid w:val="3A95F874"/>
    <w:multiLevelType w:val="hybridMultilevel"/>
    <w:lvl w:ilvl="0">
      <w:lvlJc w:val="left"/>
      <w:lvlText w:val="%1."/>
      <w:numFmt w:val="decimal"/>
      <w:start w:val="25"/>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2023-11-03T12:52:57Z</dcterms:created>
  <dcterms:modified xsi:type="dcterms:W3CDTF">2023-11-03T12:52:57Z</dcterms:modified>
</cp:coreProperties>
</file>