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4"/>
          <w:szCs w:val="24"/>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Arial" w:cs="Arial" w:eastAsia="Arial" w:hAnsi="Arial"/>
          <w:sz w:val="24"/>
          <w:szCs w:val="24"/>
          <w:b w:val="1"/>
          <w:bCs w:val="1"/>
          <w:color w:val="auto"/>
        </w:rPr>
        <w:t>SECURITIES AND EXCHANGE COMMISSION</w:t>
      </w:r>
    </w:p>
    <w:p>
      <w:pPr>
        <w:spacing w:after="0" w:line="18" w:lineRule="exact"/>
        <w:rPr>
          <w:sz w:val="24"/>
          <w:szCs w:val="24"/>
          <w:color w:val="auto"/>
        </w:rPr>
      </w:pPr>
    </w:p>
    <w:p>
      <w:pPr>
        <w:ind w:left="4660"/>
        <w:spacing w:after="0"/>
        <w:rPr>
          <w:sz w:val="20"/>
          <w:szCs w:val="20"/>
          <w:color w:val="auto"/>
        </w:rPr>
      </w:pPr>
      <w:r>
        <w:rPr>
          <w:rFonts w:ascii="Arial" w:cs="Arial" w:eastAsia="Arial" w:hAnsi="Arial"/>
          <w:sz w:val="17"/>
          <w:szCs w:val="17"/>
          <w:b w:val="1"/>
          <w:bCs w:val="1"/>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24"/>
          <w:szCs w:val="24"/>
          <w:b w:val="1"/>
          <w:bCs w:val="1"/>
          <w:color w:val="auto"/>
        </w:rPr>
        <w:t>SCHEDULE 14A</w:t>
      </w:r>
    </w:p>
    <w:p>
      <w:pPr>
        <w:spacing w:after="0" w:line="29" w:lineRule="exact"/>
        <w:rPr>
          <w:sz w:val="24"/>
          <w:szCs w:val="24"/>
          <w:color w:val="auto"/>
        </w:rPr>
      </w:pPr>
    </w:p>
    <w:p>
      <w:pPr>
        <w:ind w:left="3900"/>
        <w:spacing w:after="0"/>
        <w:rPr>
          <w:sz w:val="20"/>
          <w:szCs w:val="20"/>
          <w:color w:val="auto"/>
        </w:rPr>
      </w:pPr>
      <w:r>
        <w:rPr>
          <w:rFonts w:ascii="Arial" w:cs="Arial" w:eastAsia="Arial" w:hAnsi="Arial"/>
          <w:sz w:val="17"/>
          <w:szCs w:val="17"/>
          <w:color w:val="auto"/>
        </w:rPr>
        <w:t>Proxy Statement Pursuant to Section 14(a) of</w:t>
      </w:r>
    </w:p>
    <w:p>
      <w:pPr>
        <w:spacing w:after="0" w:line="11" w:lineRule="exact"/>
        <w:rPr>
          <w:sz w:val="24"/>
          <w:szCs w:val="24"/>
          <w:color w:val="auto"/>
        </w:rPr>
      </w:pPr>
    </w:p>
    <w:p>
      <w:pPr>
        <w:ind w:left="3500"/>
        <w:spacing w:after="0"/>
        <w:rPr>
          <w:sz w:val="20"/>
          <w:szCs w:val="20"/>
          <w:color w:val="auto"/>
        </w:rPr>
      </w:pPr>
      <w:r>
        <w:rPr>
          <w:rFonts w:ascii="Arial" w:cs="Arial" w:eastAsia="Arial" w:hAnsi="Arial"/>
          <w:sz w:val="17"/>
          <w:szCs w:val="17"/>
          <w:color w:val="auto"/>
        </w:rPr>
        <w:t>the Securities Exchange Act of 1934 (Amendment No. )</w:t>
      </w:r>
    </w:p>
    <w:p>
      <w:pPr>
        <w:sectPr>
          <w:pgSz w:w="11900" w:h="16838" w:orient="portrait"/>
          <w:cols w:equalWidth="0" w:num="1">
            <w:col w:w="10139"/>
          </w:cols>
          <w:pgMar w:left="320" w:top="890" w:right="1440" w:bottom="1440" w:gutter="0" w:footer="0" w:header="0"/>
        </w:sectPr>
      </w:pPr>
    </w:p>
    <w:p>
      <w:pPr>
        <w:spacing w:after="0" w:line="38" w:lineRule="exact"/>
        <w:rPr>
          <w:sz w:val="24"/>
          <w:szCs w:val="24"/>
          <w:color w:val="auto"/>
        </w:rPr>
      </w:pPr>
    </w:p>
    <w:p>
      <w:pPr>
        <w:ind w:left="20"/>
        <w:spacing w:after="0"/>
        <w:rPr>
          <w:sz w:val="20"/>
          <w:szCs w:val="20"/>
          <w:color w:val="auto"/>
        </w:rPr>
      </w:pPr>
      <w:r>
        <w:rPr>
          <w:rFonts w:ascii="Arial" w:cs="Arial" w:eastAsia="Arial" w:hAnsi="Arial"/>
          <w:sz w:val="15"/>
          <w:szCs w:val="15"/>
          <w:color w:val="auto"/>
        </w:rPr>
        <w:t>Filed by the Registrant</w:t>
      </w:r>
    </w:p>
    <w:p>
      <w:pPr>
        <w:spacing w:after="0" w:line="20" w:lineRule="exact"/>
        <w:rPr>
          <w:sz w:val="24"/>
          <w:szCs w:val="24"/>
          <w:color w:val="auto"/>
        </w:rPr>
      </w:pPr>
      <w:r>
        <w:rPr>
          <w:sz w:val="24"/>
          <w:szCs w:val="24"/>
          <w:color w:val="auto"/>
        </w:rPr>
        <w:br w:type="column"/>
      </w:r>
    </w:p>
    <w:p>
      <w:pPr>
        <w:spacing w:after="0" w:line="135" w:lineRule="exact"/>
        <w:rPr>
          <w:sz w:val="20"/>
          <w:szCs w:val="20"/>
          <w:color w:val="auto"/>
        </w:rPr>
      </w:pPr>
      <w:r>
        <w:rPr>
          <w:rFonts w:ascii="MS PGothic" w:cs="MS PGothic" w:eastAsia="MS PGothic" w:hAnsi="MS PGothic"/>
          <w:sz w:val="14"/>
          <w:szCs w:val="14"/>
          <w:color w:val="auto"/>
        </w:rPr>
        <w:t>☑</w:t>
      </w:r>
    </w:p>
    <w:p>
      <w:pPr>
        <w:spacing w:after="0" w:line="107" w:lineRule="exact"/>
        <w:rPr>
          <w:sz w:val="24"/>
          <w:szCs w:val="24"/>
          <w:color w:val="auto"/>
        </w:rPr>
      </w:pPr>
    </w:p>
    <w:p>
      <w:pPr>
        <w:sectPr>
          <w:pgSz w:w="11900" w:h="16838" w:orient="portrait"/>
          <w:cols w:equalWidth="0" w:num="2">
            <w:col w:w="3300" w:space="720"/>
            <w:col w:w="6119"/>
          </w:cols>
          <w:pgMar w:left="320" w:top="890" w:right="1440" w:bottom="1440" w:gutter="0" w:footer="0" w:header="0"/>
          <w:type w:val="continuous"/>
        </w:sectPr>
      </w:pPr>
    </w:p>
    <w:p>
      <w:pPr>
        <w:spacing w:after="0" w:line="34" w:lineRule="exact"/>
        <w:rPr>
          <w:sz w:val="24"/>
          <w:szCs w:val="24"/>
          <w:color w:val="auto"/>
        </w:rPr>
      </w:pPr>
    </w:p>
    <w:p>
      <w:pPr>
        <w:ind w:left="20"/>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6" w:lineRule="exact"/>
        <w:rPr>
          <w:sz w:val="24"/>
          <w:szCs w:val="24"/>
          <w:color w:val="auto"/>
        </w:rPr>
      </w:pPr>
    </w:p>
    <w:p>
      <w:pPr>
        <w:sectPr>
          <w:pgSz w:w="11900" w:h="16838" w:orient="portrait"/>
          <w:cols w:equalWidth="0" w:num="2">
            <w:col w:w="3300" w:space="720"/>
            <w:col w:w="6119"/>
          </w:cols>
          <w:pgMar w:left="320" w:top="890" w:right="1440" w:bottom="1440" w:gutter="0" w:footer="0" w:header="0"/>
          <w:type w:val="continuous"/>
        </w:sectPr>
      </w:pPr>
    </w:p>
    <w:p>
      <w:pPr>
        <w:spacing w:after="0" w:line="181" w:lineRule="exact"/>
        <w:rPr>
          <w:sz w:val="24"/>
          <w:szCs w:val="24"/>
          <w:color w:val="auto"/>
        </w:rPr>
      </w:pPr>
    </w:p>
    <w:p>
      <w:pPr>
        <w:ind w:left="20"/>
        <w:spacing w:after="0"/>
        <w:rPr>
          <w:sz w:val="20"/>
          <w:szCs w:val="20"/>
          <w:color w:val="auto"/>
        </w:rPr>
      </w:pPr>
      <w:r>
        <w:rPr>
          <w:rFonts w:ascii="Arial" w:cs="Arial" w:eastAsia="Arial" w:hAnsi="Arial"/>
          <w:sz w:val="15"/>
          <w:szCs w:val="15"/>
          <w:color w:val="auto"/>
        </w:rPr>
        <w:t>Check the appropriate box:</w:t>
      </w:r>
    </w:p>
    <w:p>
      <w:pPr>
        <w:spacing w:after="0" w:line="34" w:lineRule="exact"/>
        <w:rPr>
          <w:sz w:val="24"/>
          <w:szCs w:val="24"/>
          <w:color w:val="auto"/>
        </w:rPr>
      </w:pPr>
    </w:p>
    <w:p>
      <w:pPr>
        <w:ind w:left="400" w:hanging="380"/>
        <w:spacing w:after="0"/>
        <w:tabs>
          <w:tab w:leader="none" w:pos="40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Preliminary Proxy Statement</w:t>
      </w:r>
    </w:p>
    <w:p>
      <w:pPr>
        <w:spacing w:after="0" w:line="85" w:lineRule="exact"/>
        <w:rPr>
          <w:rFonts w:ascii="MS PGothic" w:cs="MS PGothic" w:eastAsia="MS PGothic" w:hAnsi="MS PGothic"/>
          <w:sz w:val="15"/>
          <w:szCs w:val="15"/>
          <w:color w:val="auto"/>
        </w:rPr>
      </w:pPr>
    </w:p>
    <w:p>
      <w:pPr>
        <w:ind w:left="20" w:right="4279"/>
        <w:spacing w:after="0" w:line="241" w:lineRule="exact"/>
        <w:tabs>
          <w:tab w:leader="none" w:pos="393"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xml:space="preserve">Confidential, for Use of the Commission Only (as permitted by Rule 14a-6(e)(2)) </w:t>
      </w:r>
      <w:r>
        <w:rPr>
          <w:rFonts w:ascii="MS PGothic" w:cs="MS PGothic" w:eastAsia="MS PGothic" w:hAnsi="MS PGothic"/>
          <w:sz w:val="15"/>
          <w:szCs w:val="15"/>
          <w:color w:val="auto"/>
        </w:rPr>
        <w:t>☑</w:t>
      </w:r>
      <w:r>
        <w:rPr>
          <w:rFonts w:ascii="Arial" w:cs="Arial" w:eastAsia="Arial" w:hAnsi="Arial"/>
          <w:sz w:val="15"/>
          <w:szCs w:val="15"/>
          <w:color w:val="auto"/>
        </w:rPr>
        <w:t xml:space="preserve"> Definitive Proxy Statement</w:t>
      </w:r>
    </w:p>
    <w:p>
      <w:pPr>
        <w:spacing w:after="0" w:line="35" w:lineRule="exact"/>
        <w:rPr>
          <w:rFonts w:ascii="MS PGothic" w:cs="MS PGothic" w:eastAsia="MS PGothic" w:hAnsi="MS PGothic"/>
          <w:sz w:val="15"/>
          <w:szCs w:val="15"/>
          <w:color w:val="auto"/>
        </w:rPr>
      </w:pPr>
    </w:p>
    <w:p>
      <w:pPr>
        <w:ind w:left="400" w:hanging="380"/>
        <w:spacing w:after="0"/>
        <w:tabs>
          <w:tab w:leader="none" w:pos="40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Definitive Additional Materials</w:t>
      </w:r>
    </w:p>
    <w:p>
      <w:pPr>
        <w:spacing w:after="0" w:line="85" w:lineRule="exact"/>
        <w:rPr>
          <w:rFonts w:ascii="MS PGothic" w:cs="MS PGothic" w:eastAsia="MS PGothic" w:hAnsi="MS PGothic"/>
          <w:sz w:val="15"/>
          <w:szCs w:val="15"/>
          <w:color w:val="auto"/>
        </w:rPr>
      </w:pPr>
    </w:p>
    <w:p>
      <w:pPr>
        <w:ind w:left="400" w:hanging="380"/>
        <w:spacing w:after="0"/>
        <w:tabs>
          <w:tab w:leader="none" w:pos="40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under §240.14a-12</w:t>
      </w:r>
    </w:p>
    <w:p>
      <w:pPr>
        <w:spacing w:after="0" w:line="362" w:lineRule="exact"/>
        <w:rPr>
          <w:sz w:val="24"/>
          <w:szCs w:val="24"/>
          <w:color w:val="auto"/>
        </w:rPr>
      </w:pPr>
    </w:p>
    <w:p>
      <w:pPr>
        <w:jc w:val="center"/>
        <w:ind w:right="-1100"/>
        <w:spacing w:after="0"/>
        <w:rPr>
          <w:sz w:val="20"/>
          <w:szCs w:val="20"/>
          <w:color w:val="auto"/>
        </w:rPr>
      </w:pPr>
      <w:r>
        <w:rPr>
          <w:rFonts w:ascii="Arial" w:cs="Arial" w:eastAsia="Arial" w:hAnsi="Arial"/>
          <w:sz w:val="27"/>
          <w:szCs w:val="27"/>
          <w:b w:val="1"/>
          <w:bCs w:val="1"/>
          <w:color w:val="auto"/>
        </w:rPr>
        <w:t>GENTEX CORPORATION</w:t>
      </w:r>
    </w:p>
    <w:p>
      <w:pPr>
        <w:spacing w:after="0" w:line="53" w:lineRule="exact"/>
        <w:rPr>
          <w:sz w:val="24"/>
          <w:szCs w:val="24"/>
          <w:color w:val="auto"/>
        </w:rPr>
      </w:pPr>
    </w:p>
    <w:p>
      <w:pPr>
        <w:ind w:left="1900"/>
        <w:spacing w:after="0"/>
        <w:rPr>
          <w:sz w:val="20"/>
          <w:szCs w:val="20"/>
          <w:color w:val="auto"/>
        </w:rPr>
      </w:pPr>
      <w:r>
        <w:rPr>
          <w:rFonts w:ascii="Arial" w:cs="Arial" w:eastAsia="Arial" w:hAnsi="Arial"/>
          <w:sz w:val="10"/>
          <w:szCs w:val="10"/>
          <w:color w:val="auto"/>
        </w:rPr>
        <w:t>__________________________________________________________________________________________________________________________________</w:t>
      </w:r>
    </w:p>
    <w:p>
      <w:pPr>
        <w:spacing w:after="0" w:line="10" w:lineRule="exact"/>
        <w:rPr>
          <w:sz w:val="24"/>
          <w:szCs w:val="24"/>
          <w:color w:val="auto"/>
        </w:rPr>
      </w:pPr>
    </w:p>
    <w:p>
      <w:pPr>
        <w:ind w:left="4180"/>
        <w:spacing w:after="0"/>
        <w:rPr>
          <w:sz w:val="20"/>
          <w:szCs w:val="20"/>
          <w:color w:val="auto"/>
        </w:rPr>
      </w:pPr>
      <w:r>
        <w:rPr>
          <w:rFonts w:ascii="Arial" w:cs="Arial" w:eastAsia="Arial" w:hAnsi="Arial"/>
          <w:sz w:val="14"/>
          <w:szCs w:val="14"/>
          <w:color w:val="auto"/>
        </w:rPr>
        <w:t>(Name of Registrant as Specified In Its Charter)</w:t>
      </w:r>
    </w:p>
    <w:p>
      <w:pPr>
        <w:spacing w:after="0" w:line="200" w:lineRule="exact"/>
        <w:rPr>
          <w:sz w:val="24"/>
          <w:szCs w:val="24"/>
          <w:color w:val="auto"/>
        </w:rPr>
      </w:pPr>
    </w:p>
    <w:p>
      <w:pPr>
        <w:spacing w:after="0" w:line="251" w:lineRule="exact"/>
        <w:rPr>
          <w:sz w:val="24"/>
          <w:szCs w:val="24"/>
          <w:color w:val="auto"/>
        </w:rPr>
      </w:pPr>
    </w:p>
    <w:p>
      <w:pPr>
        <w:ind w:left="1900"/>
        <w:spacing w:after="0"/>
        <w:rPr>
          <w:sz w:val="20"/>
          <w:szCs w:val="20"/>
          <w:color w:val="auto"/>
        </w:rPr>
      </w:pPr>
      <w:r>
        <w:rPr>
          <w:rFonts w:ascii="Arial" w:cs="Arial" w:eastAsia="Arial" w:hAnsi="Arial"/>
          <w:sz w:val="10"/>
          <w:szCs w:val="10"/>
          <w:color w:val="auto"/>
        </w:rPr>
        <w:t>__________________________________________________________________________________________________________________________________</w:t>
      </w:r>
    </w:p>
    <w:p>
      <w:pPr>
        <w:spacing w:after="0" w:line="20" w:lineRule="exact"/>
        <w:rPr>
          <w:sz w:val="24"/>
          <w:szCs w:val="24"/>
          <w:color w:val="auto"/>
        </w:rPr>
      </w:pPr>
    </w:p>
    <w:p>
      <w:pPr>
        <w:ind w:left="344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37"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40" w:lineRule="exact"/>
        <w:rPr>
          <w:sz w:val="24"/>
          <w:szCs w:val="24"/>
          <w:color w:val="auto"/>
        </w:rPr>
      </w:pPr>
    </w:p>
    <w:p>
      <w:pPr>
        <w:ind w:left="400" w:hanging="380"/>
        <w:spacing w:after="0"/>
        <w:tabs>
          <w:tab w:leader="none" w:pos="40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137" w:lineRule="exact"/>
        <w:rPr>
          <w:sz w:val="24"/>
          <w:szCs w:val="24"/>
          <w:color w:val="auto"/>
        </w:rPr>
      </w:pPr>
    </w:p>
    <w:p>
      <w:pPr>
        <w:ind w:left="400" w:hanging="380"/>
        <w:spacing w:after="0"/>
        <w:tabs>
          <w:tab w:leader="none" w:pos="40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85" w:lineRule="exact"/>
        <w:rPr>
          <w:rFonts w:ascii="MS PGothic" w:cs="MS PGothic" w:eastAsia="MS PGothic" w:hAnsi="MS PGothic"/>
          <w:sz w:val="15"/>
          <w:szCs w:val="15"/>
          <w:color w:val="auto"/>
        </w:rPr>
      </w:pPr>
    </w:p>
    <w:p>
      <w:pPr>
        <w:ind w:left="400" w:hanging="380"/>
        <w:spacing w:after="0"/>
        <w:tabs>
          <w:tab w:leader="none" w:pos="40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695325</wp:posOffset>
            </wp:positionV>
            <wp:extent cx="71640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20955</wp:posOffset>
            </wp:positionV>
            <wp:extent cx="70326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26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70326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2625" cy="8255"/>
                    </a:xfrm>
                    <a:prstGeom prst="rect">
                      <a:avLst/>
                    </a:prstGeom>
                    <a:noFill/>
                  </pic:spPr>
                </pic:pic>
              </a:graphicData>
            </a:graphic>
          </wp:anchor>
        </w:drawing>
      </w:r>
    </w:p>
    <w:p>
      <w:pPr>
        <w:sectPr>
          <w:pgSz w:w="11900" w:h="16838" w:orient="portrait"/>
          <w:cols w:equalWidth="0" w:num="1">
            <w:col w:w="10139"/>
          </w:cols>
          <w:pgMar w:left="320" w:top="890" w:right="1440" w:bottom="1440" w:gutter="0" w:footer="0" w:header="0"/>
          <w:type w:val="continuous"/>
        </w:sectPr>
      </w:pPr>
    </w:p>
    <w:bookmarkStart w:id="1" w:name="page2"/>
    <w:bookmarkEnd w:id="1"/>
    <w:p>
      <w:pPr>
        <w:spacing w:after="0" w:line="2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2552065</wp:posOffset>
            </wp:positionH>
            <wp:positionV relativeFrom="page">
              <wp:posOffset>383540</wp:posOffset>
            </wp:positionV>
            <wp:extent cx="2453005" cy="514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453005" cy="5149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color w:val="auto"/>
        </w:rPr>
        <w:t>600 North Centennial Street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Zeeland, Michigan 49464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6647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47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2025 ANNUAL MEETING OF SHAREHOLDERS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Date: May 15, 2025</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Time: 4:30 PM E.T.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Place: Pinnacle Center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3330 Highland Drive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Hudsonville, Michigan</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Dear Shareholder:</w:t>
      </w:r>
    </w:p>
    <w:p>
      <w:pPr>
        <w:spacing w:after="0" w:line="332" w:lineRule="exact"/>
        <w:rPr>
          <w:sz w:val="20"/>
          <w:szCs w:val="20"/>
          <w:color w:val="auto"/>
        </w:rPr>
      </w:pPr>
    </w:p>
    <w:p>
      <w:pPr>
        <w:ind w:firstLine="618"/>
        <w:spacing w:after="0" w:line="400" w:lineRule="auto"/>
        <w:rPr>
          <w:sz w:val="20"/>
          <w:szCs w:val="20"/>
          <w:color w:val="auto"/>
        </w:rPr>
      </w:pPr>
      <w:r>
        <w:rPr>
          <w:rFonts w:ascii="Arial" w:cs="Arial" w:eastAsia="Arial" w:hAnsi="Arial"/>
          <w:sz w:val="17"/>
          <w:szCs w:val="17"/>
          <w:color w:val="auto"/>
        </w:rPr>
        <w:t>The Annual Meeting of the Shareholders ("Annual Meeting") of Gentex Corporation ("Company"), a Michigan corporation, will be held at The Pinnacle Center, 3330 Highland Drive, Hudsonville, Michigan, on Thursday, May 15, 2025, at 4:30 p.m. EDT, for the following purposes:</w:t>
      </w:r>
    </w:p>
    <w:p>
      <w:pPr>
        <w:spacing w:after="0" w:line="173" w:lineRule="exact"/>
        <w:rPr>
          <w:sz w:val="20"/>
          <w:szCs w:val="20"/>
          <w:color w:val="auto"/>
        </w:rPr>
      </w:pPr>
    </w:p>
    <w:p>
      <w:pPr>
        <w:ind w:left="960" w:hanging="339"/>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elect nine directors as set forth in the Proxy Statement.</w:t>
      </w:r>
    </w:p>
    <w:p>
      <w:pPr>
        <w:spacing w:after="0" w:line="49" w:lineRule="exact"/>
        <w:rPr>
          <w:rFonts w:ascii="Arial" w:cs="Arial" w:eastAsia="Arial" w:hAnsi="Arial"/>
          <w:sz w:val="17"/>
          <w:szCs w:val="17"/>
          <w:color w:val="auto"/>
        </w:rPr>
      </w:pPr>
    </w:p>
    <w:p>
      <w:pPr>
        <w:ind w:left="1240" w:right="2780" w:hanging="619"/>
        <w:spacing w:after="0" w:line="289" w:lineRule="auto"/>
        <w:tabs>
          <w:tab w:leader="none" w:pos="937"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ratify the appointment of Ernst &amp; Young LLP as the Company’s auditors for the fiscal year ended December 31, 2025.</w:t>
      </w:r>
    </w:p>
    <w:p>
      <w:pPr>
        <w:spacing w:after="0" w:line="95" w:lineRule="exact"/>
        <w:rPr>
          <w:rFonts w:ascii="Arial" w:cs="Arial" w:eastAsia="Arial" w:hAnsi="Arial"/>
          <w:sz w:val="17"/>
          <w:szCs w:val="17"/>
          <w:color w:val="auto"/>
        </w:rPr>
      </w:pPr>
    </w:p>
    <w:p>
      <w:pPr>
        <w:ind w:left="940" w:hanging="319"/>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approve, on an advisory basis, the compensation of the Company's named executive officers.</w:t>
      </w:r>
    </w:p>
    <w:p>
      <w:pPr>
        <w:spacing w:after="0" w:line="113" w:lineRule="exact"/>
        <w:rPr>
          <w:rFonts w:ascii="Arial" w:cs="Arial" w:eastAsia="Arial" w:hAnsi="Arial"/>
          <w:sz w:val="17"/>
          <w:szCs w:val="17"/>
          <w:color w:val="auto"/>
        </w:rPr>
      </w:pPr>
    </w:p>
    <w:p>
      <w:pPr>
        <w:ind w:left="940" w:hanging="319"/>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transact any other business that may properly come before the meeting, or any adjournment thereof.</w:t>
      </w:r>
    </w:p>
    <w:p>
      <w:pPr>
        <w:spacing w:after="0" w:line="37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Shareholders of record as of the close of business on March 17, 2025, are entitled to notice of, to attend, and to vote at the meeting and are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being sent this Proxy Statement on or about April 3, 2025. We are pleased to offer multiple options for voting your shares. As detailed in the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"Solicitation of Proxies" section of the Proxy Statement, you can vote your shares via the Internet, by telephone (1-800-690-6903), by mail, or by</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written ballot at the Annual Meeting. </w:t>
      </w:r>
      <w:r>
        <w:rPr>
          <w:rFonts w:ascii="Arial" w:cs="Arial" w:eastAsia="Arial" w:hAnsi="Arial"/>
          <w:sz w:val="17"/>
          <w:szCs w:val="17"/>
          <w:i w:val="1"/>
          <w:iCs w:val="1"/>
          <w:color w:val="auto"/>
        </w:rPr>
        <w:t>We encourage you to use the Internet to vote your shares as it is the most efficient method.</w:t>
      </w:r>
      <w:r>
        <w:rPr>
          <w:rFonts w:ascii="Arial" w:cs="Arial" w:eastAsia="Arial" w:hAnsi="Arial"/>
          <w:sz w:val="17"/>
          <w:szCs w:val="17"/>
          <w:color w:val="auto"/>
        </w:rPr>
        <w:t xml:space="preserve"> If your shares are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held in "street name," (that is held for your account by a broker or other nominee), you will receive instructions from the holder of record that you</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must follow for your shares to be voted.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Important Notice Regarding the Availability of Proxy Materials for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Annual Meeting of Shareholders to be held on May 15, 2025</w:t>
      </w:r>
    </w:p>
    <w:p>
      <w:pPr>
        <w:spacing w:after="0" w:line="200" w:lineRule="exact"/>
        <w:rPr>
          <w:sz w:val="20"/>
          <w:szCs w:val="20"/>
          <w:color w:val="auto"/>
        </w:rPr>
      </w:pPr>
    </w:p>
    <w:p>
      <w:pPr>
        <w:spacing w:after="0" w:line="238" w:lineRule="exact"/>
        <w:rPr>
          <w:sz w:val="20"/>
          <w:szCs w:val="20"/>
          <w:color w:val="auto"/>
        </w:rPr>
      </w:pPr>
    </w:p>
    <w:p>
      <w:pPr>
        <w:jc w:val="both"/>
        <w:ind w:firstLine="618"/>
        <w:spacing w:after="0" w:line="526" w:lineRule="auto"/>
        <w:rPr>
          <w:sz w:val="20"/>
          <w:szCs w:val="20"/>
          <w:color w:val="auto"/>
        </w:rPr>
      </w:pPr>
      <w:r>
        <w:rPr>
          <w:rFonts w:ascii="Arial" w:cs="Arial" w:eastAsia="Arial" w:hAnsi="Arial"/>
          <w:sz w:val="17"/>
          <w:szCs w:val="17"/>
          <w:color w:val="auto"/>
        </w:rPr>
        <w:t xml:space="preserve">You are receiving this notice that the proxy materials for our 2025 Annual Meeting of Shareholders are available on the Internet. The following proxy materials can be found </w:t>
      </w:r>
      <w:r>
        <w:rPr>
          <w:rFonts w:ascii="Arial" w:cs="Arial" w:eastAsia="Arial" w:hAnsi="Arial"/>
          <w:sz w:val="17"/>
          <w:szCs w:val="17"/>
          <w:u w:val="single" w:color="auto"/>
          <w:color w:val="auto"/>
        </w:rPr>
        <w:t>https://www.proxyvote.com</w:t>
      </w:r>
      <w:r>
        <w:rPr>
          <w:rFonts w:ascii="Arial" w:cs="Arial" w:eastAsia="Arial" w:hAnsi="Arial"/>
          <w:sz w:val="17"/>
          <w:szCs w:val="17"/>
          <w:color w:val="auto"/>
        </w:rPr>
        <w:t>:</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Company's 2025 Proxy Statement;</w:t>
      </w:r>
    </w:p>
    <w:p>
      <w:pPr>
        <w:spacing w:after="0" w:line="20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Company's Annual Report to Shareholders for the year ended December 31, 2024; and</w:t>
      </w:r>
    </w:p>
    <w:p>
      <w:pPr>
        <w:spacing w:after="0" w:line="20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Proxy Card or Voting Instruction Form.</w:t>
      </w:r>
    </w:p>
    <w:p>
      <w:pPr>
        <w:spacing w:after="0" w:line="200" w:lineRule="exact"/>
        <w:rPr>
          <w:sz w:val="20"/>
          <w:szCs w:val="20"/>
          <w:color w:val="auto"/>
        </w:rPr>
      </w:pPr>
    </w:p>
    <w:p>
      <w:pPr>
        <w:spacing w:after="0" w:line="223" w:lineRule="exact"/>
        <w:rPr>
          <w:sz w:val="20"/>
          <w:szCs w:val="20"/>
          <w:color w:val="auto"/>
        </w:rPr>
      </w:pPr>
    </w:p>
    <w:p>
      <w:pPr>
        <w:jc w:val="both"/>
        <w:ind w:firstLine="618"/>
        <w:spacing w:after="0" w:line="490" w:lineRule="auto"/>
        <w:rPr>
          <w:sz w:val="20"/>
          <w:szCs w:val="20"/>
          <w:color w:val="auto"/>
        </w:rPr>
      </w:pPr>
      <w:r>
        <w:rPr>
          <w:rFonts w:ascii="Arial" w:cs="Arial" w:eastAsia="Arial" w:hAnsi="Arial"/>
          <w:sz w:val="17"/>
          <w:szCs w:val="17"/>
          <w:color w:val="auto"/>
        </w:rPr>
        <w:t>Whether or not you expect to be present at the meeting, you are urged to promptly vote your shares using one of the methods discussed above. If you do attend the meeting and wish to vote in person, you must withdraw your earlier-dated proxy as set forth in the Proxy Statement, and provide proof of ownership of Company shares as of the record date of March 17, 2025.</w:t>
      </w:r>
    </w:p>
    <w:p>
      <w:pPr>
        <w:jc w:val="both"/>
        <w:ind w:firstLine="618"/>
        <w:spacing w:after="0" w:line="526" w:lineRule="auto"/>
        <w:rPr>
          <w:sz w:val="20"/>
          <w:szCs w:val="20"/>
          <w:color w:val="auto"/>
        </w:rPr>
      </w:pPr>
      <w:r>
        <w:rPr>
          <w:rFonts w:ascii="Arial" w:cs="Arial" w:eastAsia="Arial" w:hAnsi="Arial"/>
          <w:sz w:val="17"/>
          <w:szCs w:val="17"/>
          <w:color w:val="auto"/>
        </w:rPr>
        <w:t>As always, we encourage you to vote your shares online (</w:t>
      </w:r>
      <w:r>
        <w:rPr>
          <w:rFonts w:ascii="Arial" w:cs="Arial" w:eastAsia="Arial" w:hAnsi="Arial"/>
          <w:sz w:val="17"/>
          <w:szCs w:val="17"/>
          <w:u w:val="single" w:color="auto"/>
          <w:color w:val="auto"/>
        </w:rPr>
        <w:t>https://www.proxyvote.com</w:t>
      </w:r>
      <w:r>
        <w:rPr>
          <w:rFonts w:ascii="Arial" w:cs="Arial" w:eastAsia="Arial" w:hAnsi="Arial"/>
          <w:sz w:val="17"/>
          <w:szCs w:val="17"/>
          <w:color w:val="auto"/>
        </w:rPr>
        <w:t>) or over the phone (1-800-690-6903) prior to the Annual Meeting.</w:t>
      </w:r>
    </w:p>
    <w:p>
      <w:pPr>
        <w:spacing w:after="0" w:line="135"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41910</wp:posOffset>
            </wp:positionV>
            <wp:extent cx="981075" cy="425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1075" cy="425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Scott Ryan</w:t>
      </w:r>
    </w:p>
    <w:p>
      <w:pPr>
        <w:spacing w:after="0" w:line="101"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Corporate Secretary</w:t>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April 3, 2025</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GENTEX CORPORATION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600 North Centennial Street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Zeeland, Michigan 49464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PROXY STATEMENT FOR ANNUAL MEETING</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SHAREHOLDERS TO BE HELD MAY 15, 2025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QUESTIONS &amp; ANSWERS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PROXY STATEMENT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is a Proxy and a Proxy Statement?</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Company’s Board of Directors (the "Board") is soliciting proxies for the 2025 Annual Meeting. A proxy is your authorization for someone else to vote on your behalf in the way you want to vote and allows you to be represented at the Annual Meeting even if you are unable to attend. A Proxy Statement is the document the United States Securities and Exchange Commission ("SEC") requires and the Company provides to explain the matters you are being asked to vote on by proxy and to disclose certain relevant information.</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or about April 3, 2025, the Company mailed to shareholders of record as of March 17, 2025 (other than those who previously requested electronic delivery), a Notice of Internet Availability of Proxy Materials ("Notice") containing instructions on how to access the Proxy Statement and Annual Report for the year ended December 31, 2024. If you received a Notice by mail, you will not receive a printed copy of the proxy materials in the mail. The Notice instructs you on how to electronically access and review all the proxy materials, and these materials are available at https://www.proxyvote.com. The Notice also includes instructions about how you may request to receive proxy materials in printed form on a one-time or on-going basis.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will I be voting on?</w:t>
      </w:r>
    </w:p>
    <w:p>
      <w:pPr>
        <w:spacing w:after="0" w:line="242" w:lineRule="exact"/>
        <w:rPr>
          <w:sz w:val="20"/>
          <w:szCs w:val="20"/>
          <w:color w:val="auto"/>
        </w:rPr>
      </w:pPr>
    </w:p>
    <w:p>
      <w:pPr>
        <w:ind w:left="300" w:hanging="297"/>
        <w:spacing w:after="0"/>
        <w:tabs>
          <w:tab w:leader="none" w:pos="30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Election of nine directors (see pages 7-9).</w:t>
      </w:r>
    </w:p>
    <w:p>
      <w:pPr>
        <w:spacing w:after="0" w:line="241"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Ratification of the appointment of Ernst &amp; Young LLP as the Company’s auditors for the fiscal year ending December 31, 2025 (see page 45).</w:t>
      </w:r>
    </w:p>
    <w:p>
      <w:pPr>
        <w:spacing w:after="0" w:line="241"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Approval, on an advisory basis, of the compensation of the Company's named executive officers (see page 46).</w:t>
      </w: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Board recommends a vote: </w:t>
      </w:r>
      <w:r>
        <w:rPr>
          <w:rFonts w:ascii="Arial" w:cs="Arial" w:eastAsia="Arial" w:hAnsi="Arial"/>
          <w:sz w:val="17"/>
          <w:szCs w:val="17"/>
          <w:i w:val="1"/>
          <w:iCs w:val="1"/>
          <w:color w:val="auto"/>
        </w:rPr>
        <w:t>FOR</w:t>
      </w:r>
      <w:r>
        <w:rPr>
          <w:rFonts w:ascii="Arial" w:cs="Arial" w:eastAsia="Arial" w:hAnsi="Arial"/>
          <w:sz w:val="17"/>
          <w:szCs w:val="17"/>
          <w:color w:val="auto"/>
        </w:rPr>
        <w:t xml:space="preserve"> each of the nominees to the Board; </w:t>
      </w:r>
      <w:r>
        <w:rPr>
          <w:rFonts w:ascii="Arial" w:cs="Arial" w:eastAsia="Arial" w:hAnsi="Arial"/>
          <w:sz w:val="17"/>
          <w:szCs w:val="17"/>
          <w:i w:val="1"/>
          <w:iCs w:val="1"/>
          <w:color w:val="auto"/>
        </w:rPr>
        <w:t>FOR</w:t>
      </w:r>
      <w:r>
        <w:rPr>
          <w:rFonts w:ascii="Arial" w:cs="Arial" w:eastAsia="Arial" w:hAnsi="Arial"/>
          <w:sz w:val="17"/>
          <w:szCs w:val="17"/>
          <w:color w:val="auto"/>
        </w:rPr>
        <w:t xml:space="preserve"> ratification of the appointment of Ernst &amp; Young LLP as the Company’s auditors for the fiscal year ending December 31, 2025; and </w:t>
      </w:r>
      <w:r>
        <w:rPr>
          <w:rFonts w:ascii="Arial" w:cs="Arial" w:eastAsia="Arial" w:hAnsi="Arial"/>
          <w:sz w:val="17"/>
          <w:szCs w:val="17"/>
          <w:i w:val="1"/>
          <w:iCs w:val="1"/>
          <w:color w:val="auto"/>
        </w:rPr>
        <w:t>FOR</w:t>
      </w:r>
      <w:r>
        <w:rPr>
          <w:rFonts w:ascii="Arial" w:cs="Arial" w:eastAsia="Arial" w:hAnsi="Arial"/>
          <w:sz w:val="17"/>
          <w:szCs w:val="17"/>
          <w:color w:val="auto"/>
        </w:rPr>
        <w:t xml:space="preserve"> approval, on an advisory basis, of the compensation of the Company's named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do I vote?</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 xml:space="preserve">You can vote either in person at the Annual Meeting or by proxy without attending the Annual Meeting. </w:t>
      </w:r>
      <w:r>
        <w:rPr>
          <w:rFonts w:ascii="Arial" w:cs="Arial" w:eastAsia="Arial" w:hAnsi="Arial"/>
          <w:sz w:val="17"/>
          <w:szCs w:val="17"/>
          <w:i w:val="1"/>
          <w:iCs w:val="1"/>
          <w:color w:val="auto"/>
        </w:rPr>
        <w:t>We urge you to vote by proxy even if you</w:t>
      </w:r>
      <w:r>
        <w:rPr>
          <w:rFonts w:ascii="Arial" w:cs="Arial" w:eastAsia="Arial" w:hAnsi="Arial"/>
          <w:sz w:val="17"/>
          <w:szCs w:val="17"/>
          <w:color w:val="auto"/>
        </w:rPr>
        <w:t xml:space="preserve"> </w:t>
      </w:r>
      <w:r>
        <w:rPr>
          <w:rFonts w:ascii="Arial" w:cs="Arial" w:eastAsia="Arial" w:hAnsi="Arial"/>
          <w:sz w:val="17"/>
          <w:szCs w:val="17"/>
          <w:i w:val="1"/>
          <w:iCs w:val="1"/>
          <w:color w:val="auto"/>
        </w:rPr>
        <w:t>plan to attend the Annual Meeting so that we will know as soon as possible that enough votes will be present for us to hold and conduct business at the meeting</w:t>
      </w:r>
      <w:r>
        <w:rPr>
          <w:rFonts w:ascii="Arial" w:cs="Arial" w:eastAsia="Arial" w:hAnsi="Arial"/>
          <w:sz w:val="17"/>
          <w:szCs w:val="17"/>
          <w:color w:val="auto"/>
        </w:rPr>
        <w:t>. If you attend the meeting and wish to vote in person, you must withdraw your earlier-dated proxy in accordance with this Proxy</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and provide proof of ownership of Company shares as of the record date of March 17, 2025</w:t>
      </w:r>
      <w:r>
        <w:rPr>
          <w:rFonts w:ascii="Times New Roman" w:cs="Times New Roman" w:eastAsia="Times New Roman" w:hAnsi="Times New Roman"/>
          <w:sz w:val="17"/>
          <w:szCs w:val="17"/>
          <w:color w:val="auto"/>
        </w:rPr>
        <w:t>.</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Please note that there are separate telephone and Internet arrangements, depending upon whether you are a holder of record (that is, if your shares are registered in your own name with the Company's transfer agent and you have possession of your stock certificate(s), or are in a direct registration system) or whether you hold your shares in "street name" (that is, if your shares are held for you by a broker or other nominee, in which case you are considered the beneficial owner).</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Shareholders of record voting by proxy may use one of the following three options:</w:t>
      </w:r>
    </w:p>
    <w:p>
      <w:pPr>
        <w:spacing w:after="0" w:line="27" w:lineRule="exact"/>
        <w:rPr>
          <w:sz w:val="20"/>
          <w:szCs w:val="20"/>
          <w:color w:val="auto"/>
        </w:rPr>
      </w:pPr>
    </w:p>
    <w:p>
      <w:pPr>
        <w:ind w:left="300" w:hanging="297"/>
        <w:spacing w:after="0"/>
        <w:tabs>
          <w:tab w:leader="none" w:pos="30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Vote by </w:t>
      </w:r>
      <w:r>
        <w:rPr>
          <w:rFonts w:ascii="Arial" w:cs="Arial" w:eastAsia="Arial" w:hAnsi="Arial"/>
          <w:sz w:val="17"/>
          <w:szCs w:val="17"/>
          <w:i w:val="1"/>
          <w:iCs w:val="1"/>
          <w:color w:val="auto"/>
        </w:rPr>
        <w:t>Internet</w:t>
      </w:r>
      <w:r>
        <w:rPr>
          <w:rFonts w:ascii="Arial" w:cs="Arial" w:eastAsia="Arial" w:hAnsi="Arial"/>
          <w:sz w:val="17"/>
          <w:szCs w:val="17"/>
          <w:color w:val="auto"/>
        </w:rPr>
        <w:t xml:space="preserve"> (log on to </w:t>
      </w:r>
      <w:r>
        <w:rPr>
          <w:rFonts w:ascii="Arial" w:cs="Arial" w:eastAsia="Arial" w:hAnsi="Arial"/>
          <w:sz w:val="17"/>
          <w:szCs w:val="17"/>
          <w:u w:val="single" w:color="auto"/>
          <w:color w:val="auto"/>
        </w:rPr>
        <w:t>https://www.proxyvote.com</w:t>
      </w:r>
      <w:r>
        <w:rPr>
          <w:rFonts w:ascii="Arial" w:cs="Arial" w:eastAsia="Arial" w:hAnsi="Arial"/>
          <w:sz w:val="17"/>
          <w:szCs w:val="17"/>
          <w:color w:val="auto"/>
        </w:rPr>
        <w:t xml:space="preserve"> and follow the directions there);</w:t>
      </w:r>
    </w:p>
    <w:p>
      <w:pPr>
        <w:spacing w:after="0" w:line="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Vote by </w:t>
      </w:r>
      <w:r>
        <w:rPr>
          <w:rFonts w:ascii="Arial" w:cs="Arial" w:eastAsia="Arial" w:hAnsi="Arial"/>
          <w:sz w:val="17"/>
          <w:szCs w:val="17"/>
          <w:i w:val="1"/>
          <w:iCs w:val="1"/>
          <w:color w:val="auto"/>
        </w:rPr>
        <w:t>toll-free telephone</w:t>
      </w:r>
      <w:r>
        <w:rPr>
          <w:rFonts w:ascii="Arial" w:cs="Arial" w:eastAsia="Arial" w:hAnsi="Arial"/>
          <w:sz w:val="17"/>
          <w:szCs w:val="17"/>
          <w:color w:val="auto"/>
        </w:rPr>
        <w:t xml:space="preserve"> (1-800-690-6903 - instructions are on the Proxy Card or Voting Instruction Form); or</w:t>
      </w:r>
    </w:p>
    <w:p>
      <w:pPr>
        <w:spacing w:after="0" w:line="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Fill out the enclosed </w:t>
      </w:r>
      <w:r>
        <w:rPr>
          <w:rFonts w:ascii="Arial" w:cs="Arial" w:eastAsia="Arial" w:hAnsi="Arial"/>
          <w:sz w:val="17"/>
          <w:szCs w:val="17"/>
          <w:i w:val="1"/>
          <w:iCs w:val="1"/>
          <w:color w:val="auto"/>
        </w:rPr>
        <w:t>Proxy Card or Voting Instruction Form</w:t>
      </w:r>
      <w:r>
        <w:rPr>
          <w:rFonts w:ascii="Arial" w:cs="Arial" w:eastAsia="Arial" w:hAnsi="Arial"/>
          <w:sz w:val="17"/>
          <w:szCs w:val="17"/>
          <w:color w:val="auto"/>
        </w:rPr>
        <w:t>, sign it, and mail it.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4" w:name="page5"/>
    <w:bookmarkEnd w:id="4"/>
    <w:p>
      <w:pPr>
        <w:jc w:val="both"/>
        <w:spacing w:after="0" w:line="289" w:lineRule="auto"/>
        <w:rPr>
          <w:sz w:val="20"/>
          <w:szCs w:val="20"/>
          <w:color w:val="auto"/>
        </w:rPr>
      </w:pPr>
      <w:r>
        <w:rPr>
          <w:rFonts w:ascii="Arial" w:cs="Arial" w:eastAsia="Arial" w:hAnsi="Arial"/>
          <w:sz w:val="17"/>
          <w:szCs w:val="17"/>
          <w:color w:val="auto"/>
        </w:rPr>
        <w:t>If you hold your shares in "street name," please refer to the information forwarded by your broker or other nominee to see which options are available to you. Your broker or other nominee has enclosed or otherwise provided a Voting Instruction Form.</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 beneficial owner who wants to cast a vote directly, rather than have a broker or other nominee do so, can either: become a registered owner; or ask the broker or nominee to execute a proxy on your behalf. You can become a registered owner by having your broker or other nominee "certificate" your position, in which case you will receive an actual certificate for your stock, or your share ownership can be moved into a direct registration system. Alternatively, you can check a box on the Voting Instruction Form indicating your plan to attend the meeting and to vote your shares directly, in which case your broker or other nominee should then send you your proxy. Please contact your broker or other nominee for more details.</w:t>
      </w:r>
    </w:p>
    <w:p>
      <w:pPr>
        <w:spacing w:after="0" w:line="200" w:lineRule="exact"/>
        <w:rPr>
          <w:sz w:val="20"/>
          <w:szCs w:val="20"/>
          <w:color w:val="auto"/>
        </w:rPr>
      </w:pP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telephone and Internet voting facilities for shareholders of record will close at 11:59 p.m. EDT on May 14, 2025. The telephone and Internet voting procedures are designed to authenticate shareholders by the use of control numbers and to allow you to confirm that instructions have been properly recorded.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 I change my vote?</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Yes. At any time before your proxy is voted at the meeting, you may change your vote by:</w:t>
      </w:r>
    </w:p>
    <w:p>
      <w:pPr>
        <w:spacing w:after="0" w:line="27" w:lineRule="exact"/>
        <w:rPr>
          <w:sz w:val="20"/>
          <w:szCs w:val="20"/>
          <w:color w:val="auto"/>
        </w:rPr>
      </w:pPr>
    </w:p>
    <w:p>
      <w:pPr>
        <w:ind w:left="300" w:hanging="297"/>
        <w:spacing w:after="0"/>
        <w:tabs>
          <w:tab w:leader="none" w:pos="30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Revoking it by written notice to the Corporate Secretary at the address on the cover of the Proxy Statement;</w:t>
      </w:r>
    </w:p>
    <w:p>
      <w:pPr>
        <w:spacing w:after="0" w:line="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Delivering a later-dated proxy (including a telephone or Internet vote);</w:t>
      </w:r>
    </w:p>
    <w:p>
      <w:pPr>
        <w:spacing w:after="0" w:line="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Voting in person at the meeting.</w:t>
      </w:r>
    </w:p>
    <w:p>
      <w:pPr>
        <w:spacing w:after="0" w:line="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you hold your shares in "street name," please refer to the information forwarded by your broker or other nominee for procedures on revoking or changing your Proxy.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many votes do I have?</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You will have one vote for every share of common stock that you owned on March 17, 2025</w:t>
      </w:r>
      <w:r>
        <w:rPr>
          <w:rFonts w:ascii="Times New Roman" w:cs="Times New Roman" w:eastAsia="Times New Roman" w:hAnsi="Times New Roman"/>
          <w:sz w:val="17"/>
          <w:szCs w:val="17"/>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many shares are entitled to vote?</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There were 226,262,115 shares of the Company common stock outstanding as of March 17, 2025, and, accordingly, entitled to vote at the meeting.</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Each share is entitled to one vote.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many votes must be present to hold the meeting?</w:t>
      </w:r>
    </w:p>
    <w:p>
      <w:pPr>
        <w:spacing w:after="0" w:line="242"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The record date is March 17, 2025, and was established by the Board as required. Under the Company’s Bylaws, a majority of all of the voting shares of the capital stock issued and outstanding as of March 17, 2025, must be present in person or by proxy to hold the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if I do not vote for some or all the matters listed on my Proxy Card or Voting Instruction Form?</w:t>
      </w:r>
    </w:p>
    <w:p>
      <w:pPr>
        <w:spacing w:after="0" w:line="242"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If you return a Proxy Card or Voting Instruction Form without indicating your vote for some or all of the matters, if permissible, your shares will be voted as follows for any matter you did not vote on:</w:t>
      </w:r>
    </w:p>
    <w:p>
      <w:pPr>
        <w:spacing w:after="0" w:line="173" w:lineRule="exact"/>
        <w:rPr>
          <w:sz w:val="20"/>
          <w:szCs w:val="20"/>
          <w:color w:val="auto"/>
        </w:rPr>
      </w:pPr>
    </w:p>
    <w:p>
      <w:pPr>
        <w:ind w:left="300" w:hanging="297"/>
        <w:spacing w:after="0"/>
        <w:tabs>
          <w:tab w:leader="none" w:pos="30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For </w:t>
      </w:r>
      <w:r>
        <w:rPr>
          <w:rFonts w:ascii="Arial" w:cs="Arial" w:eastAsia="Arial" w:hAnsi="Arial"/>
          <w:sz w:val="17"/>
          <w:szCs w:val="17"/>
          <w:color w:val="auto"/>
        </w:rPr>
        <w:t>the approval of the director nominees to the Board listed on the card;</w:t>
      </w:r>
    </w:p>
    <w:p>
      <w:pPr>
        <w:spacing w:after="0" w:line="25"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For </w:t>
      </w:r>
      <w:r>
        <w:rPr>
          <w:rFonts w:ascii="Arial" w:cs="Arial" w:eastAsia="Arial" w:hAnsi="Arial"/>
          <w:sz w:val="17"/>
          <w:szCs w:val="17"/>
          <w:color w:val="auto"/>
        </w:rPr>
        <w:t>ratification of Ernst &amp; Young LLP as the Company’s auditors for the fiscal year ended December 31, 2025; and</w:t>
      </w:r>
    </w:p>
    <w:p>
      <w:pPr>
        <w:spacing w:after="0" w:line="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For </w:t>
      </w:r>
      <w:r>
        <w:rPr>
          <w:rFonts w:ascii="Arial" w:cs="Arial" w:eastAsia="Arial" w:hAnsi="Arial"/>
          <w:sz w:val="17"/>
          <w:szCs w:val="17"/>
          <w:color w:val="auto"/>
        </w:rPr>
        <w:t>the approval, on an advisory basis, of the compensation of the Company's named executive officers.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many votes are needed for the approval of items upon which the shareholders are being asked to vote?</w:t>
      </w:r>
    </w:p>
    <w:p>
      <w:pPr>
        <w:spacing w:after="0" w:line="242" w:lineRule="exact"/>
        <w:rPr>
          <w:sz w:val="20"/>
          <w:szCs w:val="20"/>
          <w:color w:val="auto"/>
        </w:rPr>
      </w:pPr>
    </w:p>
    <w:p>
      <w:pPr>
        <w:ind w:left="320" w:right="40" w:hanging="317"/>
        <w:spacing w:after="0" w:line="259" w:lineRule="auto"/>
        <w:tabs>
          <w:tab w:leader="none" w:pos="316"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Under Michigan law, the nine nominees for director will be elected by a plurality of the votes cast. Notwithstanding the foregoing, the Company's Bylaws provide that if a director is elected by less than a majority of the votes cast, then such director shall promptly tender his or her resignation by written notice to the Board.</w:t>
      </w:r>
    </w:p>
    <w:p>
      <w:pPr>
        <w:ind w:left="300" w:hanging="297"/>
        <w:spacing w:after="0"/>
        <w:tabs>
          <w:tab w:leader="none" w:pos="30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Ratification of Ernst &amp; Young LLP as the Company's auditors for the fiscal year ended December 31, 2025, is by a majority of votes cast.</w:t>
      </w:r>
    </w:p>
    <w:p>
      <w:pPr>
        <w:spacing w:after="0" w:line="9" w:lineRule="exact"/>
        <w:rPr>
          <w:rFonts w:ascii="Times New Roman" w:cs="Times New Roman" w:eastAsia="Times New Roman" w:hAnsi="Times New Roman"/>
          <w:sz w:val="17"/>
          <w:szCs w:val="17"/>
          <w:color w:val="auto"/>
        </w:rPr>
      </w:pPr>
    </w:p>
    <w:p>
      <w:pPr>
        <w:ind w:left="320" w:right="520" w:hanging="317"/>
        <w:spacing w:after="0" w:line="269" w:lineRule="auto"/>
        <w:tabs>
          <w:tab w:leader="none" w:pos="316"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The proposal to approve the compensation of the Company's named executive officers is advisory and the Board will take such votes into account when considering future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1"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i w:val="1"/>
          <w:iCs w:val="1"/>
          <w:color w:val="auto"/>
        </w:rPr>
        <w:t>What if I vote to "abstain?"</w:t>
      </w: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vote to "abstain" will have no effect on the outcome related to the election of the directors or the ratification of Ernst &amp; Young LLP as the Company's auditors. A vote to abstain with respect to approval, on an advisory basis, of named executive officer compensation will be taken into account by the Board in determining future action.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if I do not return my Proxy Card or Voting Instruction Form and do not attend the Annual Meeting?</w:t>
      </w: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you are a holder of record and you do not vote your shares, your shares will not be voted. If you hold your shares in "street name," and you do not give your broker or other nominee specific voting instructions for your shares, your broker or other nominee may not be permitted to exercise voting discretion with respect to certain matters to be acted upon.</w:t>
      </w:r>
    </w:p>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If you do not give your record holder specific voting instructions and your record holder does not vote on the matters to be voted upon, the votes will be "broker non-votes." "Broker non-votes" will have no effect on the vote for the election of directors or the other matters to be voted upon as set forth in this Proxy Statement as they are treated as present for purposes of determining the existence of a quorum, but not as shares present and voting on any specific proposal.</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 my vote confidential?</w:t>
      </w:r>
    </w:p>
    <w:p>
      <w:pPr>
        <w:spacing w:after="0" w:line="24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Proxy instructions, ballots, and voting tabulations that identify individual shareholders are handled in a manner that protects your individual voting privacy. Your individual vote will not be disclosed either within the Company or to third parties, except:</w:t>
      </w:r>
    </w:p>
    <w:p>
      <w:pPr>
        <w:spacing w:after="0" w:line="173" w:lineRule="exact"/>
        <w:rPr>
          <w:sz w:val="20"/>
          <w:szCs w:val="20"/>
          <w:color w:val="auto"/>
        </w:rPr>
      </w:pPr>
    </w:p>
    <w:p>
      <w:pPr>
        <w:ind w:left="300" w:hanging="297"/>
        <w:spacing w:after="0"/>
        <w:tabs>
          <w:tab w:leader="none" w:pos="30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as necessary to meet applicable legal requirements;</w:t>
      </w:r>
    </w:p>
    <w:p>
      <w:pPr>
        <w:spacing w:after="0" w:line="25"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to allow for the tabulation of votes and certification of the vote; or</w:t>
      </w:r>
    </w:p>
    <w:p>
      <w:pPr>
        <w:spacing w:after="0" w:line="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to facilitate successful proxy solicitation by our Board.</w:t>
      </w:r>
    </w:p>
    <w:p>
      <w:pPr>
        <w:spacing w:after="0" w:line="22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Occasionally, shareholders provide written comments on their Proxy Cards or Voting Instruction Forms which are then forwarded to the Company’s management.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can I receive a copy of the Company’s Form 10-K?</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You can obtain, free of charge, a copy of our Form 10-K for the year ended December 31, 2024, which we recently filed with the SEC, by writing to:</w:t>
      </w:r>
    </w:p>
    <w:p>
      <w:pPr>
        <w:spacing w:after="0" w:line="22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Corporate Secretary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Gentex Corporation</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600 North Centennial Street</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Zeeland, Michigan 49464</w:t>
      </w:r>
    </w:p>
    <w:p>
      <w:pPr>
        <w:spacing w:after="0" w:line="22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 xml:space="preserve">You can also obtain a copy of the Company’s Form 10-K and other periodic filings with the SEC on the Company’s web site under the heading "SEC Filings" at: </w:t>
      </w:r>
      <w:r>
        <w:rPr>
          <w:rFonts w:ascii="Arial" w:cs="Arial" w:eastAsia="Arial" w:hAnsi="Arial"/>
          <w:sz w:val="17"/>
          <w:szCs w:val="17"/>
          <w:u w:val="single" w:color="auto"/>
          <w:color w:val="auto"/>
        </w:rPr>
        <w:t>http://ir.gentex.com</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Company’s Form 10-K, Annual Report, and other SEC filings mentioned above are also available from the SEC’s EDGAR database at http://www.sec.gov.</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 I otherwise access the Company’s proxy materials and Annual Report?</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proxy materials are also available on the Company’s website at: </w:t>
      </w:r>
      <w:r>
        <w:rPr>
          <w:rFonts w:ascii="Arial" w:cs="Arial" w:eastAsia="Arial" w:hAnsi="Arial"/>
          <w:sz w:val="17"/>
          <w:szCs w:val="17"/>
          <w:u w:val="single" w:color="auto"/>
          <w:color w:val="auto"/>
        </w:rPr>
        <w:t>http://ir.gentex.com</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is "householding of proxy materials?"</w:t>
      </w:r>
    </w:p>
    <w:p>
      <w:pPr>
        <w:spacing w:after="0" w:line="24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Only one Notice will be sent to multiple shareholders sharing a single address, unless the Company has received instructions to the contrary from one or more shareholders. If a single copy of the Notice was delivered to an address that you share with another shareholder, and you prefer to receive additional copies, send your request to the Corporate Secretary (at 600 North Centennial Street, Zeeland, Michigan 49464, 616-772-1800), and we will promptly deliver a separate copy.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1"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auto"/>
        </w:rPr>
        <w:t>BUSINESS HIGHLIGHTS</w:t>
      </w:r>
    </w:p>
    <w:p>
      <w:pPr>
        <w:spacing w:after="0" w:line="154" w:lineRule="exact"/>
        <w:rPr>
          <w:sz w:val="20"/>
          <w:szCs w:val="20"/>
          <w:color w:val="auto"/>
        </w:rPr>
      </w:pPr>
    </w:p>
    <w:p>
      <w:pPr>
        <w:jc w:val="both"/>
        <w:ind w:firstLine="618"/>
        <w:spacing w:after="0" w:line="289" w:lineRule="auto"/>
        <w:rPr>
          <w:sz w:val="20"/>
          <w:szCs w:val="20"/>
          <w:color w:val="auto"/>
        </w:rPr>
      </w:pPr>
      <w:r>
        <w:rPr>
          <w:rFonts w:ascii="Arial" w:cs="Arial" w:eastAsia="Arial" w:hAnsi="Arial"/>
          <w:sz w:val="17"/>
          <w:szCs w:val="17"/>
          <w:color w:val="auto"/>
        </w:rPr>
        <w:t>In 2024, net sales for the Company increased by 1% compared to net sales in 2023, representing the highest annual sales in Company history. Highlights below include (in thousands, except per share data):</w:t>
      </w:r>
    </w:p>
    <w:p>
      <w:pPr>
        <w:spacing w:after="0" w:line="339" w:lineRule="exact"/>
        <w:rPr>
          <w:sz w:val="20"/>
          <w:szCs w:val="20"/>
          <w:color w:val="auto"/>
        </w:rPr>
      </w:pPr>
    </w:p>
    <w:tbl>
      <w:tblPr>
        <w:tblLayout w:type="fixed"/>
        <w:tblInd w:w="620" w:type="dxa"/>
        <w:tblCellMar>
          <w:top w:w="0" w:type="dxa"/>
          <w:left w:w="0" w:type="dxa"/>
          <w:bottom w:w="0" w:type="dxa"/>
          <w:right w:w="0" w:type="dxa"/>
        </w:tblCellMar>
      </w:tblPr>
      <w:tr>
        <w:trPr>
          <w:trHeight w:val="225"/>
        </w:trPr>
        <w:tc>
          <w:tcPr>
            <w:tcW w:w="58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2024</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2023</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2,313,314</w:t>
            </w:r>
          </w:p>
        </w:tc>
        <w:tc>
          <w:tcPr>
            <w:tcW w:w="3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2,299,215</w:t>
            </w:r>
          </w:p>
        </w:tc>
        <w:tc>
          <w:tcPr>
            <w:tcW w:w="3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1,918,958</w:t>
            </w:r>
          </w:p>
        </w:tc>
      </w:tr>
      <w:tr>
        <w:trPr>
          <w:trHeight w:val="219"/>
        </w:trPr>
        <w:tc>
          <w:tcPr>
            <w:tcW w:w="580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459,727</w:t>
            </w:r>
          </w:p>
        </w:tc>
        <w:tc>
          <w:tcPr>
            <w:tcW w:w="38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495,731</w:t>
            </w:r>
          </w:p>
        </w:tc>
        <w:tc>
          <w:tcPr>
            <w:tcW w:w="38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370,006</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404,488</w:t>
            </w:r>
          </w:p>
        </w:tc>
        <w:tc>
          <w:tcPr>
            <w:tcW w:w="3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428,403</w:t>
            </w:r>
          </w:p>
        </w:tc>
        <w:tc>
          <w:tcPr>
            <w:tcW w:w="3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318,757</w:t>
            </w:r>
          </w:p>
        </w:tc>
      </w:tr>
      <w:tr>
        <w:trPr>
          <w:trHeight w:val="219"/>
        </w:trPr>
        <w:tc>
          <w:tcPr>
            <w:tcW w:w="5800" w:type="dxa"/>
            <w:vAlign w:val="bottom"/>
          </w:tcPr>
          <w:p>
            <w:pPr>
              <w:ind w:left="20"/>
              <w:spacing w:after="0"/>
              <w:rPr>
                <w:sz w:val="20"/>
                <w:szCs w:val="20"/>
                <w:color w:val="auto"/>
              </w:rPr>
            </w:pPr>
            <w:r>
              <w:rPr>
                <w:rFonts w:ascii="Arial" w:cs="Arial" w:eastAsia="Arial" w:hAnsi="Arial"/>
                <w:sz w:val="17"/>
                <w:szCs w:val="17"/>
                <w:color w:val="auto"/>
              </w:rPr>
              <w:t>Earnings Per Share (Fully Diluted)</w:t>
            </w: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1.76</w:t>
            </w:r>
          </w:p>
        </w:tc>
        <w:tc>
          <w:tcPr>
            <w:tcW w:w="38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1.84</w:t>
            </w:r>
          </w:p>
        </w:tc>
        <w:tc>
          <w:tcPr>
            <w:tcW w:w="38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1.36</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Dividends Declared Per Common Share</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0.48</w:t>
            </w:r>
          </w:p>
        </w:tc>
        <w:tc>
          <w:tcPr>
            <w:tcW w:w="3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0.48</w:t>
            </w:r>
          </w:p>
        </w:tc>
        <w:tc>
          <w:tcPr>
            <w:tcW w:w="3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0.48</w:t>
            </w:r>
          </w:p>
        </w:tc>
      </w:tr>
      <w:tr>
        <w:trPr>
          <w:trHeight w:val="225"/>
        </w:trPr>
        <w:tc>
          <w:tcPr>
            <w:tcW w:w="580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2,760,821</w:t>
            </w:r>
          </w:p>
        </w:tc>
        <w:tc>
          <w:tcPr>
            <w:tcW w:w="38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2,611,438</w:t>
            </w:r>
          </w:p>
        </w:tc>
        <w:tc>
          <w:tcPr>
            <w:tcW w:w="38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2,327,230</w:t>
            </w:r>
          </w:p>
        </w:tc>
      </w:tr>
    </w:tbl>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SOLICITATION OF PROXIES</w:t>
      </w:r>
    </w:p>
    <w:p>
      <w:pPr>
        <w:spacing w:after="0" w:line="244" w:lineRule="exact"/>
        <w:rPr>
          <w:sz w:val="20"/>
          <w:szCs w:val="20"/>
          <w:color w:val="auto"/>
        </w:rPr>
      </w:pPr>
    </w:p>
    <w:p>
      <w:pPr>
        <w:jc w:val="both"/>
        <w:ind w:firstLine="618"/>
        <w:spacing w:after="0" w:line="271" w:lineRule="auto"/>
        <w:rPr>
          <w:sz w:val="20"/>
          <w:szCs w:val="20"/>
          <w:color w:val="auto"/>
        </w:rPr>
      </w:pPr>
      <w:r>
        <w:rPr>
          <w:rFonts w:ascii="Arial" w:cs="Arial" w:eastAsia="Arial" w:hAnsi="Arial"/>
          <w:sz w:val="17"/>
          <w:szCs w:val="17"/>
          <w:color w:val="auto"/>
        </w:rPr>
        <w:t>This Proxy Statement is being furnished on or about April 3, 2025 to the shareholders of Gentex Corporation as of the record date, March 17, 2025, in connection with the solicitation by the Board of proxies to be used at the Annual Meeting to be held on Thursday, May 15, 2025, at 4:30 p.m. EDT, at The Pinnacle Center, 3330 Highland Drive, Hudsonville, Michigan 49426.</w:t>
      </w:r>
    </w:p>
    <w:p>
      <w:pPr>
        <w:spacing w:after="0" w:line="188" w:lineRule="exact"/>
        <w:rPr>
          <w:sz w:val="20"/>
          <w:szCs w:val="20"/>
          <w:color w:val="auto"/>
        </w:rPr>
      </w:pPr>
    </w:p>
    <w:p>
      <w:pPr>
        <w:jc w:val="both"/>
        <w:ind w:firstLine="618"/>
        <w:spacing w:after="0" w:line="289" w:lineRule="auto"/>
        <w:rPr>
          <w:sz w:val="20"/>
          <w:szCs w:val="20"/>
          <w:color w:val="auto"/>
        </w:rPr>
      </w:pPr>
      <w:r>
        <w:rPr>
          <w:rFonts w:ascii="Arial" w:cs="Arial" w:eastAsia="Arial" w:hAnsi="Arial"/>
          <w:sz w:val="17"/>
          <w:szCs w:val="17"/>
          <w:color w:val="auto"/>
        </w:rPr>
        <w:t>Each shareholder as of the record date, as an owner of the Company, is entitled to vote on matters to come before the Annual Meeting. The use of a proxy allows a shareholder of the Company to be represented at the Annual Meeting even if the shareholder is unable to attend in person.</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are four ways to vote your shares:</w:t>
      </w:r>
    </w:p>
    <w:p>
      <w:pPr>
        <w:spacing w:after="0" w:line="242" w:lineRule="exact"/>
        <w:rPr>
          <w:sz w:val="20"/>
          <w:szCs w:val="20"/>
          <w:color w:val="auto"/>
        </w:rPr>
      </w:pPr>
    </w:p>
    <w:p>
      <w:pPr>
        <w:ind w:left="1240" w:hanging="619"/>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By Internet at https://www.proxyvote.com. </w:t>
      </w:r>
      <w:r>
        <w:rPr>
          <w:rFonts w:ascii="Arial" w:cs="Arial" w:eastAsia="Arial" w:hAnsi="Arial"/>
          <w:sz w:val="17"/>
          <w:szCs w:val="17"/>
          <w:i w:val="1"/>
          <w:iCs w:val="1"/>
          <w:color w:val="auto"/>
        </w:rPr>
        <w:t>We encourage you to vote this way.</w:t>
      </w:r>
    </w:p>
    <w:p>
      <w:pPr>
        <w:spacing w:after="0" w:line="26" w:lineRule="exact"/>
        <w:rPr>
          <w:rFonts w:ascii="Arial" w:cs="Arial" w:eastAsia="Arial" w:hAnsi="Arial"/>
          <w:sz w:val="17"/>
          <w:szCs w:val="17"/>
          <w:color w:val="auto"/>
        </w:rPr>
      </w:pPr>
    </w:p>
    <w:p>
      <w:pPr>
        <w:ind w:left="1240" w:hanging="619"/>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By toll-free telephone (1-800-690-6903)</w:t>
      </w:r>
    </w:p>
    <w:p>
      <w:pPr>
        <w:spacing w:after="0" w:line="10" w:lineRule="exact"/>
        <w:rPr>
          <w:rFonts w:ascii="Arial" w:cs="Arial" w:eastAsia="Arial" w:hAnsi="Arial"/>
          <w:sz w:val="17"/>
          <w:szCs w:val="17"/>
          <w:color w:val="auto"/>
        </w:rPr>
      </w:pPr>
    </w:p>
    <w:p>
      <w:pPr>
        <w:ind w:left="1240" w:hanging="619"/>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By completing and mailing your Proxy Card or Voting Instruction Form</w:t>
      </w:r>
    </w:p>
    <w:p>
      <w:pPr>
        <w:spacing w:after="0" w:line="10" w:lineRule="exact"/>
        <w:rPr>
          <w:rFonts w:ascii="Arial" w:cs="Arial" w:eastAsia="Arial" w:hAnsi="Arial"/>
          <w:sz w:val="17"/>
          <w:szCs w:val="17"/>
          <w:color w:val="auto"/>
        </w:rPr>
      </w:pPr>
    </w:p>
    <w:p>
      <w:pPr>
        <w:ind w:left="1240" w:hanging="619"/>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By written ballot at the Annual Meeting</w:t>
      </w:r>
    </w:p>
    <w:p>
      <w:pPr>
        <w:spacing w:after="0" w:line="226" w:lineRule="exact"/>
        <w:rPr>
          <w:sz w:val="20"/>
          <w:szCs w:val="20"/>
          <w:color w:val="auto"/>
        </w:rPr>
      </w:pPr>
    </w:p>
    <w:p>
      <w:pPr>
        <w:jc w:val="both"/>
        <w:ind w:firstLine="618"/>
        <w:spacing w:after="0" w:line="259" w:lineRule="auto"/>
        <w:rPr>
          <w:sz w:val="20"/>
          <w:szCs w:val="20"/>
          <w:color w:val="auto"/>
        </w:rPr>
      </w:pPr>
      <w:r>
        <w:rPr>
          <w:rFonts w:ascii="Arial" w:cs="Arial" w:eastAsia="Arial" w:hAnsi="Arial"/>
          <w:sz w:val="17"/>
          <w:szCs w:val="17"/>
          <w:color w:val="auto"/>
        </w:rPr>
        <w:t xml:space="preserve">If the form of proxy accompanying this Proxy Statement is properly executed using any of the methods described above, the shares represented by the proxy will be voted at the Annual Meeting and at any adjournment of the meeting. Where shareholders specify a choice, the proxy will be voted as specified. If no choice is specified, the shares represented by proxy will be voted: </w:t>
      </w:r>
      <w:r>
        <w:rPr>
          <w:rFonts w:ascii="Arial" w:cs="Arial" w:eastAsia="Arial" w:hAnsi="Arial"/>
          <w:sz w:val="17"/>
          <w:szCs w:val="17"/>
          <w:i w:val="1"/>
          <w:iCs w:val="1"/>
          <w:color w:val="auto"/>
        </w:rPr>
        <w:t>FOR</w:t>
      </w:r>
      <w:r>
        <w:rPr>
          <w:rFonts w:ascii="Arial" w:cs="Arial" w:eastAsia="Arial" w:hAnsi="Arial"/>
          <w:sz w:val="17"/>
          <w:szCs w:val="17"/>
          <w:color w:val="auto"/>
        </w:rPr>
        <w:t xml:space="preserve"> the election of all nominees named in the Proxy Statement; </w:t>
      </w:r>
      <w:r>
        <w:rPr>
          <w:rFonts w:ascii="Arial" w:cs="Arial" w:eastAsia="Arial" w:hAnsi="Arial"/>
          <w:sz w:val="17"/>
          <w:szCs w:val="17"/>
          <w:i w:val="1"/>
          <w:iCs w:val="1"/>
          <w:color w:val="auto"/>
        </w:rPr>
        <w:t>FOR</w:t>
      </w:r>
      <w:r>
        <w:rPr>
          <w:rFonts w:ascii="Arial" w:cs="Arial" w:eastAsia="Arial" w:hAnsi="Arial"/>
          <w:sz w:val="17"/>
          <w:szCs w:val="17"/>
          <w:color w:val="auto"/>
        </w:rPr>
        <w:t xml:space="preserve"> ratification of Ernst &amp; Young LLP as the Company’s auditors for the fiscal year ending December 31, 2025; and </w:t>
      </w:r>
      <w:r>
        <w:rPr>
          <w:rFonts w:ascii="Arial" w:cs="Arial" w:eastAsia="Arial" w:hAnsi="Arial"/>
          <w:sz w:val="17"/>
          <w:szCs w:val="17"/>
          <w:i w:val="1"/>
          <w:iCs w:val="1"/>
          <w:color w:val="auto"/>
        </w:rPr>
        <w:t>FOR</w:t>
      </w:r>
      <w:r>
        <w:rPr>
          <w:rFonts w:ascii="Arial" w:cs="Arial" w:eastAsia="Arial" w:hAnsi="Arial"/>
          <w:sz w:val="17"/>
          <w:szCs w:val="17"/>
          <w:color w:val="auto"/>
        </w:rPr>
        <w:t xml:space="preserve"> approval, on an advisory basis, of the compensation of the Company's named executive officers. These proposals are described in this Proxy Statement. A proxy may be revoked prior to its exercise by (1) delivering a written notice of revocation to the Corporate Secretary, (2) delivery of a later-dated proxy, including a telephone or Internet vote, or (3) attending the meeting and voting in person, as discussed above.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VOTING SECURITIES AND RECORD DATE</w:t>
      </w:r>
    </w:p>
    <w:p>
      <w:pPr>
        <w:spacing w:after="0" w:line="244" w:lineRule="exact"/>
        <w:rPr>
          <w:sz w:val="20"/>
          <w:szCs w:val="20"/>
          <w:color w:val="auto"/>
        </w:rPr>
      </w:pPr>
    </w:p>
    <w:p>
      <w:pPr>
        <w:jc w:val="both"/>
        <w:ind w:firstLine="618"/>
        <w:spacing w:after="0" w:line="260" w:lineRule="auto"/>
        <w:rPr>
          <w:sz w:val="20"/>
          <w:szCs w:val="20"/>
          <w:color w:val="auto"/>
        </w:rPr>
      </w:pPr>
      <w:r>
        <w:rPr>
          <w:rFonts w:ascii="Arial" w:cs="Arial" w:eastAsia="Arial" w:hAnsi="Arial"/>
          <w:sz w:val="17"/>
          <w:szCs w:val="17"/>
          <w:color w:val="auto"/>
        </w:rPr>
        <w:t>March 17, 2025, has been fixed by the Board as the record date for determining shareholders entitled to vote at the Annual Meeting. On that date, 226,262,115 shares of the Company’s common stock, par value $.06 per share, were issued and outstanding. Shareholders are entitled to</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one vote for each share of the Company’s common stock registered in their names at the close of business on the record date. Abstentions and broker non-votes are counted for the purposes of determining the presence or absence of a quorum for the transaction of business. Abstentions and broker non-votes are not, however, counted in tabulations of votes cast on matters presented to shareholders, though the Board will consider abstentions in determining future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auto"/>
        </w:rPr>
        <w:t>ELECTION OF DIRECTORS</w:t>
      </w:r>
    </w:p>
    <w:p>
      <w:pPr>
        <w:spacing w:after="0" w:line="244" w:lineRule="exact"/>
        <w:rPr>
          <w:sz w:val="20"/>
          <w:szCs w:val="20"/>
          <w:color w:val="auto"/>
        </w:rPr>
      </w:pPr>
    </w:p>
    <w:p>
      <w:pPr>
        <w:jc w:val="both"/>
        <w:ind w:firstLine="618"/>
        <w:spacing w:after="0" w:line="271" w:lineRule="auto"/>
        <w:rPr>
          <w:sz w:val="20"/>
          <w:szCs w:val="20"/>
          <w:color w:val="auto"/>
        </w:rPr>
      </w:pPr>
      <w:r>
        <w:rPr>
          <w:rFonts w:ascii="Arial" w:cs="Arial" w:eastAsia="Arial" w:hAnsi="Arial"/>
          <w:sz w:val="17"/>
          <w:szCs w:val="17"/>
          <w:color w:val="auto"/>
        </w:rPr>
        <w:t>The Company’s Restated Articles of Incorporation specify that the Board shall consist of at least six, but not more than nine members, with the exact number to be determined by the Board. The Board has currently set the number of directors at nine. The Restated Articles of Incorporation state that directors shall be elected annually for terms expiring at the next annual meeting of shareholders.</w:t>
      </w:r>
    </w:p>
    <w:p>
      <w:pPr>
        <w:spacing w:after="0" w:line="188" w:lineRule="exact"/>
        <w:rPr>
          <w:sz w:val="20"/>
          <w:szCs w:val="20"/>
          <w:color w:val="auto"/>
        </w:rPr>
      </w:pPr>
    </w:p>
    <w:p>
      <w:pPr>
        <w:jc w:val="both"/>
        <w:ind w:firstLine="618"/>
        <w:spacing w:after="0" w:line="258" w:lineRule="auto"/>
        <w:rPr>
          <w:sz w:val="20"/>
          <w:szCs w:val="20"/>
          <w:color w:val="auto"/>
        </w:rPr>
      </w:pPr>
      <w:r>
        <w:rPr>
          <w:rFonts w:ascii="Arial" w:cs="Arial" w:eastAsia="Arial" w:hAnsi="Arial"/>
          <w:sz w:val="17"/>
          <w:szCs w:val="17"/>
          <w:color w:val="auto"/>
        </w:rPr>
        <w:t>Of the nine current members on the Company's Board, eight of them qualify as "independent directors" as determined in accordance with the current listing standards of The NASDAQ Global Select Market ("NASDAQ"). Based on these current NASDAQ listing standards, the Board has affirmatively determined the following directors have no material relationships with the Company other than as a director and are independent: Joseph Anderson, Leslie Brown, Garth Deur, Billy Pink, Richard Schaum, Kathleen Starkoff, Brian Walker, and Ling Zang. In making its independence determinations, the Board considered: the former consulting arrangement between Vaporsens and Dr. Zang, which ended prior to the Company's acquisition of Vaporsens in April, 2020, and the former employment of Mr. Deur. The Board determined that these circumstances do not interfere with the exercise of independent judgment in carrying out the responsibilities of a director. Steve Downing, President and CEO of the Company, does not qualify as independent under the applicable standards.</w:t>
      </w:r>
    </w:p>
    <w:p>
      <w:pPr>
        <w:spacing w:after="0" w:line="199" w:lineRule="exact"/>
        <w:rPr>
          <w:sz w:val="20"/>
          <w:szCs w:val="20"/>
          <w:color w:val="auto"/>
        </w:rPr>
      </w:pPr>
    </w:p>
    <w:p>
      <w:pPr>
        <w:jc w:val="both"/>
        <w:ind w:firstLine="618"/>
        <w:spacing w:after="0" w:line="259" w:lineRule="auto"/>
        <w:rPr>
          <w:sz w:val="20"/>
          <w:szCs w:val="20"/>
          <w:color w:val="auto"/>
        </w:rPr>
      </w:pPr>
      <w:r>
        <w:rPr>
          <w:rFonts w:ascii="Arial" w:cs="Arial" w:eastAsia="Arial" w:hAnsi="Arial"/>
          <w:sz w:val="17"/>
          <w:szCs w:val="17"/>
          <w:color w:val="auto"/>
        </w:rPr>
        <w:t xml:space="preserve">Each of the current Board members have been determined to meet enough of the required experience and qualifications set forth in the Company's </w:t>
      </w:r>
      <w:r>
        <w:rPr>
          <w:rFonts w:ascii="Arial" w:cs="Arial" w:eastAsia="Arial" w:hAnsi="Arial"/>
          <w:sz w:val="17"/>
          <w:szCs w:val="17"/>
          <w:u w:val="single" w:color="auto"/>
          <w:color w:val="auto"/>
        </w:rPr>
        <w:t>Position Profile: Member of the Board of Directors</w:t>
      </w:r>
      <w:r>
        <w:rPr>
          <w:rFonts w:ascii="Arial" w:cs="Arial" w:eastAsia="Arial" w:hAnsi="Arial"/>
          <w:sz w:val="17"/>
          <w:szCs w:val="17"/>
          <w:color w:val="auto"/>
        </w:rPr>
        <w:t>, including, among them, high levels of personal and professional integrity, distinguished careers, and the demonstrated ability to work effectively as Board members. Combined with the other desirable characteristics and experience of such individuals, these individuals have the experience, qualifications, attributes, and/or skills (which are described below), which have made them valued directors. The Nominating and Corporate Governance Committee recommended each of the incumbent directors to the Board for nomination for election to the Board. The Nominating and Corporate Governance Committee has concluded such individuals should be nominated for election to the Board, based on qualifications and contributions of such incumbent directors.</w:t>
      </w:r>
    </w:p>
    <w:p>
      <w:pPr>
        <w:spacing w:after="0" w:line="197" w:lineRule="exact"/>
        <w:rPr>
          <w:sz w:val="20"/>
          <w:szCs w:val="20"/>
          <w:color w:val="auto"/>
        </w:rPr>
      </w:pPr>
    </w:p>
    <w:p>
      <w:pPr>
        <w:jc w:val="both"/>
        <w:ind w:firstLine="618"/>
        <w:spacing w:after="0" w:line="255" w:lineRule="auto"/>
        <w:rPr>
          <w:sz w:val="20"/>
          <w:szCs w:val="20"/>
          <w:color w:val="auto"/>
        </w:rPr>
      </w:pPr>
      <w:r>
        <w:rPr>
          <w:rFonts w:ascii="Arial" w:cs="Arial" w:eastAsia="Arial" w:hAnsi="Arial"/>
          <w:sz w:val="17"/>
          <w:szCs w:val="17"/>
          <w:color w:val="auto"/>
        </w:rPr>
        <w:t>The terms of all current Board members will expire upon the election of the directors to be elected at the 2025 Annual Meeting. Based on the foregoing, the Board has (upon the recommendation of the Nominating and Corporate Governance Committee) nominated Joseph Anderson, Leslie Brown, Garth Deur, Steve Downing, Billy Pink, Richard Schaum, Kathleen Starkoff, Brian Walker, and Ling Zang for election as directors at the Annual Meeting, each to serve a one-year term expiring in 2026. The Nominating and Corporate Governance Committee continues to avail itself of a variety of resources in its efforts to identify qualified and diverse candidates. Candidates are sought not only in traditional corporate environments, but also other environments such as government, academia, private enterprise, nonprofit organizations, and a variety of professions. In order to promote diversity, the Nominating and Corporate Governance Committee is: willing to consider exceptions to the Board Attendance and Overboarding Policy; considering search firms with a track record of identifying qualified, diverse director candidates; as appropriate, seeking to engage with organizations representing the interests of women and minorities; and periodically reviewing its processes and procedures to ensure there are no structural impediments to increasing Board diversity. The Board continues to build a pool of diverse candidates and the Board's diversity has increased because of these actions. In fact, the Company now has two female directors and three other diverse directors. The Nominating and Corporate Governance Committee seeks to ensure diverse candidates are considered and interviewed for any open Board seat(s). The Board believes it will continue to be diverse as a result of the foregoing approach taken by the Nominating and Corporate Governance Committee.</w:t>
      </w:r>
    </w:p>
    <w:p>
      <w:pPr>
        <w:spacing w:after="0" w:line="200" w:lineRule="exact"/>
        <w:rPr>
          <w:sz w:val="20"/>
          <w:szCs w:val="20"/>
          <w:color w:val="auto"/>
        </w:rPr>
      </w:pPr>
    </w:p>
    <w:p>
      <w:pPr>
        <w:spacing w:after="0" w:line="216" w:lineRule="exact"/>
        <w:rPr>
          <w:sz w:val="20"/>
          <w:szCs w:val="20"/>
          <w:color w:val="auto"/>
        </w:rPr>
      </w:pPr>
    </w:p>
    <w:p>
      <w:pPr>
        <w:jc w:val="both"/>
        <w:ind w:firstLine="618"/>
        <w:spacing w:after="0" w:line="262" w:lineRule="auto"/>
        <w:rPr>
          <w:sz w:val="20"/>
          <w:szCs w:val="20"/>
          <w:color w:val="auto"/>
        </w:rPr>
      </w:pPr>
      <w:r>
        <w:rPr>
          <w:rFonts w:ascii="Arial" w:cs="Arial" w:eastAsia="Arial" w:hAnsi="Arial"/>
          <w:sz w:val="17"/>
          <w:szCs w:val="17"/>
          <w:color w:val="auto"/>
        </w:rPr>
        <w:t>Unless otherwise specifically directed by a shareholder’s marking on the Proxy Card or Voting Instruction Form, or in directions given either via the Internet or telephone, the persons named as proxy voters in the accompanying proxy will vote for the nominees described above and below. If any of these nominees becomes unavailable, which is not now anticipated, the Board may designate a substitute nominee, under the recommendation of the Nominating and Corporate Governance Committee, in which case the accompanying proxy will be voted for the substituted nominee. Proxies cannot be voted for a greater number of persons than the number of nominees named.</w:t>
      </w:r>
    </w:p>
    <w:p>
      <w:pPr>
        <w:spacing w:after="0" w:line="195" w:lineRule="exact"/>
        <w:rPr>
          <w:sz w:val="20"/>
          <w:szCs w:val="20"/>
          <w:color w:val="auto"/>
        </w:rPr>
      </w:pPr>
    </w:p>
    <w:p>
      <w:pPr>
        <w:jc w:val="both"/>
        <w:ind w:firstLine="618"/>
        <w:spacing w:after="0" w:line="260" w:lineRule="auto"/>
        <w:rPr>
          <w:sz w:val="20"/>
          <w:szCs w:val="20"/>
          <w:color w:val="auto"/>
        </w:rPr>
      </w:pPr>
      <w:r>
        <w:rPr>
          <w:rFonts w:ascii="Arial" w:cs="Arial" w:eastAsia="Arial" w:hAnsi="Arial"/>
          <w:sz w:val="17"/>
          <w:szCs w:val="17"/>
          <w:color w:val="auto"/>
        </w:rPr>
        <w:t>Under the Michigan Business Corporation Act, a plurality of votes cast by shareholders at the meeting is required to elect directors of the Company. Accordingly, the nominees who receive the largest number of affirmative votes will be elected, regardless of the number of votes received. Notwithstanding the foregoing, the Company amended its Bylaws to provide that if a director is elected by less than a majority of the votes cast, then such director shall promptly tender his or her resignation by written notice to the Board. Each of the nominees has agreed to tender his or her resignation from the Board in writing to the Board if he or she is not elected by a majority of votes cast. Broker non-votes and votes withheld will not have a bearing on the outcome of the election (though the Nominating and Corporate Governance Committee and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8" w:name="page9"/>
    <w:bookmarkEnd w:id="8"/>
    <w:p>
      <w:pPr>
        <w:spacing w:after="0" w:line="289" w:lineRule="auto"/>
        <w:rPr>
          <w:sz w:val="20"/>
          <w:szCs w:val="20"/>
          <w:color w:val="auto"/>
        </w:rPr>
      </w:pPr>
      <w:r>
        <w:rPr>
          <w:rFonts w:ascii="Arial" w:cs="Arial" w:eastAsia="Arial" w:hAnsi="Arial"/>
          <w:sz w:val="17"/>
          <w:szCs w:val="17"/>
          <w:color w:val="auto"/>
        </w:rPr>
        <w:t>Board will consider abstentions in making future nominations). Votes will be counted by Inspectors of Election appointed by the presiding officer at the Annual Meeting.</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The Board recommends a vote </w:t>
      </w:r>
      <w:r>
        <w:rPr>
          <w:rFonts w:ascii="Arial" w:cs="Arial" w:eastAsia="Arial" w:hAnsi="Arial"/>
          <w:sz w:val="17"/>
          <w:szCs w:val="17"/>
          <w:i w:val="1"/>
          <w:iCs w:val="1"/>
          <w:color w:val="auto"/>
        </w:rPr>
        <w:t>FOR</w:t>
      </w:r>
      <w:r>
        <w:rPr>
          <w:rFonts w:ascii="Arial" w:cs="Arial" w:eastAsia="Arial" w:hAnsi="Arial"/>
          <w:sz w:val="17"/>
          <w:szCs w:val="17"/>
          <w:color w:val="auto"/>
        </w:rPr>
        <w:t xml:space="preserve"> the election of all persons nominated by the Board.</w:t>
      </w:r>
    </w:p>
    <w:p>
      <w:pPr>
        <w:spacing w:after="0" w:line="242" w:lineRule="exact"/>
        <w:rPr>
          <w:sz w:val="20"/>
          <w:szCs w:val="20"/>
          <w:color w:val="auto"/>
        </w:rPr>
      </w:pPr>
    </w:p>
    <w:p>
      <w:pPr>
        <w:ind w:firstLine="618"/>
        <w:spacing w:after="0" w:line="289" w:lineRule="auto"/>
        <w:rPr>
          <w:sz w:val="20"/>
          <w:szCs w:val="20"/>
          <w:color w:val="auto"/>
        </w:rPr>
      </w:pPr>
      <w:r>
        <w:rPr>
          <w:rFonts w:ascii="Arial" w:cs="Arial" w:eastAsia="Arial" w:hAnsi="Arial"/>
          <w:sz w:val="17"/>
          <w:szCs w:val="17"/>
          <w:color w:val="auto"/>
        </w:rPr>
        <w:t>The content of the following table relating to age and business experience is based upon information furnished to the Company by the nominees and directors, as of February 15,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0" w:type="dxa"/>
            <w:vAlign w:val="bottom"/>
            <w:tcBorders>
              <w:right w:val="single" w:sz="8" w:color="auto"/>
            </w:tcBorders>
          </w:tcPr>
          <w:p>
            <w:pPr>
              <w:spacing w:after="0"/>
              <w:rPr>
                <w:sz w:val="23"/>
                <w:szCs w:val="23"/>
                <w:color w:val="auto"/>
              </w:rPr>
            </w:pPr>
          </w:p>
        </w:tc>
        <w:tc>
          <w:tcPr>
            <w:tcW w:w="2980" w:type="dxa"/>
            <w:vAlign w:val="bottom"/>
            <w:tcBorders>
              <w:top w:val="single" w:sz="8" w:color="auto"/>
              <w:bottom w:val="single" w:sz="8" w:color="auto"/>
              <w:right w:val="single" w:sz="8" w:color="CCEEFF"/>
            </w:tcBorders>
            <w:shd w:val="clear" w:color="auto" w:fill="CCEEFF"/>
          </w:tcPr>
          <w:p>
            <w:pPr>
              <w:spacing w:after="0"/>
              <w:rPr>
                <w:sz w:val="23"/>
                <w:szCs w:val="23"/>
                <w:color w:val="auto"/>
              </w:rPr>
            </w:pPr>
          </w:p>
        </w:tc>
        <w:tc>
          <w:tcPr>
            <w:tcW w:w="7420" w:type="dxa"/>
            <w:vAlign w:val="bottom"/>
            <w:tcBorders>
              <w:top w:val="single" w:sz="8" w:color="auto"/>
              <w:bottom w:val="single" w:sz="8" w:color="auto"/>
              <w:right w:val="single" w:sz="8" w:color="auto"/>
            </w:tcBorders>
            <w:shd w:val="clear" w:color="auto" w:fill="CCEEFF"/>
          </w:tcPr>
          <w:p>
            <w:pPr>
              <w:ind w:left="740"/>
              <w:spacing w:after="0"/>
              <w:rPr>
                <w:sz w:val="20"/>
                <w:szCs w:val="20"/>
                <w:color w:val="auto"/>
              </w:rPr>
            </w:pPr>
            <w:r>
              <w:rPr>
                <w:rFonts w:ascii="Arial" w:cs="Arial" w:eastAsia="Arial" w:hAnsi="Arial"/>
                <w:sz w:val="21"/>
                <w:szCs w:val="21"/>
                <w:b w:val="1"/>
                <w:bCs w:val="1"/>
                <w:color w:val="auto"/>
              </w:rPr>
              <w:t>Incumbent Director Nominees</w:t>
            </w:r>
          </w:p>
        </w:tc>
        <w:tc>
          <w:tcPr>
            <w:tcW w:w="200" w:type="dxa"/>
            <w:vAlign w:val="bottom"/>
          </w:tcPr>
          <w:p>
            <w:pPr>
              <w:spacing w:after="0"/>
              <w:rPr>
                <w:sz w:val="23"/>
                <w:szCs w:val="23"/>
                <w:color w:val="auto"/>
              </w:rPr>
            </w:pPr>
          </w:p>
        </w:tc>
      </w:tr>
      <w:tr>
        <w:trPr>
          <w:trHeight w:val="185"/>
        </w:trPr>
        <w:tc>
          <w:tcPr>
            <w:tcW w:w="640" w:type="dxa"/>
            <w:vAlign w:val="bottom"/>
            <w:tcBorders>
              <w:right w:val="single" w:sz="8" w:color="auto"/>
            </w:tcBorders>
          </w:tcPr>
          <w:p>
            <w:pPr>
              <w:spacing w:after="0"/>
              <w:rPr>
                <w:sz w:val="16"/>
                <w:szCs w:val="16"/>
                <w:color w:val="auto"/>
              </w:rPr>
            </w:pPr>
          </w:p>
        </w:tc>
        <w:tc>
          <w:tcPr>
            <w:tcW w:w="2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Name (Age) and Position</w:t>
            </w:r>
          </w:p>
        </w:tc>
        <w:tc>
          <w:tcPr>
            <w:tcW w:w="7420" w:type="dxa"/>
            <w:vAlign w:val="bottom"/>
            <w:tcBorders>
              <w:bottom w:val="single" w:sz="8" w:color="auto"/>
              <w:right w:val="single" w:sz="8" w:color="auto"/>
            </w:tcBorders>
          </w:tcPr>
          <w:p>
            <w:pPr>
              <w:ind w:left="3000"/>
              <w:spacing w:after="0"/>
              <w:rPr>
                <w:sz w:val="20"/>
                <w:szCs w:val="20"/>
                <w:color w:val="auto"/>
              </w:rPr>
            </w:pPr>
            <w:r>
              <w:rPr>
                <w:rFonts w:ascii="Arial" w:cs="Arial" w:eastAsia="Arial" w:hAnsi="Arial"/>
                <w:sz w:val="14"/>
                <w:szCs w:val="14"/>
                <w:b w:val="1"/>
                <w:bCs w:val="1"/>
                <w:color w:val="auto"/>
              </w:rPr>
              <w:t>Business Experience</w:t>
            </w:r>
          </w:p>
        </w:tc>
        <w:tc>
          <w:tcPr>
            <w:tcW w:w="200" w:type="dxa"/>
            <w:vAlign w:val="bottom"/>
          </w:tcPr>
          <w:p>
            <w:pPr>
              <w:spacing w:after="0"/>
              <w:rPr>
                <w:sz w:val="16"/>
                <w:szCs w:val="16"/>
                <w:color w:val="auto"/>
              </w:rPr>
            </w:pPr>
          </w:p>
        </w:tc>
      </w:tr>
      <w:tr>
        <w:trPr>
          <w:trHeight w:val="186"/>
        </w:trPr>
        <w:tc>
          <w:tcPr>
            <w:tcW w:w="640" w:type="dxa"/>
            <w:vAlign w:val="bottom"/>
            <w:tcBorders>
              <w:right w:val="single" w:sz="8" w:color="auto"/>
            </w:tcBorders>
          </w:tcPr>
          <w:p>
            <w:pPr>
              <w:spacing w:after="0"/>
              <w:rPr>
                <w:sz w:val="16"/>
                <w:szCs w:val="16"/>
                <w:color w:val="auto"/>
              </w:rPr>
            </w:pPr>
          </w:p>
        </w:tc>
        <w:tc>
          <w:tcPr>
            <w:tcW w:w="2980" w:type="dxa"/>
            <w:vAlign w:val="bottom"/>
            <w:tcBorders>
              <w:bottom w:val="single" w:sz="8" w:color="auto"/>
              <w:right w:val="single" w:sz="8" w:color="auto"/>
            </w:tcBorders>
            <w:shd w:val="clear" w:color="auto" w:fill="EEECE1"/>
          </w:tcPr>
          <w:p>
            <w:pPr>
              <w:spacing w:after="0"/>
              <w:rPr>
                <w:sz w:val="16"/>
                <w:szCs w:val="16"/>
                <w:color w:val="auto"/>
              </w:rPr>
            </w:pPr>
          </w:p>
        </w:tc>
        <w:tc>
          <w:tcPr>
            <w:tcW w:w="7420" w:type="dxa"/>
            <w:vAlign w:val="bottom"/>
            <w:tcBorders>
              <w:bottom w:val="single" w:sz="8" w:color="auto"/>
              <w:right w:val="single" w:sz="8" w:color="auto"/>
            </w:tcBorders>
            <w:shd w:val="clear" w:color="auto" w:fill="EEECE1"/>
          </w:tcPr>
          <w:p>
            <w:pPr>
              <w:ind w:left="2480"/>
              <w:spacing w:after="0"/>
              <w:rPr>
                <w:sz w:val="20"/>
                <w:szCs w:val="20"/>
                <w:color w:val="auto"/>
              </w:rPr>
            </w:pPr>
            <w:r>
              <w:rPr>
                <w:rFonts w:ascii="Arial" w:cs="Arial" w:eastAsia="Arial" w:hAnsi="Arial"/>
                <w:sz w:val="14"/>
                <w:szCs w:val="14"/>
                <w:b w:val="1"/>
                <w:bCs w:val="1"/>
                <w:color w:val="auto"/>
              </w:rPr>
              <w:t>Nominees for Terms to Expire in 2026</w:t>
            </w:r>
          </w:p>
        </w:tc>
        <w:tc>
          <w:tcPr>
            <w:tcW w:w="200" w:type="dxa"/>
            <w:vAlign w:val="bottom"/>
          </w:tcPr>
          <w:p>
            <w:pPr>
              <w:spacing w:after="0"/>
              <w:rPr>
                <w:sz w:val="16"/>
                <w:szCs w:val="16"/>
                <w:color w:val="auto"/>
              </w:rPr>
            </w:pPr>
          </w:p>
        </w:tc>
      </w:tr>
      <w:tr>
        <w:trPr>
          <w:trHeight w:val="154"/>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Mr. Joseph Anderson (82)</w:t>
            </w:r>
          </w:p>
        </w:tc>
        <w:tc>
          <w:tcPr>
            <w:tcW w:w="7420" w:type="dxa"/>
            <w:vAlign w:val="bottom"/>
            <w:tcBorders>
              <w:right w:val="single" w:sz="8" w:color="auto"/>
            </w:tcBorders>
          </w:tcPr>
          <w:p>
            <w:pPr>
              <w:spacing w:after="0" w:line="153" w:lineRule="exact"/>
              <w:rPr>
                <w:sz w:val="20"/>
                <w:szCs w:val="20"/>
                <w:color w:val="auto"/>
              </w:rPr>
            </w:pPr>
            <w:r>
              <w:rPr>
                <w:rFonts w:ascii="Arial" w:cs="Arial" w:eastAsia="Arial" w:hAnsi="Arial"/>
                <w:sz w:val="14"/>
                <w:szCs w:val="14"/>
                <w:color w:val="auto"/>
              </w:rPr>
              <w:t>Mr. Anderson is the majority owner, Chairman and CEO of TAG Holdings, LLC which owns several manufacturing,</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4"/>
                <w:szCs w:val="14"/>
                <w:color w:val="auto"/>
              </w:rPr>
              <w:t>Director since 2022</w:t>
            </w: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service, and technology-based companies based in North America. He graduated from West Point with a Bachelor of</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w w:val="98"/>
              </w:rPr>
              <w:t>Science Degree in Math and Engineering, and holds two master’s degrees from the University of California, Los Angeles.</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He has been awarded Honorary Doctoral degrees from Kettering University and Central Michigan University, and the</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w w:val="98"/>
              </w:rPr>
              <w:t>Distinguished Graduate Award from West Point. Mr. Anderson attended the Army’s Command and General Staff College</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and is a graduate of the Harvard Advanced Management Program. During his career in the military, Mr. Anderson</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w w:val="99"/>
              </w:rPr>
              <w:t>commanded troops as an infantry officer in the 82nd Airborne Division and served two tours of duty with the 1st Cavalry</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w w:val="98"/>
              </w:rPr>
              <w:t>Division in Vietnam. Mr. Anderson’s military awards include two silver stars, five bronze stars, three Army Commendation</w:t>
            </w:r>
          </w:p>
        </w:tc>
        <w:tc>
          <w:tcPr>
            <w:tcW w:w="200" w:type="dxa"/>
            <w:vAlign w:val="bottom"/>
          </w:tcPr>
          <w:p>
            <w:pPr>
              <w:spacing w:after="0"/>
              <w:rPr>
                <w:sz w:val="13"/>
                <w:szCs w:val="13"/>
                <w:color w:val="auto"/>
              </w:rPr>
            </w:pPr>
          </w:p>
        </w:tc>
      </w:tr>
      <w:tr>
        <w:trPr>
          <w:trHeight w:val="142"/>
        </w:trPr>
        <w:tc>
          <w:tcPr>
            <w:tcW w:w="64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spacing w:after="0"/>
              <w:rPr>
                <w:sz w:val="12"/>
                <w:szCs w:val="12"/>
                <w:color w:val="auto"/>
              </w:rPr>
            </w:pPr>
          </w:p>
        </w:tc>
        <w:tc>
          <w:tcPr>
            <w:tcW w:w="742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Medals, and eleven Air Medals. He was selected to be a White House Fellow and worked as Special Assistant to</w:t>
            </w:r>
          </w:p>
        </w:tc>
        <w:tc>
          <w:tcPr>
            <w:tcW w:w="200" w:type="dxa"/>
            <w:vAlign w:val="bottom"/>
          </w:tcPr>
          <w:p>
            <w:pPr>
              <w:spacing w:after="0"/>
              <w:rPr>
                <w:sz w:val="12"/>
                <w:szCs w:val="12"/>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Secretary of Commerce, Juanita Kreps, until beginning his career with General Motors. While at GM, Mr. Anderson</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progressed through several manufacturing and leadership roles before being appointed General Director of the Body</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Hardware Business Unit, a business unit with 7,000 employees and revenue of $1 billion. After 13 years of service, Mr.</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Anderson resigned from GM to become President and Chief Executive Officer of a privately held company, where he</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worked to acquire, grow, and sell businesses globally within the automotive, heavy equipment, aerospace and defense</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w w:val="98"/>
              </w:rPr>
              <w:t>markets. He is a past chairman of the U.S. Department of Commerce Manufacturing Council, and has served on multiple</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local and national boards, in addition to having been a past Chairman of the Federal Reserve Bank of Chicago-Detroit</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w w:val="98"/>
              </w:rPr>
              <w:t>Branch. His community involvement includes Chairman of the Board of the National Recreation Foundation, the Horizons</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Upward Bound Advisory Board and the University of Michigan-Dearborn Executive Leaders Advocacy Group. Mr.</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Anderson brings a wealth of leadership experience and industry knowledge to the Board. Mr. Anderson has been</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affirmatively identified as an independent director by the Board. Mr. Anderson serves on the Nominating and Corporate</w:t>
            </w:r>
          </w:p>
        </w:tc>
        <w:tc>
          <w:tcPr>
            <w:tcW w:w="200" w:type="dxa"/>
            <w:vAlign w:val="bottom"/>
          </w:tcPr>
          <w:p>
            <w:pPr>
              <w:spacing w:after="0"/>
              <w:rPr>
                <w:sz w:val="13"/>
                <w:szCs w:val="13"/>
                <w:color w:val="auto"/>
              </w:rPr>
            </w:pPr>
          </w:p>
        </w:tc>
      </w:tr>
      <w:tr>
        <w:trPr>
          <w:trHeight w:val="180"/>
        </w:trPr>
        <w:tc>
          <w:tcPr>
            <w:tcW w:w="640" w:type="dxa"/>
            <w:vAlign w:val="bottom"/>
            <w:tcBorders>
              <w:right w:val="single" w:sz="8" w:color="auto"/>
            </w:tcBorders>
          </w:tcPr>
          <w:p>
            <w:pPr>
              <w:spacing w:after="0"/>
              <w:rPr>
                <w:sz w:val="15"/>
                <w:szCs w:val="15"/>
                <w:color w:val="auto"/>
              </w:rPr>
            </w:pPr>
          </w:p>
        </w:tc>
        <w:tc>
          <w:tcPr>
            <w:tcW w:w="2980" w:type="dxa"/>
            <w:vAlign w:val="bottom"/>
            <w:tcBorders>
              <w:right w:val="single" w:sz="8" w:color="auto"/>
            </w:tcBorders>
          </w:tcPr>
          <w:p>
            <w:pPr>
              <w:spacing w:after="0"/>
              <w:rPr>
                <w:sz w:val="15"/>
                <w:szCs w:val="15"/>
                <w:color w:val="auto"/>
              </w:rPr>
            </w:pPr>
          </w:p>
        </w:tc>
        <w:tc>
          <w:tcPr>
            <w:tcW w:w="74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Governance Committee.</w:t>
            </w:r>
          </w:p>
        </w:tc>
        <w:tc>
          <w:tcPr>
            <w:tcW w:w="200" w:type="dxa"/>
            <w:vAlign w:val="bottom"/>
          </w:tcPr>
          <w:p>
            <w:pPr>
              <w:spacing w:after="0"/>
              <w:rPr>
                <w:sz w:val="15"/>
                <w:szCs w:val="15"/>
                <w:color w:val="auto"/>
              </w:rPr>
            </w:pPr>
          </w:p>
        </w:tc>
      </w:tr>
      <w:tr>
        <w:trPr>
          <w:trHeight w:val="20"/>
        </w:trPr>
        <w:tc>
          <w:tcPr>
            <w:tcW w:w="640" w:type="dxa"/>
            <w:vAlign w:val="bottom"/>
            <w:tcBorders>
              <w:right w:val="single" w:sz="8" w:color="auto"/>
            </w:tcBorders>
          </w:tcPr>
          <w:p>
            <w:pPr>
              <w:spacing w:after="0" w:line="20" w:lineRule="exact"/>
              <w:rPr>
                <w:sz w:val="1"/>
                <w:szCs w:val="1"/>
                <w:color w:val="auto"/>
              </w:rPr>
            </w:pPr>
          </w:p>
        </w:tc>
        <w:tc>
          <w:tcPr>
            <w:tcW w:w="2980" w:type="dxa"/>
            <w:vAlign w:val="bottom"/>
            <w:tcBorders>
              <w:bottom w:val="single" w:sz="8" w:color="auto"/>
              <w:right w:val="single" w:sz="8" w:color="auto"/>
            </w:tcBorders>
          </w:tcPr>
          <w:p>
            <w:pPr>
              <w:spacing w:after="0" w:line="20" w:lineRule="exact"/>
              <w:rPr>
                <w:sz w:val="1"/>
                <w:szCs w:val="1"/>
                <w:color w:val="auto"/>
              </w:rPr>
            </w:pPr>
          </w:p>
        </w:tc>
        <w:tc>
          <w:tcPr>
            <w:tcW w:w="74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40"/>
        </w:trPr>
        <w:tc>
          <w:tcPr>
            <w:tcW w:w="64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shd w:val="clear" w:color="auto" w:fill="CCEEFF"/>
          </w:tcPr>
          <w:p>
            <w:pPr>
              <w:ind w:left="40"/>
              <w:spacing w:after="0" w:line="140" w:lineRule="exact"/>
              <w:rPr>
                <w:sz w:val="20"/>
                <w:szCs w:val="20"/>
                <w:color w:val="auto"/>
              </w:rPr>
            </w:pPr>
            <w:r>
              <w:rPr>
                <w:rFonts w:ascii="Arial" w:cs="Arial" w:eastAsia="Arial" w:hAnsi="Arial"/>
                <w:sz w:val="14"/>
                <w:szCs w:val="14"/>
                <w:color w:val="auto"/>
              </w:rPr>
              <w:t>Ms. Leslie Brown (71)</w:t>
            </w:r>
          </w:p>
        </w:tc>
        <w:tc>
          <w:tcPr>
            <w:tcW w:w="7420" w:type="dxa"/>
            <w:vAlign w:val="bottom"/>
            <w:tcBorders>
              <w:right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w w:val="98"/>
              </w:rPr>
              <w:t>Ms. Brown, since 2003, is the owner and chairperson of Metal Flow Corporation, a Holland, Michigan, based high volume</w:t>
            </w:r>
          </w:p>
        </w:tc>
        <w:tc>
          <w:tcPr>
            <w:tcW w:w="200" w:type="dxa"/>
            <w:vAlign w:val="bottom"/>
          </w:tcPr>
          <w:p>
            <w:pPr>
              <w:spacing w:after="0"/>
              <w:rPr>
                <w:sz w:val="12"/>
                <w:szCs w:val="12"/>
                <w:color w:val="auto"/>
              </w:rPr>
            </w:pPr>
          </w:p>
        </w:tc>
      </w:tr>
      <w:tr>
        <w:trPr>
          <w:trHeight w:val="136"/>
        </w:trPr>
        <w:tc>
          <w:tcPr>
            <w:tcW w:w="640" w:type="dxa"/>
            <w:vAlign w:val="bottom"/>
            <w:tcBorders>
              <w:right w:val="single" w:sz="8" w:color="auto"/>
            </w:tcBorders>
          </w:tcPr>
          <w:p>
            <w:pPr>
              <w:spacing w:after="0"/>
              <w:rPr>
                <w:sz w:val="11"/>
                <w:szCs w:val="11"/>
                <w:color w:val="auto"/>
              </w:rPr>
            </w:pPr>
          </w:p>
        </w:tc>
        <w:tc>
          <w:tcPr>
            <w:tcW w:w="2980" w:type="dxa"/>
            <w:vAlign w:val="bottom"/>
            <w:tcBorders>
              <w:right w:val="single" w:sz="8" w:color="auto"/>
            </w:tcBorders>
            <w:shd w:val="clear" w:color="auto" w:fill="CCEEFF"/>
          </w:tcPr>
          <w:p>
            <w:pPr>
              <w:ind w:left="80"/>
              <w:spacing w:after="0" w:line="137" w:lineRule="exact"/>
              <w:rPr>
                <w:sz w:val="20"/>
                <w:szCs w:val="20"/>
                <w:color w:val="auto"/>
              </w:rPr>
            </w:pPr>
            <w:r>
              <w:rPr>
                <w:rFonts w:ascii="Arial" w:cs="Arial" w:eastAsia="Arial" w:hAnsi="Arial"/>
                <w:sz w:val="14"/>
                <w:szCs w:val="14"/>
                <w:color w:val="auto"/>
              </w:rPr>
              <w:t>Director since 2016</w:t>
            </w:r>
          </w:p>
        </w:tc>
        <w:tc>
          <w:tcPr>
            <w:tcW w:w="7420" w:type="dxa"/>
            <w:vAlign w:val="bottom"/>
            <w:tcBorders>
              <w:right w:val="single" w:sz="8" w:color="auto"/>
            </w:tcBorders>
            <w:shd w:val="clear" w:color="auto" w:fill="CCEEFF"/>
          </w:tcPr>
          <w:p>
            <w:pPr>
              <w:spacing w:after="0" w:line="137" w:lineRule="exact"/>
              <w:rPr>
                <w:sz w:val="20"/>
                <w:szCs w:val="20"/>
                <w:color w:val="auto"/>
              </w:rPr>
            </w:pPr>
            <w:r>
              <w:rPr>
                <w:rFonts w:ascii="Arial" w:cs="Arial" w:eastAsia="Arial" w:hAnsi="Arial"/>
                <w:sz w:val="14"/>
                <w:szCs w:val="14"/>
                <w:color w:val="auto"/>
              </w:rPr>
              <w:t>producer of technically sophisticated custom metal (of various varieties) components through deep draw processes.</w:t>
            </w:r>
          </w:p>
        </w:tc>
        <w:tc>
          <w:tcPr>
            <w:tcW w:w="200" w:type="dxa"/>
            <w:vAlign w:val="bottom"/>
          </w:tcPr>
          <w:p>
            <w:pPr>
              <w:spacing w:after="0"/>
              <w:rPr>
                <w:sz w:val="11"/>
                <w:szCs w:val="11"/>
                <w:color w:val="auto"/>
              </w:rPr>
            </w:pPr>
          </w:p>
        </w:tc>
      </w:tr>
      <w:tr>
        <w:trPr>
          <w:trHeight w:val="134"/>
        </w:trPr>
        <w:tc>
          <w:tcPr>
            <w:tcW w:w="640" w:type="dxa"/>
            <w:vAlign w:val="bottom"/>
            <w:tcBorders>
              <w:right w:val="single" w:sz="8" w:color="auto"/>
            </w:tcBorders>
          </w:tcPr>
          <w:p>
            <w:pPr>
              <w:spacing w:after="0"/>
              <w:rPr>
                <w:sz w:val="11"/>
                <w:szCs w:val="11"/>
                <w:color w:val="auto"/>
              </w:rPr>
            </w:pPr>
          </w:p>
        </w:tc>
        <w:tc>
          <w:tcPr>
            <w:tcW w:w="2980" w:type="dxa"/>
            <w:vAlign w:val="bottom"/>
            <w:tcBorders>
              <w:right w:val="single" w:sz="8" w:color="auto"/>
            </w:tcBorders>
            <w:shd w:val="clear" w:color="auto" w:fill="CCEEFF"/>
          </w:tcPr>
          <w:p>
            <w:pPr>
              <w:spacing w:after="0"/>
              <w:rPr>
                <w:sz w:val="11"/>
                <w:szCs w:val="11"/>
                <w:color w:val="auto"/>
              </w:rPr>
            </w:pPr>
          </w:p>
        </w:tc>
        <w:tc>
          <w:tcPr>
            <w:tcW w:w="7420" w:type="dxa"/>
            <w:vAlign w:val="bottom"/>
            <w:tcBorders>
              <w:right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Including operations in China, Metal Flow Corporation globally ships over one million parts daily for a variety of</w:t>
            </w:r>
          </w:p>
        </w:tc>
        <w:tc>
          <w:tcPr>
            <w:tcW w:w="200" w:type="dxa"/>
            <w:vAlign w:val="bottom"/>
          </w:tcPr>
          <w:p>
            <w:pPr>
              <w:spacing w:after="0"/>
              <w:rPr>
                <w:sz w:val="11"/>
                <w:szCs w:val="11"/>
                <w:color w:val="auto"/>
              </w:rPr>
            </w:pPr>
          </w:p>
        </w:tc>
      </w:tr>
      <w:tr>
        <w:trPr>
          <w:trHeight w:val="142"/>
        </w:trPr>
        <w:tc>
          <w:tcPr>
            <w:tcW w:w="64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shd w:val="clear" w:color="auto" w:fill="CCEEFF"/>
          </w:tcPr>
          <w:p>
            <w:pPr>
              <w:spacing w:after="0"/>
              <w:rPr>
                <w:sz w:val="12"/>
                <w:szCs w:val="12"/>
                <w:color w:val="auto"/>
              </w:rPr>
            </w:pPr>
          </w:p>
        </w:tc>
        <w:tc>
          <w:tcPr>
            <w:tcW w:w="7420" w:type="dxa"/>
            <w:vAlign w:val="bottom"/>
            <w:tcBorders>
              <w:right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automotive applications, including airbags, decorative trim, emissions, fuel handling, sensors, and solenoids. As such,</w:t>
            </w:r>
          </w:p>
        </w:tc>
        <w:tc>
          <w:tcPr>
            <w:tcW w:w="200" w:type="dxa"/>
            <w:vAlign w:val="bottom"/>
          </w:tcPr>
          <w:p>
            <w:pPr>
              <w:spacing w:after="0"/>
              <w:rPr>
                <w:sz w:val="12"/>
                <w:szCs w:val="12"/>
                <w:color w:val="auto"/>
              </w:rPr>
            </w:pPr>
          </w:p>
        </w:tc>
      </w:tr>
      <w:tr>
        <w:trPr>
          <w:trHeight w:val="136"/>
        </w:trPr>
        <w:tc>
          <w:tcPr>
            <w:tcW w:w="640" w:type="dxa"/>
            <w:vAlign w:val="bottom"/>
            <w:tcBorders>
              <w:right w:val="single" w:sz="8" w:color="auto"/>
            </w:tcBorders>
          </w:tcPr>
          <w:p>
            <w:pPr>
              <w:spacing w:after="0"/>
              <w:rPr>
                <w:sz w:val="11"/>
                <w:szCs w:val="11"/>
                <w:color w:val="auto"/>
              </w:rPr>
            </w:pPr>
          </w:p>
        </w:tc>
        <w:tc>
          <w:tcPr>
            <w:tcW w:w="2980" w:type="dxa"/>
            <w:vAlign w:val="bottom"/>
            <w:tcBorders>
              <w:right w:val="single" w:sz="8" w:color="auto"/>
            </w:tcBorders>
            <w:shd w:val="clear" w:color="auto" w:fill="CCEEFF"/>
          </w:tcPr>
          <w:p>
            <w:pPr>
              <w:spacing w:after="0"/>
              <w:rPr>
                <w:sz w:val="11"/>
                <w:szCs w:val="11"/>
                <w:color w:val="auto"/>
              </w:rPr>
            </w:pPr>
          </w:p>
        </w:tc>
        <w:tc>
          <w:tcPr>
            <w:tcW w:w="7420" w:type="dxa"/>
            <w:vAlign w:val="bottom"/>
            <w:tcBorders>
              <w:right w:val="single" w:sz="8" w:color="auto"/>
            </w:tcBorders>
            <w:shd w:val="clear" w:color="auto" w:fill="CCEEFF"/>
          </w:tcPr>
          <w:p>
            <w:pPr>
              <w:spacing w:after="0" w:line="137" w:lineRule="exact"/>
              <w:rPr>
                <w:sz w:val="20"/>
                <w:szCs w:val="20"/>
                <w:color w:val="auto"/>
              </w:rPr>
            </w:pPr>
            <w:r>
              <w:rPr>
                <w:rFonts w:ascii="Arial" w:cs="Arial" w:eastAsia="Arial" w:hAnsi="Arial"/>
                <w:sz w:val="14"/>
                <w:szCs w:val="14"/>
                <w:color w:val="auto"/>
              </w:rPr>
              <w:t>Ms. Brown has a significant understanding of, and experience with, challenges faced by manufacturing companies that</w:t>
            </w:r>
          </w:p>
        </w:tc>
        <w:tc>
          <w:tcPr>
            <w:tcW w:w="200" w:type="dxa"/>
            <w:vAlign w:val="bottom"/>
          </w:tcPr>
          <w:p>
            <w:pPr>
              <w:spacing w:after="0"/>
              <w:rPr>
                <w:sz w:val="11"/>
                <w:szCs w:val="11"/>
                <w:color w:val="auto"/>
              </w:rPr>
            </w:pPr>
          </w:p>
        </w:tc>
      </w:tr>
      <w:tr>
        <w:trPr>
          <w:trHeight w:val="134"/>
        </w:trPr>
        <w:tc>
          <w:tcPr>
            <w:tcW w:w="640" w:type="dxa"/>
            <w:vAlign w:val="bottom"/>
            <w:tcBorders>
              <w:right w:val="single" w:sz="8" w:color="auto"/>
            </w:tcBorders>
          </w:tcPr>
          <w:p>
            <w:pPr>
              <w:spacing w:after="0"/>
              <w:rPr>
                <w:sz w:val="11"/>
                <w:szCs w:val="11"/>
                <w:color w:val="auto"/>
              </w:rPr>
            </w:pPr>
          </w:p>
        </w:tc>
        <w:tc>
          <w:tcPr>
            <w:tcW w:w="2980" w:type="dxa"/>
            <w:vAlign w:val="bottom"/>
            <w:tcBorders>
              <w:right w:val="single" w:sz="8" w:color="auto"/>
            </w:tcBorders>
            <w:shd w:val="clear" w:color="auto" w:fill="CCEEFF"/>
          </w:tcPr>
          <w:p>
            <w:pPr>
              <w:spacing w:after="0"/>
              <w:rPr>
                <w:sz w:val="11"/>
                <w:szCs w:val="11"/>
                <w:color w:val="auto"/>
              </w:rPr>
            </w:pPr>
          </w:p>
        </w:tc>
        <w:tc>
          <w:tcPr>
            <w:tcW w:w="7420" w:type="dxa"/>
            <w:vAlign w:val="bottom"/>
            <w:tcBorders>
              <w:right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98"/>
              </w:rPr>
              <w:t>supply the global automotive industry. In addition to her years of experience as an entrepreneurial automotive supplier, as</w:t>
            </w:r>
          </w:p>
        </w:tc>
        <w:tc>
          <w:tcPr>
            <w:tcW w:w="200" w:type="dxa"/>
            <w:vAlign w:val="bottom"/>
          </w:tcPr>
          <w:p>
            <w:pPr>
              <w:spacing w:after="0"/>
              <w:rPr>
                <w:sz w:val="11"/>
                <w:szCs w:val="11"/>
                <w:color w:val="auto"/>
              </w:rPr>
            </w:pPr>
          </w:p>
        </w:tc>
      </w:tr>
      <w:tr>
        <w:trPr>
          <w:trHeight w:val="142"/>
        </w:trPr>
        <w:tc>
          <w:tcPr>
            <w:tcW w:w="64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shd w:val="clear" w:color="auto" w:fill="CCEEFF"/>
          </w:tcPr>
          <w:p>
            <w:pPr>
              <w:spacing w:after="0"/>
              <w:rPr>
                <w:sz w:val="12"/>
                <w:szCs w:val="12"/>
                <w:color w:val="auto"/>
              </w:rPr>
            </w:pPr>
          </w:p>
        </w:tc>
        <w:tc>
          <w:tcPr>
            <w:tcW w:w="7420" w:type="dxa"/>
            <w:vAlign w:val="bottom"/>
            <w:tcBorders>
              <w:right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 prominent local businesswoman serving on a variety of community organization boards of directors (including as</w:t>
            </w:r>
          </w:p>
        </w:tc>
        <w:tc>
          <w:tcPr>
            <w:tcW w:w="200" w:type="dxa"/>
            <w:vAlign w:val="bottom"/>
          </w:tcPr>
          <w:p>
            <w:pPr>
              <w:spacing w:after="0"/>
              <w:rPr>
                <w:sz w:val="12"/>
                <w:szCs w:val="12"/>
                <w:color w:val="auto"/>
              </w:rPr>
            </w:pPr>
          </w:p>
        </w:tc>
      </w:tr>
      <w:tr>
        <w:trPr>
          <w:trHeight w:val="136"/>
        </w:trPr>
        <w:tc>
          <w:tcPr>
            <w:tcW w:w="640" w:type="dxa"/>
            <w:vAlign w:val="bottom"/>
            <w:tcBorders>
              <w:right w:val="single" w:sz="8" w:color="auto"/>
            </w:tcBorders>
          </w:tcPr>
          <w:p>
            <w:pPr>
              <w:spacing w:after="0"/>
              <w:rPr>
                <w:sz w:val="11"/>
                <w:szCs w:val="11"/>
                <w:color w:val="auto"/>
              </w:rPr>
            </w:pPr>
          </w:p>
        </w:tc>
        <w:tc>
          <w:tcPr>
            <w:tcW w:w="2980" w:type="dxa"/>
            <w:vAlign w:val="bottom"/>
            <w:tcBorders>
              <w:right w:val="single" w:sz="8" w:color="auto"/>
            </w:tcBorders>
            <w:shd w:val="clear" w:color="auto" w:fill="CCEEFF"/>
          </w:tcPr>
          <w:p>
            <w:pPr>
              <w:spacing w:after="0"/>
              <w:rPr>
                <w:sz w:val="11"/>
                <w:szCs w:val="11"/>
                <w:color w:val="auto"/>
              </w:rPr>
            </w:pPr>
          </w:p>
        </w:tc>
        <w:tc>
          <w:tcPr>
            <w:tcW w:w="7420" w:type="dxa"/>
            <w:vAlign w:val="bottom"/>
            <w:tcBorders>
              <w:right w:val="single" w:sz="8" w:color="auto"/>
            </w:tcBorders>
            <w:shd w:val="clear" w:color="auto" w:fill="CCEEFF"/>
          </w:tcPr>
          <w:p>
            <w:pPr>
              <w:spacing w:after="0" w:line="137" w:lineRule="exact"/>
              <w:rPr>
                <w:sz w:val="20"/>
                <w:szCs w:val="20"/>
                <w:color w:val="auto"/>
              </w:rPr>
            </w:pPr>
            <w:r>
              <w:rPr>
                <w:rFonts w:ascii="Arial" w:cs="Arial" w:eastAsia="Arial" w:hAnsi="Arial"/>
                <w:sz w:val="14"/>
                <w:szCs w:val="14"/>
                <w:color w:val="auto"/>
                <w:w w:val="99"/>
              </w:rPr>
              <w:t>chairperson of the Holland Hospital Board), Ms. Brown has demonstrated a high degree of professionalism and personal</w:t>
            </w:r>
          </w:p>
        </w:tc>
        <w:tc>
          <w:tcPr>
            <w:tcW w:w="200" w:type="dxa"/>
            <w:vAlign w:val="bottom"/>
          </w:tcPr>
          <w:p>
            <w:pPr>
              <w:spacing w:after="0"/>
              <w:rPr>
                <w:sz w:val="11"/>
                <w:szCs w:val="11"/>
                <w:color w:val="auto"/>
              </w:rPr>
            </w:pPr>
          </w:p>
        </w:tc>
      </w:tr>
      <w:tr>
        <w:trPr>
          <w:trHeight w:val="134"/>
        </w:trPr>
        <w:tc>
          <w:tcPr>
            <w:tcW w:w="640" w:type="dxa"/>
            <w:vAlign w:val="bottom"/>
            <w:tcBorders>
              <w:right w:val="single" w:sz="8" w:color="auto"/>
            </w:tcBorders>
          </w:tcPr>
          <w:p>
            <w:pPr>
              <w:spacing w:after="0"/>
              <w:rPr>
                <w:sz w:val="11"/>
                <w:szCs w:val="11"/>
                <w:color w:val="auto"/>
              </w:rPr>
            </w:pPr>
          </w:p>
        </w:tc>
        <w:tc>
          <w:tcPr>
            <w:tcW w:w="2980" w:type="dxa"/>
            <w:vAlign w:val="bottom"/>
            <w:tcBorders>
              <w:right w:val="single" w:sz="8" w:color="auto"/>
            </w:tcBorders>
            <w:shd w:val="clear" w:color="auto" w:fill="CCEEFF"/>
          </w:tcPr>
          <w:p>
            <w:pPr>
              <w:spacing w:after="0"/>
              <w:rPr>
                <w:sz w:val="11"/>
                <w:szCs w:val="11"/>
                <w:color w:val="auto"/>
              </w:rPr>
            </w:pPr>
          </w:p>
        </w:tc>
        <w:tc>
          <w:tcPr>
            <w:tcW w:w="7420" w:type="dxa"/>
            <w:vAlign w:val="bottom"/>
            <w:tcBorders>
              <w:right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integrity. Ms. Brown offers insight and perspective especially in terms of developing and maintaining an entrepreneurial</w:t>
            </w:r>
          </w:p>
        </w:tc>
        <w:tc>
          <w:tcPr>
            <w:tcW w:w="200" w:type="dxa"/>
            <w:vAlign w:val="bottom"/>
          </w:tcPr>
          <w:p>
            <w:pPr>
              <w:spacing w:after="0"/>
              <w:rPr>
                <w:sz w:val="11"/>
                <w:szCs w:val="11"/>
                <w:color w:val="auto"/>
              </w:rPr>
            </w:pPr>
          </w:p>
        </w:tc>
      </w:tr>
      <w:tr>
        <w:trPr>
          <w:trHeight w:val="142"/>
        </w:trPr>
        <w:tc>
          <w:tcPr>
            <w:tcW w:w="64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shd w:val="clear" w:color="auto" w:fill="CCEEFF"/>
          </w:tcPr>
          <w:p>
            <w:pPr>
              <w:spacing w:after="0"/>
              <w:rPr>
                <w:sz w:val="12"/>
                <w:szCs w:val="12"/>
                <w:color w:val="auto"/>
              </w:rPr>
            </w:pPr>
          </w:p>
        </w:tc>
        <w:tc>
          <w:tcPr>
            <w:tcW w:w="7420" w:type="dxa"/>
            <w:vAlign w:val="bottom"/>
            <w:tcBorders>
              <w:right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team. Ms. Brown has been affirmatively identified as an independent director by the Board. Ms. Brown is Chair of the</w:t>
            </w:r>
          </w:p>
        </w:tc>
        <w:tc>
          <w:tcPr>
            <w:tcW w:w="200" w:type="dxa"/>
            <w:vAlign w:val="bottom"/>
          </w:tcPr>
          <w:p>
            <w:pPr>
              <w:spacing w:after="0"/>
              <w:rPr>
                <w:sz w:val="12"/>
                <w:szCs w:val="12"/>
                <w:color w:val="auto"/>
              </w:rPr>
            </w:pPr>
          </w:p>
        </w:tc>
      </w:tr>
      <w:tr>
        <w:trPr>
          <w:trHeight w:val="175"/>
        </w:trPr>
        <w:tc>
          <w:tcPr>
            <w:tcW w:w="640" w:type="dxa"/>
            <w:vAlign w:val="bottom"/>
            <w:tcBorders>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shd w:val="clear" w:color="auto" w:fill="CCEEFF"/>
          </w:tcPr>
          <w:p>
            <w:pPr>
              <w:spacing w:after="0"/>
              <w:rPr>
                <w:sz w:val="15"/>
                <w:szCs w:val="15"/>
                <w:color w:val="auto"/>
              </w:rPr>
            </w:pPr>
          </w:p>
        </w:tc>
        <w:tc>
          <w:tcPr>
            <w:tcW w:w="74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Nominating and Corporate Governance Committee.</w:t>
            </w:r>
          </w:p>
        </w:tc>
        <w:tc>
          <w:tcPr>
            <w:tcW w:w="200" w:type="dxa"/>
            <w:vAlign w:val="bottom"/>
          </w:tcPr>
          <w:p>
            <w:pPr>
              <w:spacing w:after="0"/>
              <w:rPr>
                <w:sz w:val="15"/>
                <w:szCs w:val="15"/>
                <w:color w:val="auto"/>
              </w:rPr>
            </w:pPr>
          </w:p>
        </w:tc>
      </w:tr>
      <w:tr>
        <w:trPr>
          <w:trHeight w:val="153"/>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Mr. Garth Deur (68)</w:t>
            </w:r>
          </w:p>
        </w:tc>
        <w:tc>
          <w:tcPr>
            <w:tcW w:w="7420" w:type="dxa"/>
            <w:vAlign w:val="bottom"/>
            <w:tcBorders>
              <w:right w:val="single" w:sz="8" w:color="auto"/>
            </w:tcBorders>
          </w:tcPr>
          <w:p>
            <w:pPr>
              <w:spacing w:after="0" w:line="153" w:lineRule="exact"/>
              <w:rPr>
                <w:sz w:val="20"/>
                <w:szCs w:val="20"/>
                <w:color w:val="auto"/>
              </w:rPr>
            </w:pPr>
            <w:r>
              <w:rPr>
                <w:rFonts w:ascii="Arial" w:cs="Arial" w:eastAsia="Arial" w:hAnsi="Arial"/>
                <w:sz w:val="14"/>
                <w:szCs w:val="14"/>
                <w:color w:val="auto"/>
                <w:w w:val="99"/>
              </w:rPr>
              <w:t>Mr. Deur currently serves as managing director of Iroquois Ventures LLC, a firm providing capital formation and advisory</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4"/>
                <w:szCs w:val="14"/>
                <w:color w:val="auto"/>
              </w:rPr>
              <w:t>Director since 2023</w:t>
            </w: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services to private and startup companies. He has served in this role since 2016. Previously, Mr. Deur worked at Lake</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Michigan Financial Corporation (LMFC) from 2007 to 2016 in various roles including Chief Operating Officer, President</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and Chief Executive Officer. He served as Senior Vice President - Business Development for Chemical Financial</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Corporation after its acquisition of LMFC in 2015. Prior to joining LMFC, Mr. Deur served in significant financial and</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w w:val="98"/>
              </w:rPr>
              <w:t>business development roles with the Company and Johnson Controls when it acquired the former Prince Corporation. Mr.</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Deur spent six years as Executive Vice President of the Company and 10 years in various executive roles at Prince</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Corporation / Johnson Controls. He began his career in 1982 as a CPA with Arthur Andersen LLP, specializing in the</w:t>
            </w:r>
          </w:p>
        </w:tc>
        <w:tc>
          <w:tcPr>
            <w:tcW w:w="200" w:type="dxa"/>
            <w:vAlign w:val="bottom"/>
          </w:tcPr>
          <w:p>
            <w:pPr>
              <w:spacing w:after="0"/>
              <w:rPr>
                <w:sz w:val="13"/>
                <w:szCs w:val="13"/>
                <w:color w:val="auto"/>
              </w:rPr>
            </w:pPr>
          </w:p>
        </w:tc>
      </w:tr>
      <w:tr>
        <w:trPr>
          <w:trHeight w:val="142"/>
        </w:trPr>
        <w:tc>
          <w:tcPr>
            <w:tcW w:w="64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spacing w:after="0"/>
              <w:rPr>
                <w:sz w:val="12"/>
                <w:szCs w:val="12"/>
                <w:color w:val="auto"/>
              </w:rPr>
            </w:pPr>
          </w:p>
        </w:tc>
        <w:tc>
          <w:tcPr>
            <w:tcW w:w="742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automotive industry. As such, Mr. Deur has significant experience in the Company's primary industry. He also has prior</w:t>
            </w:r>
          </w:p>
        </w:tc>
        <w:tc>
          <w:tcPr>
            <w:tcW w:w="200" w:type="dxa"/>
            <w:vAlign w:val="bottom"/>
          </w:tcPr>
          <w:p>
            <w:pPr>
              <w:spacing w:after="0"/>
              <w:rPr>
                <w:sz w:val="12"/>
                <w:szCs w:val="12"/>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experience serving on numerous boards of directors. Mr. Deur has been affirmatively identified as an independent</w:t>
            </w:r>
          </w:p>
        </w:tc>
        <w:tc>
          <w:tcPr>
            <w:tcW w:w="200" w:type="dxa"/>
            <w:vAlign w:val="bottom"/>
          </w:tcPr>
          <w:p>
            <w:pPr>
              <w:spacing w:after="0"/>
              <w:rPr>
                <w:sz w:val="13"/>
                <w:szCs w:val="13"/>
                <w:color w:val="auto"/>
              </w:rPr>
            </w:pPr>
          </w:p>
        </w:tc>
      </w:tr>
      <w:tr>
        <w:trPr>
          <w:trHeight w:val="180"/>
        </w:trPr>
        <w:tc>
          <w:tcPr>
            <w:tcW w:w="640" w:type="dxa"/>
            <w:vAlign w:val="bottom"/>
            <w:tcBorders>
              <w:right w:val="single" w:sz="8" w:color="auto"/>
            </w:tcBorders>
          </w:tcPr>
          <w:p>
            <w:pPr>
              <w:spacing w:after="0"/>
              <w:rPr>
                <w:sz w:val="15"/>
                <w:szCs w:val="15"/>
                <w:color w:val="auto"/>
              </w:rPr>
            </w:pPr>
          </w:p>
        </w:tc>
        <w:tc>
          <w:tcPr>
            <w:tcW w:w="2980" w:type="dxa"/>
            <w:vAlign w:val="bottom"/>
            <w:tcBorders>
              <w:right w:val="single" w:sz="8" w:color="auto"/>
            </w:tcBorders>
          </w:tcPr>
          <w:p>
            <w:pPr>
              <w:spacing w:after="0"/>
              <w:rPr>
                <w:sz w:val="15"/>
                <w:szCs w:val="15"/>
                <w:color w:val="auto"/>
              </w:rPr>
            </w:pPr>
          </w:p>
        </w:tc>
        <w:tc>
          <w:tcPr>
            <w:tcW w:w="74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director by the Board. Mr. Deur serves on the Compensation, Executive, and Audit Committees.</w:t>
            </w:r>
          </w:p>
        </w:tc>
        <w:tc>
          <w:tcPr>
            <w:tcW w:w="200" w:type="dxa"/>
            <w:vAlign w:val="bottom"/>
          </w:tcPr>
          <w:p>
            <w:pPr>
              <w:spacing w:after="0"/>
              <w:rPr>
                <w:sz w:val="15"/>
                <w:szCs w:val="15"/>
                <w:color w:val="auto"/>
              </w:rPr>
            </w:pPr>
          </w:p>
        </w:tc>
      </w:tr>
      <w:tr>
        <w:trPr>
          <w:trHeight w:val="20"/>
        </w:trPr>
        <w:tc>
          <w:tcPr>
            <w:tcW w:w="640" w:type="dxa"/>
            <w:vAlign w:val="bottom"/>
            <w:tcBorders>
              <w:right w:val="single" w:sz="8" w:color="auto"/>
            </w:tcBorders>
          </w:tcPr>
          <w:p>
            <w:pPr>
              <w:spacing w:after="0" w:line="20" w:lineRule="exact"/>
              <w:rPr>
                <w:sz w:val="1"/>
                <w:szCs w:val="1"/>
                <w:color w:val="auto"/>
              </w:rPr>
            </w:pPr>
          </w:p>
        </w:tc>
        <w:tc>
          <w:tcPr>
            <w:tcW w:w="2980" w:type="dxa"/>
            <w:vAlign w:val="bottom"/>
            <w:tcBorders>
              <w:bottom w:val="single" w:sz="8" w:color="auto"/>
              <w:right w:val="single" w:sz="8" w:color="auto"/>
            </w:tcBorders>
          </w:tcPr>
          <w:p>
            <w:pPr>
              <w:spacing w:after="0" w:line="20" w:lineRule="exact"/>
              <w:rPr>
                <w:sz w:val="1"/>
                <w:szCs w:val="1"/>
                <w:color w:val="auto"/>
              </w:rPr>
            </w:pPr>
          </w:p>
        </w:tc>
        <w:tc>
          <w:tcPr>
            <w:tcW w:w="74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47"/>
        </w:trPr>
        <w:tc>
          <w:tcPr>
            <w:tcW w:w="64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shd w:val="clear" w:color="auto" w:fill="CCEEFF"/>
          </w:tcPr>
          <w:p>
            <w:pPr>
              <w:ind w:left="40"/>
              <w:spacing w:after="0" w:line="147" w:lineRule="exact"/>
              <w:rPr>
                <w:sz w:val="20"/>
                <w:szCs w:val="20"/>
                <w:color w:val="auto"/>
              </w:rPr>
            </w:pPr>
            <w:r>
              <w:rPr>
                <w:rFonts w:ascii="Arial" w:cs="Arial" w:eastAsia="Arial" w:hAnsi="Arial"/>
                <w:sz w:val="14"/>
                <w:szCs w:val="14"/>
                <w:color w:val="auto"/>
              </w:rPr>
              <w:t>Mr. Steve Downing (47)</w:t>
            </w:r>
          </w:p>
        </w:tc>
        <w:tc>
          <w:tcPr>
            <w:tcW w:w="7420" w:type="dxa"/>
            <w:vAlign w:val="bottom"/>
            <w:tcBorders>
              <w:right w:val="single" w:sz="8" w:color="auto"/>
            </w:tcBorders>
            <w:shd w:val="clear" w:color="auto" w:fill="CCEEFF"/>
          </w:tcPr>
          <w:p>
            <w:pPr>
              <w:spacing w:after="0" w:line="147" w:lineRule="exact"/>
              <w:rPr>
                <w:sz w:val="20"/>
                <w:szCs w:val="20"/>
                <w:color w:val="auto"/>
              </w:rPr>
            </w:pPr>
            <w:r>
              <w:rPr>
                <w:rFonts w:ascii="Arial" w:cs="Arial" w:eastAsia="Arial" w:hAnsi="Arial"/>
                <w:sz w:val="14"/>
                <w:szCs w:val="14"/>
                <w:color w:val="auto"/>
                <w:w w:val="98"/>
              </w:rPr>
              <w:t>Mr. Downing was elected Chief Executive Officer of the Company effective as of January 1, 2018. He has been employed</w:t>
            </w:r>
          </w:p>
        </w:tc>
        <w:tc>
          <w:tcPr>
            <w:tcW w:w="200" w:type="dxa"/>
            <w:vAlign w:val="bottom"/>
          </w:tcPr>
          <w:p>
            <w:pPr>
              <w:spacing w:after="0"/>
              <w:rPr>
                <w:sz w:val="12"/>
                <w:szCs w:val="12"/>
                <w:color w:val="auto"/>
              </w:rPr>
            </w:pPr>
          </w:p>
        </w:tc>
      </w:tr>
      <w:tr>
        <w:trPr>
          <w:trHeight w:val="186"/>
        </w:trPr>
        <w:tc>
          <w:tcPr>
            <w:tcW w:w="640" w:type="dxa"/>
            <w:vAlign w:val="bottom"/>
            <w:tcBorders>
              <w:right w:val="single" w:sz="8" w:color="auto"/>
            </w:tcBorders>
          </w:tcPr>
          <w:p>
            <w:pPr>
              <w:spacing w:after="0"/>
              <w:rPr>
                <w:sz w:val="16"/>
                <w:szCs w:val="16"/>
                <w:color w:val="auto"/>
              </w:rPr>
            </w:pPr>
          </w:p>
        </w:tc>
        <w:tc>
          <w:tcPr>
            <w:tcW w:w="298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Director since 2020</w:t>
            </w:r>
          </w:p>
        </w:tc>
        <w:tc>
          <w:tcPr>
            <w:tcW w:w="74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4"/>
                <w:szCs w:val="14"/>
                <w:color w:val="auto"/>
                <w:w w:val="99"/>
              </w:rPr>
              <w:t>by the Company since 2002. Prior to being elected Chief Executive Officer, he served as President and Chief Operating</w:t>
            </w:r>
          </w:p>
        </w:tc>
        <w:tc>
          <w:tcPr>
            <w:tcW w:w="200" w:type="dxa"/>
            <w:vAlign w:val="bottom"/>
          </w:tcPr>
          <w:p>
            <w:pPr>
              <w:spacing w:after="0"/>
              <w:rPr>
                <w:sz w:val="16"/>
                <w:szCs w:val="16"/>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shd w:val="clear" w:color="auto" w:fill="CCEEFF"/>
          </w:tcPr>
          <w:p>
            <w:pPr>
              <w:spacing w:after="0"/>
              <w:rPr>
                <w:sz w:val="13"/>
                <w:szCs w:val="13"/>
                <w:color w:val="auto"/>
              </w:rPr>
            </w:pPr>
          </w:p>
        </w:tc>
        <w:tc>
          <w:tcPr>
            <w:tcW w:w="7420" w:type="dxa"/>
            <w:vAlign w:val="bottom"/>
            <w:tcBorders>
              <w:right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Officer from August 2017 to December 2017, as Senior Vice President and Chief Financial Officer from June 2015 to</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shd w:val="clear" w:color="auto" w:fill="CCEEFF"/>
          </w:tcPr>
          <w:p>
            <w:pPr>
              <w:spacing w:after="0"/>
              <w:rPr>
                <w:sz w:val="13"/>
                <w:szCs w:val="13"/>
                <w:color w:val="auto"/>
              </w:rPr>
            </w:pPr>
          </w:p>
        </w:tc>
        <w:tc>
          <w:tcPr>
            <w:tcW w:w="7420" w:type="dxa"/>
            <w:vAlign w:val="bottom"/>
            <w:tcBorders>
              <w:right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99"/>
              </w:rPr>
              <w:t>August 2017, and as Vice President of Finance and Chief Financial Officer from May 2013 to June 2015. He served in a</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shd w:val="clear" w:color="auto" w:fill="CCEEFF"/>
          </w:tcPr>
          <w:p>
            <w:pPr>
              <w:spacing w:after="0"/>
              <w:rPr>
                <w:sz w:val="13"/>
                <w:szCs w:val="13"/>
                <w:color w:val="auto"/>
              </w:rPr>
            </w:pPr>
          </w:p>
        </w:tc>
        <w:tc>
          <w:tcPr>
            <w:tcW w:w="7420" w:type="dxa"/>
            <w:vAlign w:val="bottom"/>
            <w:tcBorders>
              <w:right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variety of roles before that time. During his tenure with the Company, Mr. Downing has collected a vast wealth of</w:t>
            </w:r>
          </w:p>
        </w:tc>
        <w:tc>
          <w:tcPr>
            <w:tcW w:w="200" w:type="dxa"/>
            <w:vAlign w:val="bottom"/>
          </w:tcPr>
          <w:p>
            <w:pPr>
              <w:spacing w:after="0"/>
              <w:rPr>
                <w:sz w:val="13"/>
                <w:szCs w:val="13"/>
                <w:color w:val="auto"/>
              </w:rPr>
            </w:pPr>
          </w:p>
        </w:tc>
      </w:tr>
      <w:tr>
        <w:trPr>
          <w:trHeight w:val="167"/>
        </w:trPr>
        <w:tc>
          <w:tcPr>
            <w:tcW w:w="640" w:type="dxa"/>
            <w:vAlign w:val="bottom"/>
            <w:tcBorders>
              <w:right w:val="single" w:sz="8" w:color="auto"/>
            </w:tcBorders>
          </w:tcPr>
          <w:p>
            <w:pPr>
              <w:spacing w:after="0"/>
              <w:rPr>
                <w:sz w:val="14"/>
                <w:szCs w:val="14"/>
                <w:color w:val="auto"/>
              </w:rPr>
            </w:pPr>
          </w:p>
        </w:tc>
        <w:tc>
          <w:tcPr>
            <w:tcW w:w="2980" w:type="dxa"/>
            <w:vAlign w:val="bottom"/>
            <w:tcBorders>
              <w:right w:val="single" w:sz="8" w:color="auto"/>
            </w:tcBorders>
            <w:shd w:val="clear" w:color="auto" w:fill="CCEEFF"/>
          </w:tcPr>
          <w:p>
            <w:pPr>
              <w:spacing w:after="0"/>
              <w:rPr>
                <w:sz w:val="14"/>
                <w:szCs w:val="14"/>
                <w:color w:val="auto"/>
              </w:rPr>
            </w:pPr>
          </w:p>
        </w:tc>
        <w:tc>
          <w:tcPr>
            <w:tcW w:w="74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4"/>
                <w:szCs w:val="14"/>
                <w:color w:val="auto"/>
                <w:w w:val="99"/>
              </w:rPr>
              <w:t>knowledge and experience with respect to the Company and the industries in which it operates. Mr. Downing's thorough</w:t>
            </w:r>
          </w:p>
        </w:tc>
        <w:tc>
          <w:tcPr>
            <w:tcW w:w="200" w:type="dxa"/>
            <w:vAlign w:val="bottom"/>
          </w:tcPr>
          <w:p>
            <w:pPr>
              <w:spacing w:after="0"/>
              <w:rPr>
                <w:sz w:val="14"/>
                <w:szCs w:val="14"/>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shd w:val="clear" w:color="auto" w:fill="CCEEFF"/>
          </w:tcPr>
          <w:p>
            <w:pPr>
              <w:spacing w:after="0"/>
              <w:rPr>
                <w:sz w:val="13"/>
                <w:szCs w:val="13"/>
                <w:color w:val="auto"/>
              </w:rPr>
            </w:pPr>
          </w:p>
        </w:tc>
        <w:tc>
          <w:tcPr>
            <w:tcW w:w="7420" w:type="dxa"/>
            <w:vAlign w:val="bottom"/>
            <w:tcBorders>
              <w:right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98"/>
              </w:rPr>
              <w:t>understanding of the Company's industries, familiarity with the Company's entrepreneurial culture, ability to build and lead</w:t>
            </w:r>
          </w:p>
        </w:tc>
        <w:tc>
          <w:tcPr>
            <w:tcW w:w="200" w:type="dxa"/>
            <w:vAlign w:val="bottom"/>
          </w:tcPr>
          <w:p>
            <w:pPr>
              <w:spacing w:after="0"/>
              <w:rPr>
                <w:sz w:val="13"/>
                <w:szCs w:val="13"/>
                <w:color w:val="auto"/>
              </w:rPr>
            </w:pPr>
          </w:p>
        </w:tc>
      </w:tr>
      <w:tr>
        <w:trPr>
          <w:trHeight w:val="155"/>
        </w:trPr>
        <w:tc>
          <w:tcPr>
            <w:tcW w:w="64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shd w:val="clear" w:color="auto" w:fill="CCEEFF"/>
          </w:tcPr>
          <w:p>
            <w:pPr>
              <w:spacing w:after="0"/>
              <w:rPr>
                <w:sz w:val="13"/>
                <w:szCs w:val="13"/>
                <w:color w:val="auto"/>
              </w:rPr>
            </w:pPr>
          </w:p>
        </w:tc>
        <w:tc>
          <w:tcPr>
            <w:tcW w:w="7420" w:type="dxa"/>
            <w:vAlign w:val="bottom"/>
            <w:tcBorders>
              <w:right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a cohesive management team, and demonstrated work with the Board make him an appropriate Board member. Mr.</w:t>
            </w:r>
          </w:p>
        </w:tc>
        <w:tc>
          <w:tcPr>
            <w:tcW w:w="200" w:type="dxa"/>
            <w:vAlign w:val="bottom"/>
          </w:tcPr>
          <w:p>
            <w:pPr>
              <w:spacing w:after="0"/>
              <w:rPr>
                <w:sz w:val="13"/>
                <w:szCs w:val="13"/>
                <w:color w:val="auto"/>
              </w:rPr>
            </w:pPr>
          </w:p>
        </w:tc>
      </w:tr>
      <w:tr>
        <w:trPr>
          <w:trHeight w:val="184"/>
        </w:trPr>
        <w:tc>
          <w:tcPr>
            <w:tcW w:w="640" w:type="dxa"/>
            <w:vAlign w:val="bottom"/>
            <w:tcBorders>
              <w:right w:val="single" w:sz="8" w:color="auto"/>
            </w:tcBorders>
          </w:tcPr>
          <w:p>
            <w:pPr>
              <w:spacing w:after="0"/>
              <w:rPr>
                <w:sz w:val="16"/>
                <w:szCs w:val="16"/>
                <w:color w:val="auto"/>
              </w:rPr>
            </w:pPr>
          </w:p>
        </w:tc>
        <w:tc>
          <w:tcPr>
            <w:tcW w:w="2980" w:type="dxa"/>
            <w:vAlign w:val="bottom"/>
            <w:tcBorders>
              <w:bottom w:val="single" w:sz="8" w:color="auto"/>
              <w:right w:val="single" w:sz="8" w:color="auto"/>
            </w:tcBorders>
            <w:shd w:val="clear" w:color="auto" w:fill="CCEEFF"/>
          </w:tcPr>
          <w:p>
            <w:pPr>
              <w:spacing w:after="0"/>
              <w:rPr>
                <w:sz w:val="16"/>
                <w:szCs w:val="16"/>
                <w:color w:val="auto"/>
              </w:rPr>
            </w:pPr>
          </w:p>
        </w:tc>
        <w:tc>
          <w:tcPr>
            <w:tcW w:w="74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Downing serves on the Executive Committee.</w:t>
            </w:r>
          </w:p>
        </w:tc>
        <w:tc>
          <w:tcPr>
            <w:tcW w:w="200" w:type="dxa"/>
            <w:vAlign w:val="bottom"/>
          </w:tcPr>
          <w:p>
            <w:pPr>
              <w:spacing w:after="0"/>
              <w:rPr>
                <w:sz w:val="16"/>
                <w:szCs w:val="16"/>
                <w:color w:val="auto"/>
              </w:rPr>
            </w:pPr>
          </w:p>
        </w:tc>
      </w:tr>
      <w:tr>
        <w:trPr>
          <w:trHeight w:val="707"/>
        </w:trPr>
        <w:tc>
          <w:tcPr>
            <w:tcW w:w="6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420" w:type="dxa"/>
            <w:vAlign w:val="bottom"/>
          </w:tcPr>
          <w:p>
            <w:pPr>
              <w:ind w:left="1960"/>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24"/>
                <w:szCs w:val="24"/>
                <w:color w:val="auto"/>
              </w:rPr>
            </w:pPr>
          </w:p>
        </w:tc>
      </w:tr>
      <w:tr>
        <w:trPr>
          <w:trHeight w:val="106"/>
        </w:trPr>
        <w:tc>
          <w:tcPr>
            <w:tcW w:w="64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74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41"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173"/>
        </w:trPr>
        <w:tc>
          <w:tcPr>
            <w:tcW w:w="30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Dr. Billy Pink (58)</w:t>
            </w:r>
          </w:p>
        </w:tc>
        <w:tc>
          <w:tcPr>
            <w:tcW w:w="742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Dr. Pink currently serves as Ferris State University’s 19th president, and is the first African American person to lead the</w:t>
            </w:r>
          </w:p>
        </w:tc>
      </w:tr>
      <w:tr>
        <w:trPr>
          <w:trHeight w:val="155"/>
        </w:trPr>
        <w:tc>
          <w:tcPr>
            <w:tcW w:w="3000" w:type="dxa"/>
            <w:vAlign w:val="bottom"/>
            <w:tcBorders>
              <w:left w:val="single" w:sz="8" w:color="auto"/>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Director since 2024</w:t>
            </w: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university since it was founded in 1884. Prior to guiding Ferris State University, Dr. Pink served as president of Grand</w:t>
            </w:r>
          </w:p>
        </w:tc>
      </w:tr>
      <w:tr>
        <w:trPr>
          <w:trHeight w:val="155"/>
        </w:trPr>
        <w:tc>
          <w:tcPr>
            <w:tcW w:w="3000" w:type="dxa"/>
            <w:vAlign w:val="bottom"/>
            <w:tcBorders>
              <w:left w:val="single" w:sz="8" w:color="auto"/>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Rapids Community College in Grand Rapids, MI, and before that served as vice president for academic affairs at</w:t>
            </w:r>
          </w:p>
        </w:tc>
      </w:tr>
      <w:tr>
        <w:trPr>
          <w:trHeight w:val="155"/>
        </w:trPr>
        <w:tc>
          <w:tcPr>
            <w:tcW w:w="3000" w:type="dxa"/>
            <w:vAlign w:val="bottom"/>
            <w:tcBorders>
              <w:left w:val="single" w:sz="8" w:color="auto"/>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w w:val="99"/>
              </w:rPr>
              <w:t>Oklahoma State University-Oklahoma City Campus in Oklahoma. He is involved in governance and policy development</w:t>
            </w:r>
          </w:p>
        </w:tc>
      </w:tr>
      <w:tr>
        <w:trPr>
          <w:trHeight w:val="155"/>
        </w:trPr>
        <w:tc>
          <w:tcPr>
            <w:tcW w:w="3000" w:type="dxa"/>
            <w:vAlign w:val="bottom"/>
            <w:tcBorders>
              <w:left w:val="single" w:sz="8" w:color="auto"/>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w w:val="98"/>
              </w:rPr>
              <w:t>at regional and national levels, including his appointment by Michigan’s Governor to be a leader on the Growing Michigan</w:t>
            </w:r>
          </w:p>
        </w:tc>
      </w:tr>
      <w:tr>
        <w:trPr>
          <w:trHeight w:val="155"/>
        </w:trPr>
        <w:tc>
          <w:tcPr>
            <w:tcW w:w="3000" w:type="dxa"/>
            <w:vAlign w:val="bottom"/>
            <w:tcBorders>
              <w:left w:val="single" w:sz="8" w:color="auto"/>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w w:val="98"/>
              </w:rPr>
              <w:t>Together Council and serving on the Michigan Economic Development Corporation executive committee. He is a member</w:t>
            </w:r>
          </w:p>
        </w:tc>
      </w:tr>
      <w:tr>
        <w:trPr>
          <w:trHeight w:val="155"/>
        </w:trPr>
        <w:tc>
          <w:tcPr>
            <w:tcW w:w="3000" w:type="dxa"/>
            <w:vAlign w:val="bottom"/>
            <w:tcBorders>
              <w:left w:val="single" w:sz="8" w:color="auto"/>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of the Higher Learning Commission board of trustees and serves on the American Council on Education board of</w:t>
            </w:r>
          </w:p>
        </w:tc>
      </w:tr>
      <w:tr>
        <w:trPr>
          <w:trHeight w:val="155"/>
        </w:trPr>
        <w:tc>
          <w:tcPr>
            <w:tcW w:w="3000" w:type="dxa"/>
            <w:vAlign w:val="bottom"/>
            <w:tcBorders>
              <w:left w:val="single" w:sz="8" w:color="auto"/>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w w:val="99"/>
              </w:rPr>
              <w:t>directors, working to shape public policy so that more students gain a quality education. In West Michigan, he serves on</w:t>
            </w:r>
          </w:p>
        </w:tc>
      </w:tr>
      <w:tr>
        <w:trPr>
          <w:trHeight w:val="142"/>
        </w:trPr>
        <w:tc>
          <w:tcPr>
            <w:tcW w:w="3000" w:type="dxa"/>
            <w:vAlign w:val="bottom"/>
            <w:tcBorders>
              <w:left w:val="single" w:sz="8" w:color="auto"/>
              <w:right w:val="single" w:sz="8" w:color="auto"/>
            </w:tcBorders>
          </w:tcPr>
          <w:p>
            <w:pPr>
              <w:spacing w:after="0"/>
              <w:rPr>
                <w:sz w:val="12"/>
                <w:szCs w:val="12"/>
                <w:color w:val="auto"/>
              </w:rPr>
            </w:pPr>
          </w:p>
        </w:tc>
        <w:tc>
          <w:tcPr>
            <w:tcW w:w="742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w w:val="99"/>
              </w:rPr>
              <w:t>the boards of Corewell Health West Michigan, is board chair for the Heart of West Michigan United Way and board vice-</w:t>
            </w:r>
          </w:p>
        </w:tc>
      </w:tr>
      <w:tr>
        <w:trPr>
          <w:trHeight w:val="155"/>
        </w:trPr>
        <w:tc>
          <w:tcPr>
            <w:tcW w:w="3000" w:type="dxa"/>
            <w:vAlign w:val="bottom"/>
            <w:tcBorders>
              <w:left w:val="single" w:sz="8" w:color="auto"/>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chair for The Right Place. Dr. Pink earned a Doctor of Philosophy from the University of Oklahoma in Instructional</w:t>
            </w:r>
          </w:p>
        </w:tc>
      </w:tr>
      <w:tr>
        <w:trPr>
          <w:trHeight w:val="155"/>
        </w:trPr>
        <w:tc>
          <w:tcPr>
            <w:tcW w:w="3000" w:type="dxa"/>
            <w:vAlign w:val="bottom"/>
            <w:tcBorders>
              <w:left w:val="single" w:sz="8" w:color="auto"/>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Leadership and Academic Curriculum, a Master of Education in Physical Education and Secondary Education from the</w:t>
            </w:r>
          </w:p>
        </w:tc>
      </w:tr>
      <w:tr>
        <w:trPr>
          <w:trHeight w:val="155"/>
        </w:trPr>
        <w:tc>
          <w:tcPr>
            <w:tcW w:w="3000" w:type="dxa"/>
            <w:vAlign w:val="bottom"/>
            <w:tcBorders>
              <w:left w:val="single" w:sz="8" w:color="auto"/>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University of Central Oklahoma, and a Bachelor of Science in Physical Education and Professional Education from</w:t>
            </w:r>
          </w:p>
        </w:tc>
      </w:tr>
      <w:tr>
        <w:trPr>
          <w:trHeight w:val="155"/>
        </w:trPr>
        <w:tc>
          <w:tcPr>
            <w:tcW w:w="3000" w:type="dxa"/>
            <w:vAlign w:val="bottom"/>
            <w:tcBorders>
              <w:left w:val="single" w:sz="8" w:color="auto"/>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Oklahoma Christian University. Dr. Pink has been affirmatively identified as an independent director by the Board. The</w:t>
            </w:r>
          </w:p>
        </w:tc>
      </w:tr>
      <w:tr>
        <w:trPr>
          <w:trHeight w:val="155"/>
        </w:trPr>
        <w:tc>
          <w:tcPr>
            <w:tcW w:w="3000" w:type="dxa"/>
            <w:vAlign w:val="bottom"/>
            <w:tcBorders>
              <w:left w:val="single" w:sz="8" w:color="auto"/>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Board benefits from Dr. Pink's experience in the areas of leadership, policy making, understanding of the post-graduate</w:t>
            </w:r>
          </w:p>
        </w:tc>
      </w:tr>
      <w:tr>
        <w:trPr>
          <w:trHeight w:val="180"/>
        </w:trPr>
        <w:tc>
          <w:tcPr>
            <w:tcW w:w="3000" w:type="dxa"/>
            <w:vAlign w:val="bottom"/>
            <w:tcBorders>
              <w:left w:val="single" w:sz="8" w:color="auto"/>
              <w:right w:val="single" w:sz="8" w:color="auto"/>
            </w:tcBorders>
          </w:tcPr>
          <w:p>
            <w:pPr>
              <w:spacing w:after="0"/>
              <w:rPr>
                <w:sz w:val="15"/>
                <w:szCs w:val="15"/>
                <w:color w:val="auto"/>
              </w:rPr>
            </w:pPr>
          </w:p>
        </w:tc>
        <w:tc>
          <w:tcPr>
            <w:tcW w:w="74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expectations of students, and governance.</w:t>
            </w:r>
          </w:p>
        </w:tc>
      </w:tr>
      <w:tr>
        <w:trPr>
          <w:trHeight w:val="20"/>
        </w:trPr>
        <w:tc>
          <w:tcPr>
            <w:tcW w:w="3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20" w:type="dxa"/>
            <w:vAlign w:val="bottom"/>
            <w:tcBorders>
              <w:bottom w:val="single" w:sz="8" w:color="auto"/>
              <w:right w:val="single" w:sz="8" w:color="auto"/>
            </w:tcBorders>
          </w:tcPr>
          <w:p>
            <w:pPr>
              <w:spacing w:after="0" w:line="20" w:lineRule="exact"/>
              <w:rPr>
                <w:sz w:val="1"/>
                <w:szCs w:val="1"/>
                <w:color w:val="auto"/>
              </w:rPr>
            </w:pPr>
          </w:p>
        </w:tc>
      </w:tr>
      <w:tr>
        <w:trPr>
          <w:trHeight w:val="147"/>
        </w:trPr>
        <w:tc>
          <w:tcPr>
            <w:tcW w:w="3000" w:type="dxa"/>
            <w:vAlign w:val="bottom"/>
            <w:tcBorders>
              <w:left w:val="single" w:sz="8" w:color="auto"/>
              <w:right w:val="single" w:sz="8" w:color="auto"/>
            </w:tcBorders>
            <w:shd w:val="clear" w:color="auto" w:fill="CCEEFF"/>
          </w:tcPr>
          <w:p>
            <w:pPr>
              <w:ind w:left="40"/>
              <w:spacing w:after="0" w:line="147" w:lineRule="exact"/>
              <w:rPr>
                <w:sz w:val="20"/>
                <w:szCs w:val="20"/>
                <w:color w:val="auto"/>
              </w:rPr>
            </w:pPr>
            <w:r>
              <w:rPr>
                <w:rFonts w:ascii="Arial" w:cs="Arial" w:eastAsia="Arial" w:hAnsi="Arial"/>
                <w:sz w:val="14"/>
                <w:szCs w:val="14"/>
                <w:color w:val="auto"/>
              </w:rPr>
              <w:t>Mr. Richard Schaum (78)</w:t>
            </w:r>
          </w:p>
        </w:tc>
        <w:tc>
          <w:tcPr>
            <w:tcW w:w="7420" w:type="dxa"/>
            <w:vAlign w:val="bottom"/>
            <w:tcBorders>
              <w:right w:val="single" w:sz="8" w:color="auto"/>
            </w:tcBorders>
            <w:shd w:val="clear" w:color="auto" w:fill="CCEEFF"/>
          </w:tcPr>
          <w:p>
            <w:pPr>
              <w:spacing w:after="0" w:line="147" w:lineRule="exact"/>
              <w:rPr>
                <w:sz w:val="20"/>
                <w:szCs w:val="20"/>
                <w:color w:val="auto"/>
              </w:rPr>
            </w:pPr>
            <w:r>
              <w:rPr>
                <w:rFonts w:ascii="Arial" w:cs="Arial" w:eastAsia="Arial" w:hAnsi="Arial"/>
                <w:sz w:val="14"/>
                <w:szCs w:val="14"/>
                <w:color w:val="auto"/>
              </w:rPr>
              <w:t>Mr. Schaum has been General Manager of 3rd Horizon Associates LLC, a technology assessment and development</w:t>
            </w:r>
          </w:p>
        </w:tc>
      </w:tr>
      <w:tr>
        <w:trPr>
          <w:trHeight w:val="186"/>
        </w:trPr>
        <w:tc>
          <w:tcPr>
            <w:tcW w:w="30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Director since 2011</w:t>
            </w:r>
          </w:p>
        </w:tc>
        <w:tc>
          <w:tcPr>
            <w:tcW w:w="74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4"/>
                <w:szCs w:val="14"/>
                <w:color w:val="auto"/>
                <w:w w:val="99"/>
              </w:rPr>
              <w:t>company, since May 2003. From October 2003 until June 2005, he was Vice President and General Manager of Vehicle</w:t>
            </w:r>
          </w:p>
        </w:tc>
      </w:tr>
      <w:tr>
        <w:trPr>
          <w:trHeight w:val="155"/>
        </w:trPr>
        <w:tc>
          <w:tcPr>
            <w:tcW w:w="3000" w:type="dxa"/>
            <w:vAlign w:val="bottom"/>
            <w:tcBorders>
              <w:left w:val="single" w:sz="8" w:color="auto"/>
              <w:right w:val="single" w:sz="8" w:color="auto"/>
            </w:tcBorders>
            <w:shd w:val="clear" w:color="auto" w:fill="CCEEFF"/>
          </w:tcPr>
          <w:p>
            <w:pPr>
              <w:spacing w:after="0"/>
              <w:rPr>
                <w:sz w:val="13"/>
                <w:szCs w:val="13"/>
                <w:color w:val="auto"/>
              </w:rPr>
            </w:pPr>
          </w:p>
        </w:tc>
        <w:tc>
          <w:tcPr>
            <w:tcW w:w="7420" w:type="dxa"/>
            <w:vAlign w:val="bottom"/>
            <w:tcBorders>
              <w:right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Systems for WaveCrest Laboratories, Inc., a startup company involved in the commercialization of proprietary electric</w:t>
            </w:r>
          </w:p>
        </w:tc>
      </w:tr>
      <w:tr>
        <w:trPr>
          <w:trHeight w:val="155"/>
        </w:trPr>
        <w:tc>
          <w:tcPr>
            <w:tcW w:w="3000" w:type="dxa"/>
            <w:vAlign w:val="bottom"/>
            <w:tcBorders>
              <w:left w:val="single" w:sz="8" w:color="auto"/>
              <w:right w:val="single" w:sz="8" w:color="auto"/>
            </w:tcBorders>
            <w:shd w:val="clear" w:color="auto" w:fill="CCEEFF"/>
          </w:tcPr>
          <w:p>
            <w:pPr>
              <w:spacing w:after="0"/>
              <w:rPr>
                <w:sz w:val="13"/>
                <w:szCs w:val="13"/>
                <w:color w:val="auto"/>
              </w:rPr>
            </w:pPr>
          </w:p>
        </w:tc>
        <w:tc>
          <w:tcPr>
            <w:tcW w:w="7420" w:type="dxa"/>
            <w:vAlign w:val="bottom"/>
            <w:tcBorders>
              <w:right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propulsion systems. Prior to that, for more than thirty years, he was with DaimlerChrysler Corporation, and its</w:t>
            </w:r>
          </w:p>
        </w:tc>
      </w:tr>
      <w:tr>
        <w:trPr>
          <w:trHeight w:val="155"/>
        </w:trPr>
        <w:tc>
          <w:tcPr>
            <w:tcW w:w="3000" w:type="dxa"/>
            <w:vAlign w:val="bottom"/>
            <w:tcBorders>
              <w:left w:val="single" w:sz="8" w:color="auto"/>
              <w:right w:val="single" w:sz="8" w:color="auto"/>
            </w:tcBorders>
            <w:shd w:val="clear" w:color="auto" w:fill="CCEEFF"/>
          </w:tcPr>
          <w:p>
            <w:pPr>
              <w:spacing w:after="0"/>
              <w:rPr>
                <w:sz w:val="13"/>
                <w:szCs w:val="13"/>
                <w:color w:val="auto"/>
              </w:rPr>
            </w:pPr>
          </w:p>
        </w:tc>
        <w:tc>
          <w:tcPr>
            <w:tcW w:w="7420" w:type="dxa"/>
            <w:vAlign w:val="bottom"/>
            <w:tcBorders>
              <w:right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97"/>
              </w:rPr>
              <w:t>predecessor, Chrysler Corporation, serving in various positions including Executive Vice President, Product Development,</w:t>
            </w:r>
          </w:p>
        </w:tc>
      </w:tr>
      <w:tr>
        <w:trPr>
          <w:trHeight w:val="167"/>
        </w:trPr>
        <w:tc>
          <w:tcPr>
            <w:tcW w:w="3000" w:type="dxa"/>
            <w:vAlign w:val="bottom"/>
            <w:tcBorders>
              <w:left w:val="single" w:sz="8" w:color="auto"/>
              <w:right w:val="single" w:sz="8" w:color="auto"/>
            </w:tcBorders>
            <w:shd w:val="clear" w:color="auto" w:fill="CCEEFF"/>
          </w:tcPr>
          <w:p>
            <w:pPr>
              <w:spacing w:after="0"/>
              <w:rPr>
                <w:sz w:val="14"/>
                <w:szCs w:val="14"/>
                <w:color w:val="auto"/>
              </w:rPr>
            </w:pPr>
          </w:p>
        </w:tc>
        <w:tc>
          <w:tcPr>
            <w:tcW w:w="74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4"/>
                <w:szCs w:val="14"/>
                <w:color w:val="auto"/>
                <w:w w:val="99"/>
              </w:rPr>
              <w:t>and General Manager of Powertrain Operations, at that time a $7 billion business with 11 plants and 23,000 employees.</w:t>
            </w:r>
          </w:p>
        </w:tc>
      </w:tr>
      <w:tr>
        <w:trPr>
          <w:trHeight w:val="155"/>
        </w:trPr>
        <w:tc>
          <w:tcPr>
            <w:tcW w:w="3000" w:type="dxa"/>
            <w:vAlign w:val="bottom"/>
            <w:tcBorders>
              <w:left w:val="single" w:sz="8" w:color="auto"/>
              <w:right w:val="single" w:sz="8" w:color="auto"/>
            </w:tcBorders>
            <w:shd w:val="clear" w:color="auto" w:fill="CCEEFF"/>
          </w:tcPr>
          <w:p>
            <w:pPr>
              <w:spacing w:after="0"/>
              <w:rPr>
                <w:sz w:val="13"/>
                <w:szCs w:val="13"/>
                <w:color w:val="auto"/>
              </w:rPr>
            </w:pPr>
          </w:p>
        </w:tc>
        <w:tc>
          <w:tcPr>
            <w:tcW w:w="7420" w:type="dxa"/>
            <w:vAlign w:val="bottom"/>
            <w:tcBorders>
              <w:right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Mr. Schaum is a fellow of the Society of Automotive Engineers and served as its Chairman and President from 2007 to</w:t>
            </w:r>
          </w:p>
        </w:tc>
      </w:tr>
      <w:tr>
        <w:trPr>
          <w:trHeight w:val="155"/>
        </w:trPr>
        <w:tc>
          <w:tcPr>
            <w:tcW w:w="3000" w:type="dxa"/>
            <w:vAlign w:val="bottom"/>
            <w:tcBorders>
              <w:left w:val="single" w:sz="8" w:color="auto"/>
              <w:right w:val="single" w:sz="8" w:color="auto"/>
            </w:tcBorders>
            <w:shd w:val="clear" w:color="auto" w:fill="CCEEFF"/>
          </w:tcPr>
          <w:p>
            <w:pPr>
              <w:spacing w:after="0"/>
              <w:rPr>
                <w:sz w:val="13"/>
                <w:szCs w:val="13"/>
                <w:color w:val="auto"/>
              </w:rPr>
            </w:pPr>
          </w:p>
        </w:tc>
        <w:tc>
          <w:tcPr>
            <w:tcW w:w="7420" w:type="dxa"/>
            <w:vAlign w:val="bottom"/>
            <w:tcBorders>
              <w:right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2008. He has also previously served on the Board of Directors of BorgWarner, Inc. and Sterling Construction Co. Mr.</w:t>
            </w:r>
          </w:p>
        </w:tc>
      </w:tr>
      <w:tr>
        <w:trPr>
          <w:trHeight w:val="155"/>
        </w:trPr>
        <w:tc>
          <w:tcPr>
            <w:tcW w:w="3000" w:type="dxa"/>
            <w:vAlign w:val="bottom"/>
            <w:tcBorders>
              <w:left w:val="single" w:sz="8" w:color="auto"/>
              <w:right w:val="single" w:sz="8" w:color="auto"/>
            </w:tcBorders>
            <w:shd w:val="clear" w:color="auto" w:fill="CCEEFF"/>
          </w:tcPr>
          <w:p>
            <w:pPr>
              <w:spacing w:after="0"/>
              <w:rPr>
                <w:sz w:val="13"/>
                <w:szCs w:val="13"/>
                <w:color w:val="auto"/>
              </w:rPr>
            </w:pPr>
          </w:p>
        </w:tc>
        <w:tc>
          <w:tcPr>
            <w:tcW w:w="7420" w:type="dxa"/>
            <w:vAlign w:val="bottom"/>
            <w:tcBorders>
              <w:right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99"/>
              </w:rPr>
              <w:t>Schaum has been affirmatively identified as an independent director by the Board. He is Chair of the Board, Chair of the</w:t>
            </w:r>
          </w:p>
        </w:tc>
      </w:tr>
      <w:tr>
        <w:trPr>
          <w:trHeight w:val="206"/>
        </w:trPr>
        <w:tc>
          <w:tcPr>
            <w:tcW w:w="300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742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Compensation Committee, and serves on the Executive Committee.</w:t>
            </w:r>
          </w:p>
        </w:tc>
      </w:tr>
      <w:tr>
        <w:trPr>
          <w:trHeight w:val="140"/>
        </w:trPr>
        <w:tc>
          <w:tcPr>
            <w:tcW w:w="3000" w:type="dxa"/>
            <w:vAlign w:val="bottom"/>
            <w:tcBorders>
              <w:top w:val="single" w:sz="8" w:color="auto"/>
              <w:left w:val="single" w:sz="8" w:color="auto"/>
              <w:right w:val="single" w:sz="8" w:color="auto"/>
            </w:tcBorders>
          </w:tcPr>
          <w:p>
            <w:pPr>
              <w:ind w:left="40"/>
              <w:spacing w:after="0" w:line="140" w:lineRule="exact"/>
              <w:rPr>
                <w:sz w:val="20"/>
                <w:szCs w:val="20"/>
                <w:color w:val="auto"/>
              </w:rPr>
            </w:pPr>
            <w:r>
              <w:rPr>
                <w:rFonts w:ascii="Arial" w:cs="Arial" w:eastAsia="Arial" w:hAnsi="Arial"/>
                <w:sz w:val="14"/>
                <w:szCs w:val="14"/>
                <w:color w:val="auto"/>
              </w:rPr>
              <w:t>Ms. Kathleen Starkoff (67)</w:t>
            </w:r>
          </w:p>
        </w:tc>
        <w:tc>
          <w:tcPr>
            <w:tcW w:w="7420" w:type="dxa"/>
            <w:vAlign w:val="bottom"/>
            <w:tcBorders>
              <w:top w:val="single" w:sz="8" w:color="auto"/>
              <w:right w:val="single" w:sz="8" w:color="auto"/>
            </w:tcBorders>
          </w:tcPr>
          <w:p>
            <w:pPr>
              <w:spacing w:after="0" w:line="140" w:lineRule="exact"/>
              <w:rPr>
                <w:sz w:val="20"/>
                <w:szCs w:val="20"/>
                <w:color w:val="auto"/>
              </w:rPr>
            </w:pPr>
            <w:r>
              <w:rPr>
                <w:rFonts w:ascii="Arial" w:cs="Arial" w:eastAsia="Arial" w:hAnsi="Arial"/>
                <w:sz w:val="14"/>
                <w:szCs w:val="14"/>
                <w:color w:val="auto"/>
              </w:rPr>
              <w:t>Ms. Starkoff is the President and CEO of Orange Star Consulting, a Columbus, Ohio based information technology</w:t>
            </w:r>
          </w:p>
        </w:tc>
      </w:tr>
      <w:tr>
        <w:trPr>
          <w:trHeight w:val="136"/>
        </w:trPr>
        <w:tc>
          <w:tcPr>
            <w:tcW w:w="3000" w:type="dxa"/>
            <w:vAlign w:val="bottom"/>
            <w:tcBorders>
              <w:left w:val="single" w:sz="8" w:color="auto"/>
              <w:right w:val="single" w:sz="8" w:color="auto"/>
            </w:tcBorders>
          </w:tcPr>
          <w:p>
            <w:pPr>
              <w:ind w:left="40"/>
              <w:spacing w:after="0" w:line="137" w:lineRule="exact"/>
              <w:rPr>
                <w:sz w:val="20"/>
                <w:szCs w:val="20"/>
                <w:color w:val="auto"/>
              </w:rPr>
            </w:pPr>
            <w:r>
              <w:rPr>
                <w:rFonts w:ascii="Arial" w:cs="Arial" w:eastAsia="Arial" w:hAnsi="Arial"/>
                <w:sz w:val="14"/>
                <w:szCs w:val="14"/>
                <w:color w:val="auto"/>
              </w:rPr>
              <w:t>Director since 2018</w:t>
            </w:r>
          </w:p>
        </w:tc>
        <w:tc>
          <w:tcPr>
            <w:tcW w:w="7420" w:type="dxa"/>
            <w:vAlign w:val="bottom"/>
            <w:tcBorders>
              <w:right w:val="single" w:sz="8" w:color="auto"/>
            </w:tcBorders>
          </w:tcPr>
          <w:p>
            <w:pPr>
              <w:spacing w:after="0" w:line="137" w:lineRule="exact"/>
              <w:rPr>
                <w:sz w:val="20"/>
                <w:szCs w:val="20"/>
                <w:color w:val="auto"/>
              </w:rPr>
            </w:pPr>
            <w:r>
              <w:rPr>
                <w:rFonts w:ascii="Arial" w:cs="Arial" w:eastAsia="Arial" w:hAnsi="Arial"/>
                <w:sz w:val="14"/>
                <w:szCs w:val="14"/>
                <w:color w:val="auto"/>
              </w:rPr>
              <w:t>consulting firm.  She has served in that role since 2013. Prior to that, Ms. Starkoff was Chief Information Officer at the</w:t>
            </w:r>
          </w:p>
        </w:tc>
      </w:tr>
      <w:tr>
        <w:trPr>
          <w:trHeight w:val="134"/>
        </w:trPr>
        <w:tc>
          <w:tcPr>
            <w:tcW w:w="3000" w:type="dxa"/>
            <w:vAlign w:val="bottom"/>
            <w:tcBorders>
              <w:left w:val="single" w:sz="8" w:color="auto"/>
              <w:right w:val="single" w:sz="8" w:color="auto"/>
            </w:tcBorders>
          </w:tcPr>
          <w:p>
            <w:pPr>
              <w:spacing w:after="0"/>
              <w:rPr>
                <w:sz w:val="11"/>
                <w:szCs w:val="11"/>
                <w:color w:val="auto"/>
              </w:rPr>
            </w:pPr>
          </w:p>
        </w:tc>
        <w:tc>
          <w:tcPr>
            <w:tcW w:w="7420" w:type="dxa"/>
            <w:vAlign w:val="bottom"/>
            <w:tcBorders>
              <w:right w:val="single" w:sz="8" w:color="auto"/>
            </w:tcBorders>
          </w:tcPr>
          <w:p>
            <w:pPr>
              <w:spacing w:after="0" w:line="135" w:lineRule="exact"/>
              <w:rPr>
                <w:sz w:val="20"/>
                <w:szCs w:val="20"/>
                <w:color w:val="auto"/>
              </w:rPr>
            </w:pPr>
            <w:r>
              <w:rPr>
                <w:rFonts w:ascii="Arial" w:cs="Arial" w:eastAsia="Arial" w:hAnsi="Arial"/>
                <w:sz w:val="14"/>
                <w:szCs w:val="14"/>
                <w:color w:val="auto"/>
                <w:w w:val="99"/>
              </w:rPr>
              <w:t>Ohio State University from 2008-2013. Before that, she served as Chief Technology Officer and Group Vice President of</w:t>
            </w:r>
          </w:p>
        </w:tc>
      </w:tr>
      <w:tr>
        <w:trPr>
          <w:trHeight w:val="142"/>
        </w:trPr>
        <w:tc>
          <w:tcPr>
            <w:tcW w:w="3000" w:type="dxa"/>
            <w:vAlign w:val="bottom"/>
            <w:tcBorders>
              <w:left w:val="single" w:sz="8" w:color="auto"/>
              <w:right w:val="single" w:sz="8" w:color="auto"/>
            </w:tcBorders>
          </w:tcPr>
          <w:p>
            <w:pPr>
              <w:spacing w:after="0"/>
              <w:rPr>
                <w:sz w:val="12"/>
                <w:szCs w:val="12"/>
                <w:color w:val="auto"/>
              </w:rPr>
            </w:pPr>
          </w:p>
        </w:tc>
        <w:tc>
          <w:tcPr>
            <w:tcW w:w="742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Limited Brands (renamed Bath &amp; Body Works in 2021). She also served as Chief Technology Officer and Senior Vice</w:t>
            </w:r>
          </w:p>
        </w:tc>
      </w:tr>
      <w:tr>
        <w:trPr>
          <w:trHeight w:val="136"/>
        </w:trPr>
        <w:tc>
          <w:tcPr>
            <w:tcW w:w="3000" w:type="dxa"/>
            <w:vAlign w:val="bottom"/>
            <w:tcBorders>
              <w:left w:val="single" w:sz="8" w:color="auto"/>
              <w:right w:val="single" w:sz="8" w:color="auto"/>
            </w:tcBorders>
          </w:tcPr>
          <w:p>
            <w:pPr>
              <w:spacing w:after="0"/>
              <w:rPr>
                <w:sz w:val="11"/>
                <w:szCs w:val="11"/>
                <w:color w:val="auto"/>
              </w:rPr>
            </w:pPr>
          </w:p>
        </w:tc>
        <w:tc>
          <w:tcPr>
            <w:tcW w:w="7420" w:type="dxa"/>
            <w:vAlign w:val="bottom"/>
            <w:tcBorders>
              <w:right w:val="single" w:sz="8" w:color="auto"/>
            </w:tcBorders>
          </w:tcPr>
          <w:p>
            <w:pPr>
              <w:spacing w:after="0" w:line="137" w:lineRule="exact"/>
              <w:rPr>
                <w:sz w:val="20"/>
                <w:szCs w:val="20"/>
                <w:color w:val="auto"/>
              </w:rPr>
            </w:pPr>
            <w:r>
              <w:rPr>
                <w:rFonts w:ascii="Arial" w:cs="Arial" w:eastAsia="Arial" w:hAnsi="Arial"/>
                <w:sz w:val="14"/>
                <w:szCs w:val="14"/>
                <w:color w:val="auto"/>
              </w:rPr>
              <w:t>President of BankOne Corporation (now JPMorgan Chase). As such, Ms. Starkoff provides the Board with significant</w:t>
            </w:r>
          </w:p>
        </w:tc>
      </w:tr>
      <w:tr>
        <w:trPr>
          <w:trHeight w:val="134"/>
        </w:trPr>
        <w:tc>
          <w:tcPr>
            <w:tcW w:w="3000" w:type="dxa"/>
            <w:vAlign w:val="bottom"/>
            <w:tcBorders>
              <w:left w:val="single" w:sz="8" w:color="auto"/>
              <w:right w:val="single" w:sz="8" w:color="auto"/>
            </w:tcBorders>
          </w:tcPr>
          <w:p>
            <w:pPr>
              <w:spacing w:after="0"/>
              <w:rPr>
                <w:sz w:val="11"/>
                <w:szCs w:val="11"/>
                <w:color w:val="auto"/>
              </w:rPr>
            </w:pPr>
          </w:p>
        </w:tc>
        <w:tc>
          <w:tcPr>
            <w:tcW w:w="7420" w:type="dxa"/>
            <w:vAlign w:val="bottom"/>
            <w:tcBorders>
              <w:right w:val="single" w:sz="8" w:color="auto"/>
            </w:tcBorders>
          </w:tcPr>
          <w:p>
            <w:pPr>
              <w:spacing w:after="0" w:line="135" w:lineRule="exact"/>
              <w:rPr>
                <w:sz w:val="20"/>
                <w:szCs w:val="20"/>
                <w:color w:val="auto"/>
              </w:rPr>
            </w:pPr>
            <w:r>
              <w:rPr>
                <w:rFonts w:ascii="Arial" w:cs="Arial" w:eastAsia="Arial" w:hAnsi="Arial"/>
                <w:sz w:val="14"/>
                <w:szCs w:val="14"/>
                <w:color w:val="auto"/>
              </w:rPr>
              <w:t>information technology and enterprise risk management expertise, including in the public company context. In addition,</w:t>
            </w:r>
          </w:p>
        </w:tc>
      </w:tr>
      <w:tr>
        <w:trPr>
          <w:trHeight w:val="142"/>
        </w:trPr>
        <w:tc>
          <w:tcPr>
            <w:tcW w:w="3000" w:type="dxa"/>
            <w:vAlign w:val="bottom"/>
            <w:tcBorders>
              <w:left w:val="single" w:sz="8" w:color="auto"/>
              <w:right w:val="single" w:sz="8" w:color="auto"/>
            </w:tcBorders>
          </w:tcPr>
          <w:p>
            <w:pPr>
              <w:spacing w:after="0"/>
              <w:rPr>
                <w:sz w:val="12"/>
                <w:szCs w:val="12"/>
                <w:color w:val="auto"/>
              </w:rPr>
            </w:pPr>
          </w:p>
        </w:tc>
        <w:tc>
          <w:tcPr>
            <w:tcW w:w="742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she has significant private and nonprofit board experience and has been recognized by the National Association of</w:t>
            </w:r>
          </w:p>
        </w:tc>
      </w:tr>
      <w:tr>
        <w:trPr>
          <w:trHeight w:val="136"/>
        </w:trPr>
        <w:tc>
          <w:tcPr>
            <w:tcW w:w="3000" w:type="dxa"/>
            <w:vAlign w:val="bottom"/>
            <w:tcBorders>
              <w:left w:val="single" w:sz="8" w:color="auto"/>
              <w:right w:val="single" w:sz="8" w:color="auto"/>
            </w:tcBorders>
          </w:tcPr>
          <w:p>
            <w:pPr>
              <w:spacing w:after="0"/>
              <w:rPr>
                <w:sz w:val="11"/>
                <w:szCs w:val="11"/>
                <w:color w:val="auto"/>
              </w:rPr>
            </w:pPr>
          </w:p>
        </w:tc>
        <w:tc>
          <w:tcPr>
            <w:tcW w:w="7420" w:type="dxa"/>
            <w:vAlign w:val="bottom"/>
            <w:tcBorders>
              <w:right w:val="single" w:sz="8" w:color="auto"/>
            </w:tcBorders>
          </w:tcPr>
          <w:p>
            <w:pPr>
              <w:spacing w:after="0" w:line="137" w:lineRule="exact"/>
              <w:rPr>
                <w:sz w:val="20"/>
                <w:szCs w:val="20"/>
                <w:color w:val="auto"/>
              </w:rPr>
            </w:pPr>
            <w:r>
              <w:rPr>
                <w:rFonts w:ascii="Arial" w:cs="Arial" w:eastAsia="Arial" w:hAnsi="Arial"/>
                <w:sz w:val="14"/>
                <w:szCs w:val="14"/>
                <w:color w:val="auto"/>
                <w:w w:val="98"/>
              </w:rPr>
              <w:t>Corporate Directors (“NACD”) as both a “Leadership Fellow,” and a featured cyber-security expert. Ms. Starkoff has been</w:t>
            </w:r>
          </w:p>
        </w:tc>
      </w:tr>
      <w:tr>
        <w:trPr>
          <w:trHeight w:val="180"/>
        </w:trPr>
        <w:tc>
          <w:tcPr>
            <w:tcW w:w="3000" w:type="dxa"/>
            <w:vAlign w:val="bottom"/>
            <w:tcBorders>
              <w:left w:val="single" w:sz="8" w:color="auto"/>
              <w:bottom w:val="single" w:sz="8" w:color="auto"/>
              <w:right w:val="single" w:sz="8" w:color="auto"/>
            </w:tcBorders>
          </w:tcPr>
          <w:p>
            <w:pPr>
              <w:spacing w:after="0"/>
              <w:rPr>
                <w:sz w:val="15"/>
                <w:szCs w:val="15"/>
                <w:color w:val="auto"/>
              </w:rPr>
            </w:pPr>
          </w:p>
        </w:tc>
        <w:tc>
          <w:tcPr>
            <w:tcW w:w="7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w w:val="99"/>
              </w:rPr>
              <w:t>affirmatively identified as an independent director by the Board. Ms. Starkoff serves on the Company's Audit Committee.</w:t>
            </w:r>
          </w:p>
        </w:tc>
      </w:tr>
      <w:tr>
        <w:trPr>
          <w:trHeight w:val="140"/>
        </w:trPr>
        <w:tc>
          <w:tcPr>
            <w:tcW w:w="3000" w:type="dxa"/>
            <w:vAlign w:val="bottom"/>
            <w:tcBorders>
              <w:left w:val="single" w:sz="8" w:color="auto"/>
              <w:right w:val="single" w:sz="8" w:color="auto"/>
            </w:tcBorders>
            <w:shd w:val="clear" w:color="auto" w:fill="CCEEFF"/>
          </w:tcPr>
          <w:p>
            <w:pPr>
              <w:ind w:left="40"/>
              <w:spacing w:after="0" w:line="140" w:lineRule="exact"/>
              <w:rPr>
                <w:sz w:val="20"/>
                <w:szCs w:val="20"/>
                <w:color w:val="auto"/>
              </w:rPr>
            </w:pPr>
            <w:r>
              <w:rPr>
                <w:rFonts w:ascii="Arial" w:cs="Arial" w:eastAsia="Arial" w:hAnsi="Arial"/>
                <w:sz w:val="14"/>
                <w:szCs w:val="14"/>
                <w:color w:val="auto"/>
              </w:rPr>
              <w:t>Mr. Brian Walker (63)</w:t>
            </w:r>
          </w:p>
        </w:tc>
        <w:tc>
          <w:tcPr>
            <w:tcW w:w="7420" w:type="dxa"/>
            <w:vAlign w:val="bottom"/>
            <w:tcBorders>
              <w:right w:val="single" w:sz="8" w:color="auto"/>
            </w:tcBorders>
            <w:shd w:val="clear" w:color="auto" w:fill="CCEEFF"/>
          </w:tcPr>
          <w:p>
            <w:pPr>
              <w:spacing w:after="0" w:line="140" w:lineRule="exact"/>
              <w:rPr>
                <w:sz w:val="20"/>
                <w:szCs w:val="20"/>
                <w:color w:val="auto"/>
              </w:rPr>
            </w:pPr>
            <w:r>
              <w:rPr>
                <w:rFonts w:ascii="Arial" w:cs="Arial" w:eastAsia="Arial" w:hAnsi="Arial"/>
                <w:sz w:val="14"/>
                <w:szCs w:val="14"/>
                <w:color w:val="auto"/>
                <w:w w:val="98"/>
              </w:rPr>
              <w:t>Mr. Walker is currently an Operating Partner - Strategic Operations with Huron Capital, a mid market Private Equity Firm.</w:t>
            </w:r>
          </w:p>
        </w:tc>
      </w:tr>
      <w:tr>
        <w:trPr>
          <w:trHeight w:val="155"/>
        </w:trPr>
        <w:tc>
          <w:tcPr>
            <w:tcW w:w="3000" w:type="dxa"/>
            <w:vAlign w:val="bottom"/>
            <w:tcBorders>
              <w:left w:val="single" w:sz="8" w:color="auto"/>
              <w:right w:val="single" w:sz="8" w:color="auto"/>
            </w:tcBorders>
            <w:shd w:val="clear" w:color="auto" w:fill="CCEEFF"/>
          </w:tcPr>
          <w:p>
            <w:pPr>
              <w:ind w:left="40"/>
              <w:spacing w:after="0" w:line="155" w:lineRule="exact"/>
              <w:rPr>
                <w:sz w:val="20"/>
                <w:szCs w:val="20"/>
                <w:color w:val="auto"/>
              </w:rPr>
            </w:pPr>
            <w:r>
              <w:rPr>
                <w:rFonts w:ascii="Arial" w:cs="Arial" w:eastAsia="Arial" w:hAnsi="Arial"/>
                <w:sz w:val="14"/>
                <w:szCs w:val="14"/>
                <w:color w:val="auto"/>
              </w:rPr>
              <w:t>Director since 2018</w:t>
            </w:r>
          </w:p>
        </w:tc>
        <w:tc>
          <w:tcPr>
            <w:tcW w:w="7420" w:type="dxa"/>
            <w:vAlign w:val="bottom"/>
            <w:tcBorders>
              <w:right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98"/>
              </w:rPr>
              <w:t>Prior to joining Huron Capital, Mr. Walker served as President and CEO of Herman Miller, Inc., a company involved in the</w:t>
            </w:r>
          </w:p>
        </w:tc>
      </w:tr>
      <w:tr>
        <w:trPr>
          <w:trHeight w:val="142"/>
        </w:trPr>
        <w:tc>
          <w:tcPr>
            <w:tcW w:w="3000" w:type="dxa"/>
            <w:vAlign w:val="bottom"/>
            <w:tcBorders>
              <w:left w:val="single" w:sz="8" w:color="auto"/>
              <w:right w:val="single" w:sz="8" w:color="auto"/>
            </w:tcBorders>
            <w:shd w:val="clear" w:color="auto" w:fill="CCEEFF"/>
          </w:tcPr>
          <w:p>
            <w:pPr>
              <w:spacing w:after="0"/>
              <w:rPr>
                <w:sz w:val="12"/>
                <w:szCs w:val="12"/>
                <w:color w:val="auto"/>
              </w:rPr>
            </w:pPr>
          </w:p>
        </w:tc>
        <w:tc>
          <w:tcPr>
            <w:tcW w:w="7420" w:type="dxa"/>
            <w:vAlign w:val="bottom"/>
            <w:tcBorders>
              <w:right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research, design, manufacture, selling, and distribution of office furniture systems, seating products, and other free-</w:t>
            </w:r>
          </w:p>
        </w:tc>
      </w:tr>
      <w:tr>
        <w:trPr>
          <w:trHeight w:val="155"/>
        </w:trPr>
        <w:tc>
          <w:tcPr>
            <w:tcW w:w="3000" w:type="dxa"/>
            <w:vAlign w:val="bottom"/>
            <w:tcBorders>
              <w:left w:val="single" w:sz="8" w:color="auto"/>
              <w:right w:val="single" w:sz="8" w:color="auto"/>
            </w:tcBorders>
            <w:shd w:val="clear" w:color="auto" w:fill="CCEEFF"/>
          </w:tcPr>
          <w:p>
            <w:pPr>
              <w:spacing w:after="0"/>
              <w:rPr>
                <w:sz w:val="13"/>
                <w:szCs w:val="13"/>
                <w:color w:val="auto"/>
              </w:rPr>
            </w:pPr>
          </w:p>
        </w:tc>
        <w:tc>
          <w:tcPr>
            <w:tcW w:w="7420" w:type="dxa"/>
            <w:vAlign w:val="bottom"/>
            <w:tcBorders>
              <w:right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standing furniture elements. Mr. Walker worked at Herman Miller, Inc. for 29 years in a variety of capacities, including</w:t>
            </w:r>
          </w:p>
        </w:tc>
      </w:tr>
      <w:tr>
        <w:trPr>
          <w:trHeight w:val="142"/>
        </w:trPr>
        <w:tc>
          <w:tcPr>
            <w:tcW w:w="3000" w:type="dxa"/>
            <w:vAlign w:val="bottom"/>
            <w:tcBorders>
              <w:left w:val="single" w:sz="8" w:color="auto"/>
              <w:right w:val="single" w:sz="8" w:color="auto"/>
            </w:tcBorders>
            <w:shd w:val="clear" w:color="auto" w:fill="CCEEFF"/>
          </w:tcPr>
          <w:p>
            <w:pPr>
              <w:spacing w:after="0"/>
              <w:rPr>
                <w:sz w:val="12"/>
                <w:szCs w:val="12"/>
                <w:color w:val="auto"/>
              </w:rPr>
            </w:pPr>
          </w:p>
        </w:tc>
        <w:tc>
          <w:tcPr>
            <w:tcW w:w="7420" w:type="dxa"/>
            <w:vAlign w:val="bottom"/>
            <w:tcBorders>
              <w:right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Chief Operating Officer, Chief Financial Officer, and Executive Vice President. Mr. Walker serves as a member of the</w:t>
            </w:r>
          </w:p>
        </w:tc>
      </w:tr>
      <w:tr>
        <w:trPr>
          <w:trHeight w:val="142"/>
        </w:trPr>
        <w:tc>
          <w:tcPr>
            <w:tcW w:w="3000" w:type="dxa"/>
            <w:vAlign w:val="bottom"/>
            <w:tcBorders>
              <w:left w:val="single" w:sz="8" w:color="auto"/>
              <w:right w:val="single" w:sz="8" w:color="auto"/>
            </w:tcBorders>
            <w:shd w:val="clear" w:color="auto" w:fill="CCEEFF"/>
          </w:tcPr>
          <w:p>
            <w:pPr>
              <w:spacing w:after="0"/>
              <w:rPr>
                <w:sz w:val="12"/>
                <w:szCs w:val="12"/>
                <w:color w:val="auto"/>
              </w:rPr>
            </w:pPr>
          </w:p>
        </w:tc>
        <w:tc>
          <w:tcPr>
            <w:tcW w:w="7420" w:type="dxa"/>
            <w:vAlign w:val="bottom"/>
            <w:tcBorders>
              <w:right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7"/>
              </w:rPr>
              <w:t>Board of Directors of Universal Forest Products, where he serves as Chair of the Audit Committee. Mr. Walker has served</w:t>
            </w:r>
          </w:p>
        </w:tc>
      </w:tr>
      <w:tr>
        <w:trPr>
          <w:trHeight w:val="155"/>
        </w:trPr>
        <w:tc>
          <w:tcPr>
            <w:tcW w:w="3000" w:type="dxa"/>
            <w:vAlign w:val="bottom"/>
            <w:tcBorders>
              <w:left w:val="single" w:sz="8" w:color="auto"/>
              <w:right w:val="single" w:sz="8" w:color="auto"/>
            </w:tcBorders>
            <w:shd w:val="clear" w:color="auto" w:fill="CCEEFF"/>
          </w:tcPr>
          <w:p>
            <w:pPr>
              <w:spacing w:after="0"/>
              <w:rPr>
                <w:sz w:val="13"/>
                <w:szCs w:val="13"/>
                <w:color w:val="auto"/>
              </w:rPr>
            </w:pPr>
          </w:p>
        </w:tc>
        <w:tc>
          <w:tcPr>
            <w:tcW w:w="7420" w:type="dxa"/>
            <w:vAlign w:val="bottom"/>
            <w:tcBorders>
              <w:right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as a board member for a number of public and private companies. The Company is pleased to have access to Mr.</w:t>
            </w:r>
          </w:p>
        </w:tc>
      </w:tr>
      <w:tr>
        <w:trPr>
          <w:trHeight w:val="142"/>
        </w:trPr>
        <w:tc>
          <w:tcPr>
            <w:tcW w:w="3000" w:type="dxa"/>
            <w:vAlign w:val="bottom"/>
            <w:tcBorders>
              <w:left w:val="single" w:sz="8" w:color="auto"/>
              <w:right w:val="single" w:sz="8" w:color="auto"/>
            </w:tcBorders>
            <w:shd w:val="clear" w:color="auto" w:fill="CCEEFF"/>
          </w:tcPr>
          <w:p>
            <w:pPr>
              <w:spacing w:after="0"/>
              <w:rPr>
                <w:sz w:val="12"/>
                <w:szCs w:val="12"/>
                <w:color w:val="auto"/>
              </w:rPr>
            </w:pPr>
          </w:p>
        </w:tc>
        <w:tc>
          <w:tcPr>
            <w:tcW w:w="7420" w:type="dxa"/>
            <w:vAlign w:val="bottom"/>
            <w:tcBorders>
              <w:right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Walker's executive experience and financial expertise in public company settings, along with his international business</w:t>
            </w:r>
          </w:p>
        </w:tc>
      </w:tr>
      <w:tr>
        <w:trPr>
          <w:trHeight w:val="155"/>
        </w:trPr>
        <w:tc>
          <w:tcPr>
            <w:tcW w:w="3000" w:type="dxa"/>
            <w:vAlign w:val="bottom"/>
            <w:tcBorders>
              <w:left w:val="single" w:sz="8" w:color="auto"/>
              <w:right w:val="single" w:sz="8" w:color="auto"/>
            </w:tcBorders>
            <w:shd w:val="clear" w:color="auto" w:fill="CCEEFF"/>
          </w:tcPr>
          <w:p>
            <w:pPr>
              <w:spacing w:after="0"/>
              <w:rPr>
                <w:sz w:val="13"/>
                <w:szCs w:val="13"/>
                <w:color w:val="auto"/>
              </w:rPr>
            </w:pPr>
          </w:p>
        </w:tc>
        <w:tc>
          <w:tcPr>
            <w:tcW w:w="7420" w:type="dxa"/>
            <w:vAlign w:val="bottom"/>
            <w:tcBorders>
              <w:right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98"/>
              </w:rPr>
              <w:t>experience, his experience on corporate boards and his keen understanding of challenges public companies face in West</w:t>
            </w:r>
          </w:p>
        </w:tc>
      </w:tr>
      <w:tr>
        <w:trPr>
          <w:trHeight w:val="142"/>
        </w:trPr>
        <w:tc>
          <w:tcPr>
            <w:tcW w:w="3000" w:type="dxa"/>
            <w:vAlign w:val="bottom"/>
            <w:tcBorders>
              <w:left w:val="single" w:sz="8" w:color="auto"/>
              <w:right w:val="single" w:sz="8" w:color="auto"/>
            </w:tcBorders>
            <w:shd w:val="clear" w:color="auto" w:fill="CCEEFF"/>
          </w:tcPr>
          <w:p>
            <w:pPr>
              <w:spacing w:after="0"/>
              <w:rPr>
                <w:sz w:val="12"/>
                <w:szCs w:val="12"/>
                <w:color w:val="auto"/>
              </w:rPr>
            </w:pPr>
          </w:p>
        </w:tc>
        <w:tc>
          <w:tcPr>
            <w:tcW w:w="7420" w:type="dxa"/>
            <w:vAlign w:val="bottom"/>
            <w:tcBorders>
              <w:right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9"/>
              </w:rPr>
              <w:t>Michigan. Mr. Walker is a Certified Public Accountant. He has been affirmatively identified as an independent director by</w:t>
            </w:r>
          </w:p>
        </w:tc>
      </w:tr>
      <w:tr>
        <w:trPr>
          <w:trHeight w:val="184"/>
        </w:trPr>
        <w:tc>
          <w:tcPr>
            <w:tcW w:w="300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74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the Board. Mr. Walker serves on the Audit, Compensation, and Executive Committees.</w:t>
            </w:r>
          </w:p>
        </w:tc>
      </w:tr>
      <w:tr>
        <w:trPr>
          <w:trHeight w:val="144"/>
        </w:trPr>
        <w:tc>
          <w:tcPr>
            <w:tcW w:w="3000" w:type="dxa"/>
            <w:vAlign w:val="bottom"/>
            <w:tcBorders>
              <w:left w:val="single" w:sz="8" w:color="auto"/>
              <w:right w:val="single" w:sz="8" w:color="auto"/>
            </w:tcBorders>
          </w:tcPr>
          <w:p>
            <w:pPr>
              <w:ind w:left="60"/>
              <w:spacing w:after="0" w:line="144" w:lineRule="exact"/>
              <w:rPr>
                <w:sz w:val="20"/>
                <w:szCs w:val="20"/>
                <w:color w:val="auto"/>
              </w:rPr>
            </w:pPr>
            <w:r>
              <w:rPr>
                <w:rFonts w:ascii="Arial" w:cs="Arial" w:eastAsia="Arial" w:hAnsi="Arial"/>
                <w:sz w:val="14"/>
                <w:szCs w:val="14"/>
                <w:color w:val="auto"/>
              </w:rPr>
              <w:t>Dr. Ling Zang (56)</w:t>
            </w:r>
          </w:p>
        </w:tc>
        <w:tc>
          <w:tcPr>
            <w:tcW w:w="7420" w:type="dxa"/>
            <w:vAlign w:val="bottom"/>
            <w:tcBorders>
              <w:right w:val="single" w:sz="8" w:color="auto"/>
            </w:tcBorders>
          </w:tcPr>
          <w:p>
            <w:pPr>
              <w:spacing w:after="0" w:line="144" w:lineRule="exact"/>
              <w:rPr>
                <w:sz w:val="20"/>
                <w:szCs w:val="20"/>
                <w:color w:val="auto"/>
              </w:rPr>
            </w:pPr>
            <w:r>
              <w:rPr>
                <w:rFonts w:ascii="Arial" w:cs="Arial" w:eastAsia="Arial" w:hAnsi="Arial"/>
                <w:sz w:val="14"/>
                <w:szCs w:val="14"/>
                <w:color w:val="auto"/>
                <w:w w:val="99"/>
              </w:rPr>
              <w:t>Dr. Zang is a professor at the University of Utah affiliated with the Department of Materials Science and Engineering. He</w:t>
            </w:r>
          </w:p>
        </w:tc>
      </w:tr>
      <w:tr>
        <w:trPr>
          <w:trHeight w:val="155"/>
        </w:trPr>
        <w:tc>
          <w:tcPr>
            <w:tcW w:w="3000" w:type="dxa"/>
            <w:vAlign w:val="bottom"/>
            <w:tcBorders>
              <w:left w:val="single" w:sz="8" w:color="auto"/>
              <w:right w:val="single" w:sz="8" w:color="auto"/>
            </w:tcBorders>
          </w:tcPr>
          <w:p>
            <w:pPr>
              <w:ind w:left="60"/>
              <w:spacing w:after="0" w:line="155" w:lineRule="exact"/>
              <w:rPr>
                <w:sz w:val="20"/>
                <w:szCs w:val="20"/>
                <w:color w:val="auto"/>
              </w:rPr>
            </w:pPr>
            <w:r>
              <w:rPr>
                <w:rFonts w:ascii="Arial" w:cs="Arial" w:eastAsia="Arial" w:hAnsi="Arial"/>
                <w:sz w:val="14"/>
                <w:szCs w:val="14"/>
                <w:color w:val="auto"/>
              </w:rPr>
              <w:t>Director since 2021</w:t>
            </w: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is also the Director of the Utah Center for Interfacial Sciences, Nano Institute of Utah. He is a Fellow of the National</w:t>
            </w:r>
          </w:p>
        </w:tc>
      </w:tr>
      <w:tr>
        <w:trPr>
          <w:trHeight w:val="142"/>
        </w:trPr>
        <w:tc>
          <w:tcPr>
            <w:tcW w:w="3000" w:type="dxa"/>
            <w:vAlign w:val="bottom"/>
            <w:tcBorders>
              <w:left w:val="single" w:sz="8" w:color="auto"/>
              <w:right w:val="single" w:sz="8" w:color="auto"/>
            </w:tcBorders>
          </w:tcPr>
          <w:p>
            <w:pPr>
              <w:spacing w:after="0"/>
              <w:rPr>
                <w:sz w:val="12"/>
                <w:szCs w:val="12"/>
                <w:color w:val="auto"/>
              </w:rPr>
            </w:pPr>
          </w:p>
        </w:tc>
        <w:tc>
          <w:tcPr>
            <w:tcW w:w="742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Academy of Inventors, and was previously an Alexander von Humboldt Fellow, NSF CAREER Award winner, and K. C.</w:t>
            </w:r>
          </w:p>
        </w:tc>
      </w:tr>
      <w:tr>
        <w:trPr>
          <w:trHeight w:val="155"/>
        </w:trPr>
        <w:tc>
          <w:tcPr>
            <w:tcW w:w="3000" w:type="dxa"/>
            <w:vAlign w:val="bottom"/>
            <w:tcBorders>
              <w:left w:val="single" w:sz="8" w:color="auto"/>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w w:val="97"/>
              </w:rPr>
              <w:t>Wong Foundation Research Fellow. Dr. Zang earned his B.S. in physical chemistry from Tsinghua University and Ph.D. in</w:t>
            </w:r>
          </w:p>
        </w:tc>
      </w:tr>
      <w:tr>
        <w:trPr>
          <w:trHeight w:val="142"/>
        </w:trPr>
        <w:tc>
          <w:tcPr>
            <w:tcW w:w="3000" w:type="dxa"/>
            <w:vAlign w:val="bottom"/>
            <w:tcBorders>
              <w:left w:val="single" w:sz="8" w:color="auto"/>
              <w:right w:val="single" w:sz="8" w:color="auto"/>
            </w:tcBorders>
          </w:tcPr>
          <w:p>
            <w:pPr>
              <w:spacing w:after="0"/>
              <w:rPr>
                <w:sz w:val="12"/>
                <w:szCs w:val="12"/>
                <w:color w:val="auto"/>
              </w:rPr>
            </w:pPr>
          </w:p>
        </w:tc>
        <w:tc>
          <w:tcPr>
            <w:tcW w:w="742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chemistry from the Chinese Academy of Sciences. Dr. Zang’s research focuses on nanoscale imaging and molecular</w:t>
            </w:r>
          </w:p>
        </w:tc>
      </w:tr>
      <w:tr>
        <w:trPr>
          <w:trHeight w:val="142"/>
        </w:trPr>
        <w:tc>
          <w:tcPr>
            <w:tcW w:w="3000" w:type="dxa"/>
            <w:vAlign w:val="bottom"/>
            <w:tcBorders>
              <w:left w:val="single" w:sz="8" w:color="auto"/>
              <w:right w:val="single" w:sz="8" w:color="auto"/>
            </w:tcBorders>
          </w:tcPr>
          <w:p>
            <w:pPr>
              <w:spacing w:after="0"/>
              <w:rPr>
                <w:sz w:val="12"/>
                <w:szCs w:val="12"/>
                <w:color w:val="auto"/>
              </w:rPr>
            </w:pPr>
          </w:p>
        </w:tc>
        <w:tc>
          <w:tcPr>
            <w:tcW w:w="742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probing, organic semiconductors and nanostructures, optoelectronic sensors and nanodevices, and photocatalysis and</w:t>
            </w:r>
          </w:p>
        </w:tc>
      </w:tr>
      <w:tr>
        <w:trPr>
          <w:trHeight w:val="155"/>
        </w:trPr>
        <w:tc>
          <w:tcPr>
            <w:tcW w:w="3000" w:type="dxa"/>
            <w:vAlign w:val="bottom"/>
            <w:tcBorders>
              <w:left w:val="single" w:sz="8" w:color="auto"/>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photovoltaics for conversion of solar energy, with the goal to achieve practical applications in the areas of public safety,</w:t>
            </w:r>
          </w:p>
        </w:tc>
      </w:tr>
      <w:tr>
        <w:trPr>
          <w:trHeight w:val="142"/>
        </w:trPr>
        <w:tc>
          <w:tcPr>
            <w:tcW w:w="3000" w:type="dxa"/>
            <w:vAlign w:val="bottom"/>
            <w:tcBorders>
              <w:left w:val="single" w:sz="8" w:color="auto"/>
              <w:right w:val="single" w:sz="8" w:color="auto"/>
            </w:tcBorders>
          </w:tcPr>
          <w:p>
            <w:pPr>
              <w:spacing w:after="0"/>
              <w:rPr>
                <w:sz w:val="12"/>
                <w:szCs w:val="12"/>
                <w:color w:val="auto"/>
              </w:rPr>
            </w:pPr>
          </w:p>
        </w:tc>
        <w:tc>
          <w:tcPr>
            <w:tcW w:w="742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w w:val="97"/>
              </w:rPr>
              <w:t>renewable energy and environmental protection. Dr. Zang has been awarded with various federal grants (from NSF, DHS,</w:t>
            </w:r>
          </w:p>
        </w:tc>
      </w:tr>
      <w:tr>
        <w:trPr>
          <w:trHeight w:val="155"/>
        </w:trPr>
        <w:tc>
          <w:tcPr>
            <w:tcW w:w="3000" w:type="dxa"/>
            <w:vAlign w:val="bottom"/>
            <w:tcBorders>
              <w:left w:val="single" w:sz="8" w:color="auto"/>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DOE/ARPA-E, NASA, etc.) to support his broad range of research in nanoscience and nanotechnology. More than 25</w:t>
            </w:r>
          </w:p>
        </w:tc>
      </w:tr>
      <w:tr>
        <w:trPr>
          <w:trHeight w:val="142"/>
        </w:trPr>
        <w:tc>
          <w:tcPr>
            <w:tcW w:w="3000" w:type="dxa"/>
            <w:vAlign w:val="bottom"/>
            <w:tcBorders>
              <w:left w:val="single" w:sz="8" w:color="auto"/>
              <w:right w:val="single" w:sz="8" w:color="auto"/>
            </w:tcBorders>
          </w:tcPr>
          <w:p>
            <w:pPr>
              <w:spacing w:after="0"/>
              <w:rPr>
                <w:sz w:val="12"/>
                <w:szCs w:val="12"/>
                <w:color w:val="auto"/>
              </w:rPr>
            </w:pPr>
          </w:p>
        </w:tc>
        <w:tc>
          <w:tcPr>
            <w:tcW w:w="742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patent applications have been filed from Dr. Zang’s lab. Dr. Zang also founded Metallosensors, Inc. and Vaporsens</w:t>
            </w:r>
          </w:p>
        </w:tc>
      </w:tr>
      <w:tr>
        <w:trPr>
          <w:trHeight w:val="142"/>
        </w:trPr>
        <w:tc>
          <w:tcPr>
            <w:tcW w:w="3000" w:type="dxa"/>
            <w:vAlign w:val="bottom"/>
            <w:tcBorders>
              <w:left w:val="single" w:sz="8" w:color="auto"/>
              <w:right w:val="single" w:sz="8" w:color="auto"/>
            </w:tcBorders>
          </w:tcPr>
          <w:p>
            <w:pPr>
              <w:spacing w:after="0"/>
              <w:rPr>
                <w:sz w:val="12"/>
                <w:szCs w:val="12"/>
                <w:color w:val="auto"/>
              </w:rPr>
            </w:pPr>
          </w:p>
        </w:tc>
        <w:tc>
          <w:tcPr>
            <w:tcW w:w="742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(though his consulting relationship with Vaporsens terminated prior to the Company's acquisition of it). Dr. Zang’s</w:t>
            </w:r>
          </w:p>
        </w:tc>
      </w:tr>
      <w:tr>
        <w:trPr>
          <w:trHeight w:val="155"/>
        </w:trPr>
        <w:tc>
          <w:tcPr>
            <w:tcW w:w="3000" w:type="dxa"/>
            <w:vAlign w:val="bottom"/>
            <w:tcBorders>
              <w:left w:val="single" w:sz="8" w:color="auto"/>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rPr>
              <w:t>background, education, and research complement the Company’s vision and focus on continuing to be a technology</w:t>
            </w:r>
          </w:p>
        </w:tc>
      </w:tr>
      <w:tr>
        <w:trPr>
          <w:trHeight w:val="142"/>
        </w:trPr>
        <w:tc>
          <w:tcPr>
            <w:tcW w:w="3000" w:type="dxa"/>
            <w:vAlign w:val="bottom"/>
            <w:tcBorders>
              <w:left w:val="single" w:sz="8" w:color="auto"/>
              <w:right w:val="single" w:sz="8" w:color="auto"/>
            </w:tcBorders>
          </w:tcPr>
          <w:p>
            <w:pPr>
              <w:spacing w:after="0"/>
              <w:rPr>
                <w:sz w:val="12"/>
                <w:szCs w:val="12"/>
                <w:color w:val="auto"/>
              </w:rPr>
            </w:pPr>
          </w:p>
        </w:tc>
        <w:tc>
          <w:tcPr>
            <w:tcW w:w="742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company. Dr. Zang’s experience in academia as well as his vast understanding of how to bring technology from a</w:t>
            </w:r>
          </w:p>
        </w:tc>
      </w:tr>
      <w:tr>
        <w:trPr>
          <w:trHeight w:val="155"/>
        </w:trPr>
        <w:tc>
          <w:tcPr>
            <w:tcW w:w="3000" w:type="dxa"/>
            <w:vAlign w:val="bottom"/>
            <w:tcBorders>
              <w:left w:val="single" w:sz="8" w:color="auto"/>
              <w:right w:val="single" w:sz="8" w:color="auto"/>
            </w:tcBorders>
          </w:tcPr>
          <w:p>
            <w:pPr>
              <w:spacing w:after="0"/>
              <w:rPr>
                <w:sz w:val="13"/>
                <w:szCs w:val="13"/>
                <w:color w:val="auto"/>
              </w:rPr>
            </w:pPr>
          </w:p>
        </w:tc>
        <w:tc>
          <w:tcPr>
            <w:tcW w:w="7420" w:type="dxa"/>
            <w:vAlign w:val="bottom"/>
            <w:tcBorders>
              <w:right w:val="single" w:sz="8" w:color="auto"/>
            </w:tcBorders>
          </w:tcPr>
          <w:p>
            <w:pPr>
              <w:spacing w:after="0" w:line="155" w:lineRule="exact"/>
              <w:rPr>
                <w:sz w:val="20"/>
                <w:szCs w:val="20"/>
                <w:color w:val="auto"/>
              </w:rPr>
            </w:pPr>
            <w:r>
              <w:rPr>
                <w:rFonts w:ascii="Arial" w:cs="Arial" w:eastAsia="Arial" w:hAnsi="Arial"/>
                <w:sz w:val="14"/>
                <w:szCs w:val="14"/>
                <w:color w:val="auto"/>
                <w:w w:val="98"/>
              </w:rPr>
              <w:t>laboratory environment into commercialization are serving the Board well. Dr. Zang has been affirmatively identified as an</w:t>
            </w:r>
          </w:p>
        </w:tc>
      </w:tr>
      <w:tr>
        <w:trPr>
          <w:trHeight w:val="184"/>
        </w:trPr>
        <w:tc>
          <w:tcPr>
            <w:tcW w:w="3000" w:type="dxa"/>
            <w:vAlign w:val="bottom"/>
            <w:tcBorders>
              <w:left w:val="single" w:sz="8" w:color="auto"/>
              <w:bottom w:val="single" w:sz="8" w:color="auto"/>
              <w:right w:val="single" w:sz="8" w:color="auto"/>
            </w:tcBorders>
          </w:tcPr>
          <w:p>
            <w:pPr>
              <w:spacing w:after="0"/>
              <w:rPr>
                <w:sz w:val="16"/>
                <w:szCs w:val="16"/>
                <w:color w:val="auto"/>
              </w:rPr>
            </w:pPr>
          </w:p>
        </w:tc>
        <w:tc>
          <w:tcPr>
            <w:tcW w:w="7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independent director by the Board. Dr. Zang serves on the Nominating and Corporate Governance Committee.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420"/>
          </w:cols>
          <w:pgMar w:left="940" w:top="763" w:right="5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auto"/>
        </w:rPr>
        <w:t>COMMON STOCK OWNERSHIP OF MANAGEMENT</w:t>
      </w:r>
    </w:p>
    <w:p>
      <w:pPr>
        <w:spacing w:after="0" w:line="244" w:lineRule="exact"/>
        <w:rPr>
          <w:sz w:val="20"/>
          <w:szCs w:val="20"/>
          <w:color w:val="auto"/>
        </w:rPr>
      </w:pPr>
    </w:p>
    <w:p>
      <w:pPr>
        <w:jc w:val="both"/>
        <w:ind w:right="20" w:firstLine="618"/>
        <w:spacing w:after="0" w:line="262" w:lineRule="auto"/>
        <w:rPr>
          <w:sz w:val="20"/>
          <w:szCs w:val="20"/>
          <w:color w:val="auto"/>
        </w:rPr>
      </w:pPr>
      <w:r>
        <w:rPr>
          <w:rFonts w:ascii="Arial" w:cs="Arial" w:eastAsia="Arial" w:hAnsi="Arial"/>
          <w:sz w:val="17"/>
          <w:szCs w:val="17"/>
          <w:color w:val="auto"/>
        </w:rPr>
        <w:t>The following table contains information with respect to ownership of the Company’s common stock by all directors, nominees for election as directors, executive officers named in the tables under the caption "</w:t>
      </w:r>
      <w:r>
        <w:rPr>
          <w:rFonts w:ascii="Arial" w:cs="Arial" w:eastAsia="Arial" w:hAnsi="Arial"/>
          <w:sz w:val="17"/>
          <w:szCs w:val="17"/>
          <w:u w:val="single" w:color="auto"/>
          <w:color w:val="auto"/>
        </w:rPr>
        <w:t>EXECUTIVE COMPENSATION</w:t>
      </w:r>
      <w:r>
        <w:rPr>
          <w:rFonts w:ascii="Arial" w:cs="Arial" w:eastAsia="Arial" w:hAnsi="Arial"/>
          <w:sz w:val="17"/>
          <w:szCs w:val="17"/>
          <w:color w:val="auto"/>
        </w:rPr>
        <w:t>," current named executive officers, and all directors and such executive officers as a group. The content of this table is based upon information supplied by the Company’s named executive officers, directors and nominees for election as directors, and represents the Company’s understanding of circumstances in existence as of March 1, 2025.</w:t>
      </w:r>
    </w:p>
    <w:tbl>
      <w:tblPr>
        <w:tblLayout w:type="fixed"/>
        <w:tblInd w:w="10" w:type="dxa"/>
        <w:tblCellMar>
          <w:top w:w="0" w:type="dxa"/>
          <w:left w:w="0" w:type="dxa"/>
          <w:bottom w:w="0" w:type="dxa"/>
          <w:right w:w="0" w:type="dxa"/>
        </w:tblCellMar>
      </w:tblPr>
      <w:tr>
        <w:trPr>
          <w:trHeight w:val="294"/>
        </w:trPr>
        <w:tc>
          <w:tcPr>
            <w:tcW w:w="7360" w:type="dxa"/>
            <w:vAlign w:val="bottom"/>
            <w:tcBorders>
              <w:top w:val="single" w:sz="8" w:color="auto"/>
              <w:left w:val="single" w:sz="8" w:color="auto"/>
              <w:right w:val="single" w:sz="8" w:color="auto"/>
            </w:tcBorders>
          </w:tcPr>
          <w:p>
            <w:pPr>
              <w:spacing w:after="0"/>
              <w:rPr>
                <w:sz w:val="24"/>
                <w:szCs w:val="24"/>
                <w:color w:val="auto"/>
              </w:rPr>
            </w:pPr>
          </w:p>
        </w:tc>
        <w:tc>
          <w:tcPr>
            <w:tcW w:w="3000" w:type="dxa"/>
            <w:vAlign w:val="bottom"/>
            <w:tcBorders>
              <w:top w:val="single" w:sz="8" w:color="auto"/>
              <w:bottom w:val="single" w:sz="8" w:color="auto"/>
              <w:right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Amount and Nature of Ownership</w:t>
            </w:r>
          </w:p>
        </w:tc>
        <w:tc>
          <w:tcPr>
            <w:tcW w:w="9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3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420" w:type="dxa"/>
            <w:vAlign w:val="bottom"/>
            <w:tcBorders>
              <w:right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Shares Beneficially</w:t>
            </w:r>
          </w:p>
        </w:tc>
        <w:tc>
          <w:tcPr>
            <w:tcW w:w="1580" w:type="dxa"/>
            <w:vAlign w:val="bottom"/>
            <w:tcBorders>
              <w:right w:val="single" w:sz="8" w:color="auto"/>
            </w:tcBorders>
            <w:vMerge w:val="restart"/>
          </w:tcPr>
          <w:p>
            <w:pPr>
              <w:jc w:val="right"/>
              <w:ind w:right="3"/>
              <w:spacing w:after="0"/>
              <w:rPr>
                <w:sz w:val="20"/>
                <w:szCs w:val="20"/>
                <w:color w:val="auto"/>
              </w:rPr>
            </w:pPr>
            <w:r>
              <w:rPr>
                <w:rFonts w:ascii="Arial" w:cs="Arial" w:eastAsia="Arial" w:hAnsi="Arial"/>
                <w:sz w:val="14"/>
                <w:szCs w:val="14"/>
                <w:b w:val="1"/>
                <w:bCs w:val="1"/>
                <w:color w:val="auto"/>
                <w:w w:val="97"/>
              </w:rPr>
              <w:t xml:space="preserve">Exercisable Options </w:t>
            </w:r>
            <w:r>
              <w:rPr>
                <w:rFonts w:ascii="Arial" w:cs="Arial" w:eastAsia="Arial" w:hAnsi="Arial"/>
                <w:sz w:val="17"/>
                <w:szCs w:val="17"/>
                <w:b w:val="1"/>
                <w:bCs w:val="1"/>
                <w:color w:val="auto"/>
                <w:w w:val="97"/>
                <w:vertAlign w:val="superscript"/>
              </w:rPr>
              <w:t>(2)</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Percent of</w:t>
            </w:r>
          </w:p>
        </w:tc>
        <w:tc>
          <w:tcPr>
            <w:tcW w:w="0" w:type="dxa"/>
            <w:vAlign w:val="bottom"/>
          </w:tcPr>
          <w:p>
            <w:pPr>
              <w:spacing w:after="0"/>
              <w:rPr>
                <w:sz w:val="1"/>
                <w:szCs w:val="1"/>
                <w:color w:val="auto"/>
              </w:rPr>
            </w:pPr>
          </w:p>
        </w:tc>
      </w:tr>
      <w:tr>
        <w:trPr>
          <w:trHeight w:val="180"/>
        </w:trPr>
        <w:tc>
          <w:tcPr>
            <w:tcW w:w="736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420" w:type="dxa"/>
            <w:vAlign w:val="bottom"/>
            <w:tcBorders>
              <w:bottom w:val="single" w:sz="8" w:color="auto"/>
              <w:right w:val="single" w:sz="8" w:color="auto"/>
            </w:tcBorders>
          </w:tcPr>
          <w:p>
            <w:pPr>
              <w:ind w:left="380"/>
              <w:spacing w:after="0" w:line="180" w:lineRule="exact"/>
              <w:rPr>
                <w:sz w:val="20"/>
                <w:szCs w:val="20"/>
                <w:color w:val="auto"/>
              </w:rPr>
            </w:pPr>
            <w:r>
              <w:rPr>
                <w:rFonts w:ascii="Arial" w:cs="Arial" w:eastAsia="Arial" w:hAnsi="Arial"/>
                <w:sz w:val="14"/>
                <w:szCs w:val="14"/>
                <w:b w:val="1"/>
                <w:bCs w:val="1"/>
                <w:color w:val="auto"/>
              </w:rPr>
              <w:t xml:space="preserve">Owned </w:t>
            </w:r>
            <w:r>
              <w:rPr>
                <w:rFonts w:ascii="Arial" w:cs="Arial" w:eastAsia="Arial" w:hAnsi="Arial"/>
                <w:sz w:val="17"/>
                <w:szCs w:val="17"/>
                <w:b w:val="1"/>
                <w:bCs w:val="1"/>
                <w:color w:val="auto"/>
                <w:vertAlign w:val="superscript"/>
              </w:rPr>
              <w:t>(1)</w:t>
            </w:r>
          </w:p>
        </w:tc>
        <w:tc>
          <w:tcPr>
            <w:tcW w:w="1580" w:type="dxa"/>
            <w:vAlign w:val="bottom"/>
            <w:tcBorders>
              <w:bottom w:val="single" w:sz="8" w:color="auto"/>
              <w:right w:val="single" w:sz="8" w:color="auto"/>
            </w:tcBorders>
            <w:vMerge w:val="continue"/>
          </w:tcPr>
          <w:p>
            <w:pPr>
              <w:spacing w:after="0"/>
              <w:rPr>
                <w:sz w:val="15"/>
                <w:szCs w:val="15"/>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Class</w:t>
            </w:r>
          </w:p>
        </w:tc>
        <w:tc>
          <w:tcPr>
            <w:tcW w:w="0" w:type="dxa"/>
            <w:vAlign w:val="bottom"/>
          </w:tcPr>
          <w:p>
            <w:pPr>
              <w:spacing w:after="0"/>
              <w:rPr>
                <w:sz w:val="1"/>
                <w:szCs w:val="1"/>
                <w:color w:val="auto"/>
              </w:rPr>
            </w:pPr>
          </w:p>
        </w:tc>
      </w:tr>
      <w:tr>
        <w:trPr>
          <w:trHeight w:val="198"/>
        </w:trPr>
        <w:tc>
          <w:tcPr>
            <w:tcW w:w="73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Joseph Anderson</w:t>
            </w:r>
          </w:p>
        </w:tc>
        <w:tc>
          <w:tcPr>
            <w:tcW w:w="1420" w:type="dxa"/>
            <w:vAlign w:val="bottom"/>
            <w:tcBorders>
              <w:bottom w:val="single" w:sz="8" w:color="auto"/>
              <w:right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3,764</w:t>
            </w:r>
          </w:p>
        </w:tc>
        <w:tc>
          <w:tcPr>
            <w:tcW w:w="1580" w:type="dxa"/>
            <w:vAlign w:val="bottom"/>
            <w:tcBorders>
              <w:bottom w:val="single" w:sz="8" w:color="auto"/>
              <w:right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Neil Boehm</w:t>
            </w:r>
          </w:p>
        </w:tc>
        <w:tc>
          <w:tcPr>
            <w:tcW w:w="142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70,595</w:t>
            </w:r>
          </w:p>
        </w:tc>
        <w:tc>
          <w:tcPr>
            <w:tcW w:w="158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15,000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3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Leslie Brown</w:t>
            </w:r>
          </w:p>
        </w:tc>
        <w:tc>
          <w:tcPr>
            <w:tcW w:w="1420" w:type="dxa"/>
            <w:vAlign w:val="bottom"/>
            <w:tcBorders>
              <w:bottom w:val="single" w:sz="8" w:color="auto"/>
              <w:right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48,205</w:t>
            </w:r>
          </w:p>
        </w:tc>
        <w:tc>
          <w:tcPr>
            <w:tcW w:w="1580" w:type="dxa"/>
            <w:vAlign w:val="bottom"/>
            <w:tcBorders>
              <w:bottom w:val="single" w:sz="8" w:color="auto"/>
              <w:right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21,000</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Matthew Chiodo</w:t>
            </w:r>
          </w:p>
        </w:tc>
        <w:tc>
          <w:tcPr>
            <w:tcW w:w="142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71,342</w:t>
            </w:r>
          </w:p>
        </w:tc>
        <w:tc>
          <w:tcPr>
            <w:tcW w:w="158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30,000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3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Garth Deur</w:t>
            </w:r>
          </w:p>
        </w:tc>
        <w:tc>
          <w:tcPr>
            <w:tcW w:w="1420" w:type="dxa"/>
            <w:vAlign w:val="bottom"/>
            <w:tcBorders>
              <w:bottom w:val="single" w:sz="8" w:color="auto"/>
              <w:right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8,480</w:t>
            </w:r>
          </w:p>
        </w:tc>
        <w:tc>
          <w:tcPr>
            <w:tcW w:w="1580" w:type="dxa"/>
            <w:vAlign w:val="bottom"/>
            <w:tcBorders>
              <w:bottom w:val="single" w:sz="8" w:color="auto"/>
              <w:right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Steve Downing</w:t>
            </w:r>
          </w:p>
        </w:tc>
        <w:tc>
          <w:tcPr>
            <w:tcW w:w="142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290,623</w:t>
            </w:r>
          </w:p>
        </w:tc>
        <w:tc>
          <w:tcPr>
            <w:tcW w:w="158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101,000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3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Kevin Nash</w:t>
            </w:r>
          </w:p>
        </w:tc>
        <w:tc>
          <w:tcPr>
            <w:tcW w:w="1420" w:type="dxa"/>
            <w:vAlign w:val="bottom"/>
            <w:tcBorders>
              <w:bottom w:val="single" w:sz="8" w:color="auto"/>
              <w:right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67,601</w:t>
            </w:r>
          </w:p>
        </w:tc>
        <w:tc>
          <w:tcPr>
            <w:tcW w:w="1580" w:type="dxa"/>
            <w:vAlign w:val="bottom"/>
            <w:tcBorders>
              <w:bottom w:val="single" w:sz="8" w:color="auto"/>
              <w:right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13,500</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Dr. Billy Pink</w:t>
            </w:r>
          </w:p>
        </w:tc>
        <w:tc>
          <w:tcPr>
            <w:tcW w:w="142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3,764</w:t>
            </w:r>
          </w:p>
        </w:tc>
        <w:tc>
          <w:tcPr>
            <w:tcW w:w="158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3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Scott Ryan</w:t>
            </w:r>
          </w:p>
        </w:tc>
        <w:tc>
          <w:tcPr>
            <w:tcW w:w="1420" w:type="dxa"/>
            <w:vAlign w:val="bottom"/>
            <w:tcBorders>
              <w:bottom w:val="single" w:sz="8" w:color="auto"/>
              <w:right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53,352</w:t>
            </w:r>
          </w:p>
        </w:tc>
        <w:tc>
          <w:tcPr>
            <w:tcW w:w="1580" w:type="dxa"/>
            <w:vAlign w:val="bottom"/>
            <w:tcBorders>
              <w:bottom w:val="single" w:sz="8" w:color="auto"/>
              <w:right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12,500</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Richard Schaum</w:t>
            </w:r>
          </w:p>
        </w:tc>
        <w:tc>
          <w:tcPr>
            <w:tcW w:w="142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94,319</w:t>
            </w:r>
          </w:p>
        </w:tc>
        <w:tc>
          <w:tcPr>
            <w:tcW w:w="158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28,000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3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Kathleen Starkoff</w:t>
            </w:r>
          </w:p>
        </w:tc>
        <w:tc>
          <w:tcPr>
            <w:tcW w:w="1420" w:type="dxa"/>
            <w:vAlign w:val="bottom"/>
            <w:tcBorders>
              <w:bottom w:val="single" w:sz="8" w:color="auto"/>
              <w:right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25,205</w:t>
            </w:r>
          </w:p>
        </w:tc>
        <w:tc>
          <w:tcPr>
            <w:tcW w:w="1580" w:type="dxa"/>
            <w:vAlign w:val="bottom"/>
            <w:tcBorders>
              <w:bottom w:val="single" w:sz="8" w:color="auto"/>
              <w:right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Brian Walker</w:t>
            </w:r>
          </w:p>
        </w:tc>
        <w:tc>
          <w:tcPr>
            <w:tcW w:w="142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27,715</w:t>
            </w:r>
          </w:p>
        </w:tc>
        <w:tc>
          <w:tcPr>
            <w:tcW w:w="158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3,510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3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Dr. Ling Zang</w:t>
            </w:r>
          </w:p>
        </w:tc>
        <w:tc>
          <w:tcPr>
            <w:tcW w:w="1420" w:type="dxa"/>
            <w:vAlign w:val="bottom"/>
            <w:tcBorders>
              <w:bottom w:val="single" w:sz="8" w:color="auto"/>
              <w:right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24,034</w:t>
            </w:r>
          </w:p>
        </w:tc>
        <w:tc>
          <w:tcPr>
            <w:tcW w:w="1580" w:type="dxa"/>
            <w:vAlign w:val="bottom"/>
            <w:tcBorders>
              <w:bottom w:val="single" w:sz="8" w:color="auto"/>
              <w:right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0</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All directors and executive officers as a group (13 Persons)</w:t>
            </w:r>
          </w:p>
        </w:tc>
        <w:tc>
          <w:tcPr>
            <w:tcW w:w="142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5"/>
                <w:szCs w:val="15"/>
                <w:color w:val="auto"/>
              </w:rPr>
              <w:t>788,999</w:t>
            </w:r>
          </w:p>
        </w:tc>
        <w:tc>
          <w:tcPr>
            <w:tcW w:w="1580" w:type="dxa"/>
            <w:vAlign w:val="bottom"/>
            <w:tcBorders>
              <w:bottom w:val="single" w:sz="8" w:color="auto"/>
              <w:right w:val="single" w:sz="8" w:color="auto"/>
            </w:tcBorders>
          </w:tcPr>
          <w:p>
            <w:pPr>
              <w:jc w:val="right"/>
              <w:ind w:right="23"/>
              <w:spacing w:after="0"/>
              <w:rPr>
                <w:sz w:val="20"/>
                <w:szCs w:val="20"/>
                <w:color w:val="auto"/>
              </w:rPr>
            </w:pPr>
            <w:r>
              <w:rPr>
                <w:rFonts w:ascii="Arial" w:cs="Arial" w:eastAsia="Arial" w:hAnsi="Arial"/>
                <w:sz w:val="15"/>
                <w:szCs w:val="15"/>
                <w:color w:val="auto"/>
              </w:rPr>
              <w:t>224,510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-1953895</wp:posOffset>
            </wp:positionV>
            <wp:extent cx="247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5546090</wp:posOffset>
            </wp:positionH>
            <wp:positionV relativeFrom="paragraph">
              <wp:posOffset>-1953895</wp:posOffset>
            </wp:positionV>
            <wp:extent cx="247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line="285" w:lineRule="exact"/>
        <w:rPr>
          <w:sz w:val="20"/>
          <w:szCs w:val="20"/>
          <w:color w:val="auto"/>
        </w:rPr>
      </w:pPr>
    </w:p>
    <w:p>
      <w:pPr>
        <w:ind w:left="120" w:hanging="117"/>
        <w:spacing w:after="0"/>
        <w:tabs>
          <w:tab w:leader="none" w:pos="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Less than one percent.</w:t>
      </w:r>
    </w:p>
    <w:p>
      <w:pPr>
        <w:spacing w:after="0" w:line="242" w:lineRule="exact"/>
        <w:rPr>
          <w:rFonts w:ascii="Arial" w:cs="Arial" w:eastAsia="Arial" w:hAnsi="Arial"/>
          <w:sz w:val="17"/>
          <w:szCs w:val="17"/>
          <w:color w:val="auto"/>
        </w:rPr>
      </w:pPr>
    </w:p>
    <w:p>
      <w:pPr>
        <w:ind w:left="940" w:right="20" w:hanging="628"/>
        <w:spacing w:after="0" w:line="262" w:lineRule="auto"/>
        <w:tabs>
          <w:tab w:leader="none" w:pos="931" w:val="left"/>
        </w:tabs>
        <w:numPr>
          <w:ilvl w:val="1"/>
          <w:numId w:val="12"/>
        </w:numPr>
        <w:rPr>
          <w:rFonts w:ascii="Arial" w:cs="Arial" w:eastAsia="Arial" w:hAnsi="Arial"/>
          <w:sz w:val="17"/>
          <w:szCs w:val="17"/>
          <w:color w:val="auto"/>
        </w:rPr>
      </w:pPr>
      <w:r>
        <w:rPr>
          <w:rFonts w:ascii="Arial" w:cs="Arial" w:eastAsia="Arial" w:hAnsi="Arial"/>
          <w:sz w:val="17"/>
          <w:szCs w:val="17"/>
          <w:color w:val="auto"/>
        </w:rPr>
        <w:t>Except as otherwise indicated by footnote, each named person claims sole voting and investment power with respect to the shares indicated.</w:t>
      </w:r>
    </w:p>
    <w:p>
      <w:pPr>
        <w:spacing w:after="0" w:line="1" w:lineRule="exact"/>
        <w:rPr>
          <w:rFonts w:ascii="Arial" w:cs="Arial" w:eastAsia="Arial" w:hAnsi="Arial"/>
          <w:sz w:val="17"/>
          <w:szCs w:val="17"/>
          <w:color w:val="auto"/>
        </w:rPr>
      </w:pPr>
    </w:p>
    <w:p>
      <w:pPr>
        <w:ind w:left="940" w:right="20" w:hanging="628"/>
        <w:spacing w:after="0" w:line="270" w:lineRule="auto"/>
        <w:tabs>
          <w:tab w:leader="none" w:pos="931"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This column reflects shares subject to options exercisable within 60 days, and these shares are also included in the column captioned "Shares Beneficially Owned."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COMMON STOCK OWNERSHIP OF CERTAIN BENEFICIAL OWNERS</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580" w:type="dxa"/>
            <w:vAlign w:val="bottom"/>
          </w:tcPr>
          <w:p>
            <w:pPr>
              <w:spacing w:after="0"/>
              <w:rPr>
                <w:sz w:val="17"/>
                <w:szCs w:val="17"/>
                <w:color w:val="auto"/>
              </w:rPr>
            </w:pPr>
          </w:p>
        </w:tc>
        <w:tc>
          <w:tcPr>
            <w:tcW w:w="10680" w:type="dxa"/>
            <w:vAlign w:val="bottom"/>
            <w:gridSpan w:val="16"/>
          </w:tcPr>
          <w:p>
            <w:pPr>
              <w:jc w:val="right"/>
              <w:spacing w:after="0"/>
              <w:rPr>
                <w:sz w:val="20"/>
                <w:szCs w:val="20"/>
                <w:color w:val="auto"/>
              </w:rPr>
            </w:pPr>
            <w:r>
              <w:rPr>
                <w:rFonts w:ascii="Arial" w:cs="Arial" w:eastAsia="Arial" w:hAnsi="Arial"/>
                <w:sz w:val="17"/>
                <w:szCs w:val="17"/>
                <w:color w:val="auto"/>
              </w:rPr>
              <w:t>The following table contains information with respect to ownership of the Company’s common stock by persons or entities that are beneficial</w:t>
            </w:r>
          </w:p>
        </w:tc>
        <w:tc>
          <w:tcPr>
            <w:tcW w:w="0" w:type="dxa"/>
            <w:vAlign w:val="bottom"/>
          </w:tcPr>
          <w:p>
            <w:pPr>
              <w:spacing w:after="0"/>
              <w:rPr>
                <w:sz w:val="1"/>
                <w:szCs w:val="1"/>
                <w:color w:val="auto"/>
              </w:rPr>
            </w:pPr>
          </w:p>
        </w:tc>
      </w:tr>
      <w:tr>
        <w:trPr>
          <w:trHeight w:val="225"/>
        </w:trPr>
        <w:tc>
          <w:tcPr>
            <w:tcW w:w="580" w:type="dxa"/>
            <w:vAlign w:val="bottom"/>
          </w:tcPr>
          <w:p>
            <w:pPr>
              <w:spacing w:after="0"/>
              <w:rPr>
                <w:sz w:val="20"/>
                <w:szCs w:val="20"/>
                <w:color w:val="auto"/>
              </w:rPr>
            </w:pPr>
            <w:r>
              <w:rPr>
                <w:rFonts w:ascii="Arial" w:cs="Arial" w:eastAsia="Arial" w:hAnsi="Arial"/>
                <w:sz w:val="17"/>
                <w:szCs w:val="17"/>
                <w:color w:val="auto"/>
              </w:rPr>
              <w:t>owners</w:t>
            </w:r>
          </w:p>
        </w:tc>
        <w:tc>
          <w:tcPr>
            <w:tcW w:w="760" w:type="dxa"/>
            <w:vAlign w:val="bottom"/>
          </w:tcPr>
          <w:p>
            <w:pPr>
              <w:ind w:left="300"/>
              <w:spacing w:after="0"/>
              <w:rPr>
                <w:sz w:val="20"/>
                <w:szCs w:val="20"/>
                <w:color w:val="auto"/>
              </w:rPr>
            </w:pPr>
            <w:r>
              <w:rPr>
                <w:rFonts w:ascii="Arial" w:cs="Arial" w:eastAsia="Arial" w:hAnsi="Arial"/>
                <w:sz w:val="17"/>
                <w:szCs w:val="17"/>
                <w:color w:val="auto"/>
              </w:rPr>
              <w:t>of</w:t>
            </w:r>
          </w:p>
        </w:tc>
        <w:tc>
          <w:tcPr>
            <w:tcW w:w="540" w:type="dxa"/>
            <w:vAlign w:val="bottom"/>
          </w:tcPr>
          <w:p>
            <w:pPr>
              <w:spacing w:after="0"/>
              <w:rPr>
                <w:sz w:val="20"/>
                <w:szCs w:val="20"/>
                <w:color w:val="auto"/>
              </w:rPr>
            </w:pPr>
            <w:r>
              <w:rPr>
                <w:rFonts w:ascii="Arial" w:cs="Arial" w:eastAsia="Arial" w:hAnsi="Arial"/>
                <w:sz w:val="17"/>
                <w:szCs w:val="17"/>
                <w:color w:val="auto"/>
              </w:rPr>
              <w:t>more</w:t>
            </w:r>
          </w:p>
        </w:tc>
        <w:tc>
          <w:tcPr>
            <w:tcW w:w="720" w:type="dxa"/>
            <w:vAlign w:val="bottom"/>
          </w:tcPr>
          <w:p>
            <w:pPr>
              <w:ind w:left="160"/>
              <w:spacing w:after="0"/>
              <w:rPr>
                <w:sz w:val="20"/>
                <w:szCs w:val="20"/>
                <w:color w:val="auto"/>
              </w:rPr>
            </w:pPr>
            <w:r>
              <w:rPr>
                <w:rFonts w:ascii="Arial" w:cs="Arial" w:eastAsia="Arial" w:hAnsi="Arial"/>
                <w:sz w:val="17"/>
                <w:szCs w:val="17"/>
                <w:color w:val="auto"/>
              </w:rPr>
              <w:t>than</w:t>
            </w:r>
          </w:p>
        </w:tc>
        <w:tc>
          <w:tcPr>
            <w:tcW w:w="520" w:type="dxa"/>
            <w:vAlign w:val="bottom"/>
          </w:tcPr>
          <w:p>
            <w:pPr>
              <w:ind w:left="100"/>
              <w:spacing w:after="0"/>
              <w:rPr>
                <w:sz w:val="20"/>
                <w:szCs w:val="20"/>
                <w:color w:val="auto"/>
              </w:rPr>
            </w:pPr>
            <w:r>
              <w:rPr>
                <w:rFonts w:ascii="Arial" w:cs="Arial" w:eastAsia="Arial" w:hAnsi="Arial"/>
                <w:sz w:val="17"/>
                <w:szCs w:val="17"/>
                <w:color w:val="auto"/>
              </w:rPr>
              <w:t>five</w:t>
            </w:r>
          </w:p>
        </w:tc>
        <w:tc>
          <w:tcPr>
            <w:tcW w:w="900" w:type="dxa"/>
            <w:vAlign w:val="bottom"/>
          </w:tcPr>
          <w:p>
            <w:pPr>
              <w:ind w:left="160"/>
              <w:spacing w:after="0"/>
              <w:rPr>
                <w:sz w:val="20"/>
                <w:szCs w:val="20"/>
                <w:color w:val="auto"/>
              </w:rPr>
            </w:pPr>
            <w:r>
              <w:rPr>
                <w:rFonts w:ascii="Arial" w:cs="Arial" w:eastAsia="Arial" w:hAnsi="Arial"/>
                <w:sz w:val="17"/>
                <w:szCs w:val="17"/>
                <w:color w:val="auto"/>
              </w:rPr>
              <w:t>percent</w:t>
            </w:r>
          </w:p>
        </w:tc>
        <w:tc>
          <w:tcPr>
            <w:tcW w:w="460" w:type="dxa"/>
            <w:vAlign w:val="bottom"/>
          </w:tcPr>
          <w:p>
            <w:pPr>
              <w:ind w:left="160"/>
              <w:spacing w:after="0"/>
              <w:rPr>
                <w:sz w:val="20"/>
                <w:szCs w:val="20"/>
                <w:color w:val="auto"/>
              </w:rPr>
            </w:pPr>
            <w:r>
              <w:rPr>
                <w:rFonts w:ascii="Arial" w:cs="Arial" w:eastAsia="Arial" w:hAnsi="Arial"/>
                <w:sz w:val="17"/>
                <w:szCs w:val="17"/>
                <w:color w:val="auto"/>
              </w:rPr>
              <w:t>of</w:t>
            </w:r>
          </w:p>
        </w:tc>
        <w:tc>
          <w:tcPr>
            <w:tcW w:w="560" w:type="dxa"/>
            <w:vAlign w:val="bottom"/>
          </w:tcPr>
          <w:p>
            <w:pPr>
              <w:ind w:left="160"/>
              <w:spacing w:after="0"/>
              <w:rPr>
                <w:sz w:val="20"/>
                <w:szCs w:val="20"/>
                <w:color w:val="auto"/>
              </w:rPr>
            </w:pPr>
            <w:r>
              <w:rPr>
                <w:rFonts w:ascii="Arial" w:cs="Arial" w:eastAsia="Arial" w:hAnsi="Arial"/>
                <w:sz w:val="17"/>
                <w:szCs w:val="17"/>
                <w:color w:val="auto"/>
              </w:rPr>
              <w:t>the</w:t>
            </w:r>
          </w:p>
        </w:tc>
        <w:tc>
          <w:tcPr>
            <w:tcW w:w="1160" w:type="dxa"/>
            <w:vAlign w:val="bottom"/>
          </w:tcPr>
          <w:p>
            <w:pPr>
              <w:ind w:left="160"/>
              <w:spacing w:after="0"/>
              <w:rPr>
                <w:sz w:val="20"/>
                <w:szCs w:val="20"/>
                <w:color w:val="auto"/>
              </w:rPr>
            </w:pPr>
            <w:r>
              <w:rPr>
                <w:rFonts w:ascii="Arial" w:cs="Arial" w:eastAsia="Arial" w:hAnsi="Arial"/>
                <w:sz w:val="17"/>
                <w:szCs w:val="17"/>
                <w:color w:val="auto"/>
              </w:rPr>
              <w:t>Company’s</w:t>
            </w:r>
          </w:p>
        </w:tc>
        <w:tc>
          <w:tcPr>
            <w:tcW w:w="780" w:type="dxa"/>
            <w:vAlign w:val="bottom"/>
          </w:tcPr>
          <w:p>
            <w:pPr>
              <w:ind w:left="160"/>
              <w:spacing w:after="0"/>
              <w:rPr>
                <w:sz w:val="20"/>
                <w:szCs w:val="20"/>
                <w:color w:val="auto"/>
              </w:rPr>
            </w:pPr>
            <w:r>
              <w:rPr>
                <w:rFonts w:ascii="Arial" w:cs="Arial" w:eastAsia="Arial" w:hAnsi="Arial"/>
                <w:sz w:val="17"/>
                <w:szCs w:val="17"/>
                <w:color w:val="auto"/>
              </w:rPr>
              <w:t>voting</w:t>
            </w:r>
          </w:p>
        </w:tc>
        <w:tc>
          <w:tcPr>
            <w:tcW w:w="1040" w:type="dxa"/>
            <w:vAlign w:val="bottom"/>
            <w:gridSpan w:val="2"/>
          </w:tcPr>
          <w:p>
            <w:pPr>
              <w:ind w:left="160"/>
              <w:spacing w:after="0"/>
              <w:rPr>
                <w:sz w:val="20"/>
                <w:szCs w:val="20"/>
                <w:color w:val="auto"/>
              </w:rPr>
            </w:pPr>
            <w:r>
              <w:rPr>
                <w:rFonts w:ascii="Arial" w:cs="Arial" w:eastAsia="Arial" w:hAnsi="Arial"/>
                <w:sz w:val="17"/>
                <w:szCs w:val="17"/>
                <w:color w:val="auto"/>
              </w:rPr>
              <w:t>securities</w:t>
            </w:r>
          </w:p>
        </w:tc>
        <w:tc>
          <w:tcPr>
            <w:tcW w:w="500" w:type="dxa"/>
            <w:vAlign w:val="bottom"/>
          </w:tcPr>
          <w:p>
            <w:pPr>
              <w:ind w:left="160"/>
              <w:spacing w:after="0"/>
              <w:rPr>
                <w:sz w:val="20"/>
                <w:szCs w:val="20"/>
                <w:color w:val="auto"/>
              </w:rPr>
            </w:pPr>
            <w:r>
              <w:rPr>
                <w:rFonts w:ascii="Arial" w:cs="Arial" w:eastAsia="Arial" w:hAnsi="Arial"/>
                <w:sz w:val="17"/>
                <w:szCs w:val="17"/>
                <w:color w:val="auto"/>
              </w:rPr>
              <w:t>as</w:t>
            </w:r>
          </w:p>
        </w:tc>
        <w:tc>
          <w:tcPr>
            <w:tcW w:w="460" w:type="dxa"/>
            <w:vAlign w:val="bottom"/>
          </w:tcPr>
          <w:p>
            <w:pPr>
              <w:ind w:left="160"/>
              <w:spacing w:after="0"/>
              <w:rPr>
                <w:sz w:val="20"/>
                <w:szCs w:val="20"/>
                <w:color w:val="auto"/>
              </w:rPr>
            </w:pPr>
            <w:r>
              <w:rPr>
                <w:rFonts w:ascii="Arial" w:cs="Arial" w:eastAsia="Arial" w:hAnsi="Arial"/>
                <w:sz w:val="17"/>
                <w:szCs w:val="17"/>
                <w:color w:val="auto"/>
              </w:rPr>
              <w:t>of</w:t>
            </w:r>
          </w:p>
        </w:tc>
        <w:tc>
          <w:tcPr>
            <w:tcW w:w="1180" w:type="dxa"/>
            <w:vAlign w:val="bottom"/>
          </w:tcPr>
          <w:p>
            <w:pPr>
              <w:jc w:val="right"/>
              <w:ind w:right="141"/>
              <w:spacing w:after="0"/>
              <w:rPr>
                <w:sz w:val="20"/>
                <w:szCs w:val="20"/>
                <w:color w:val="auto"/>
              </w:rPr>
            </w:pPr>
            <w:r>
              <w:rPr>
                <w:rFonts w:ascii="Arial" w:cs="Arial" w:eastAsia="Arial" w:hAnsi="Arial"/>
                <w:sz w:val="17"/>
                <w:szCs w:val="17"/>
                <w:color w:val="auto"/>
              </w:rPr>
              <w:t>December</w:t>
            </w:r>
          </w:p>
        </w:tc>
        <w:tc>
          <w:tcPr>
            <w:tcW w:w="500" w:type="dxa"/>
            <w:vAlign w:val="bottom"/>
          </w:tcPr>
          <w:p>
            <w:pPr>
              <w:jc w:val="right"/>
              <w:ind w:right="78"/>
              <w:spacing w:after="0"/>
              <w:rPr>
                <w:sz w:val="20"/>
                <w:szCs w:val="20"/>
                <w:color w:val="auto"/>
              </w:rPr>
            </w:pPr>
            <w:r>
              <w:rPr>
                <w:rFonts w:ascii="Arial" w:cs="Arial" w:eastAsia="Arial" w:hAnsi="Arial"/>
                <w:sz w:val="17"/>
                <w:szCs w:val="17"/>
                <w:color w:val="auto"/>
              </w:rPr>
              <w:t>31,</w:t>
            </w:r>
          </w:p>
        </w:tc>
        <w:tc>
          <w:tcPr>
            <w:tcW w:w="600" w:type="dxa"/>
            <w:vAlign w:val="bottom"/>
          </w:tcPr>
          <w:p>
            <w:pPr>
              <w:jc w:val="right"/>
              <w:spacing w:after="0"/>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23"/>
        </w:trPr>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3120" w:type="dxa"/>
            <w:vAlign w:val="bottom"/>
            <w:gridSpan w:val="5"/>
            <w:vMerge w:val="restart"/>
          </w:tcPr>
          <w:p>
            <w:pPr>
              <w:ind w:left="20"/>
              <w:spacing w:after="0"/>
              <w:rPr>
                <w:sz w:val="20"/>
                <w:szCs w:val="20"/>
                <w:color w:val="auto"/>
              </w:rPr>
            </w:pPr>
            <w:r>
              <w:rPr>
                <w:rFonts w:ascii="Arial" w:cs="Arial" w:eastAsia="Arial" w:hAnsi="Arial"/>
                <w:sz w:val="15"/>
                <w:szCs w:val="15"/>
                <w:b w:val="1"/>
                <w:bCs w:val="1"/>
                <w:color w:val="auto"/>
              </w:rPr>
              <w:t>Name and Address of Beneficial Owner</w:t>
            </w: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40" w:type="dxa"/>
            <w:vAlign w:val="bottom"/>
            <w:gridSpan w:val="4"/>
          </w:tcPr>
          <w:p>
            <w:pPr>
              <w:jc w:val="right"/>
              <w:spacing w:after="0" w:line="148" w:lineRule="exact"/>
              <w:rPr>
                <w:sz w:val="20"/>
                <w:szCs w:val="20"/>
                <w:color w:val="auto"/>
              </w:rPr>
            </w:pPr>
            <w:r>
              <w:rPr>
                <w:rFonts w:ascii="Arial" w:cs="Arial" w:eastAsia="Arial" w:hAnsi="Arial"/>
                <w:sz w:val="15"/>
                <w:szCs w:val="15"/>
                <w:b w:val="1"/>
                <w:bCs w:val="1"/>
                <w:color w:val="auto"/>
              </w:rPr>
              <w:t>Amount and Nature of Beneficial</w:t>
            </w:r>
          </w:p>
        </w:tc>
        <w:tc>
          <w:tcPr>
            <w:tcW w:w="1100" w:type="dxa"/>
            <w:vAlign w:val="bottom"/>
            <w:gridSpan w:val="2"/>
          </w:tcPr>
          <w:p>
            <w:pPr>
              <w:jc w:val="right"/>
              <w:spacing w:after="0" w:line="148" w:lineRule="exact"/>
              <w:rPr>
                <w:sz w:val="20"/>
                <w:szCs w:val="20"/>
                <w:color w:val="auto"/>
              </w:rPr>
            </w:pPr>
            <w:r>
              <w:rPr>
                <w:rFonts w:ascii="Arial" w:cs="Arial" w:eastAsia="Arial" w:hAnsi="Arial"/>
                <w:sz w:val="15"/>
                <w:szCs w:val="15"/>
                <w:b w:val="1"/>
                <w:bCs w:val="1"/>
                <w:color w:val="auto"/>
              </w:rPr>
              <w:t>Percent of</w:t>
            </w:r>
          </w:p>
        </w:tc>
        <w:tc>
          <w:tcPr>
            <w:tcW w:w="0" w:type="dxa"/>
            <w:vAlign w:val="bottom"/>
          </w:tcPr>
          <w:p>
            <w:pPr>
              <w:spacing w:after="0"/>
              <w:rPr>
                <w:sz w:val="1"/>
                <w:szCs w:val="1"/>
                <w:color w:val="auto"/>
              </w:rPr>
            </w:pPr>
          </w:p>
        </w:tc>
      </w:tr>
      <w:tr>
        <w:trPr>
          <w:trHeight w:val="206"/>
        </w:trPr>
        <w:tc>
          <w:tcPr>
            <w:tcW w:w="3120" w:type="dxa"/>
            <w:vAlign w:val="bottom"/>
            <w:tcBorders>
              <w:bottom w:val="single" w:sz="8" w:color="auto"/>
            </w:tcBorders>
            <w:gridSpan w:val="5"/>
            <w:vMerge w:val="continu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Ownership</w:t>
            </w:r>
          </w:p>
        </w:tc>
        <w:tc>
          <w:tcPr>
            <w:tcW w:w="5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Class</w:t>
            </w: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tcBorders>
            <w:gridSpan w:val="3"/>
            <w:shd w:val="clear" w:color="auto" w:fill="CCEEFF"/>
          </w:tcPr>
          <w:p>
            <w:pPr>
              <w:ind w:left="40"/>
              <w:spacing w:after="0" w:line="149" w:lineRule="exact"/>
              <w:rPr>
                <w:sz w:val="20"/>
                <w:szCs w:val="20"/>
                <w:color w:val="auto"/>
              </w:rPr>
            </w:pPr>
            <w:r>
              <w:rPr>
                <w:rFonts w:ascii="Arial" w:cs="Arial" w:eastAsia="Arial" w:hAnsi="Arial"/>
                <w:sz w:val="15"/>
                <w:szCs w:val="15"/>
                <w:color w:val="auto"/>
              </w:rPr>
              <w:t>The Vanguard Group</w:t>
            </w: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80" w:type="dxa"/>
            <w:vAlign w:val="bottom"/>
            <w:tcBorders>
              <w:right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880" w:type="dxa"/>
            <w:vAlign w:val="bottom"/>
            <w:tcBorders>
              <w:left w:val="single" w:sz="8" w:color="auto"/>
            </w:tcBorders>
            <w:gridSpan w:val="3"/>
            <w:shd w:val="clear" w:color="auto" w:fill="CCEEFF"/>
          </w:tcPr>
          <w:p>
            <w:pPr>
              <w:ind w:left="40"/>
              <w:spacing w:after="0" w:line="155" w:lineRule="exact"/>
              <w:rPr>
                <w:sz w:val="20"/>
                <w:szCs w:val="20"/>
                <w:color w:val="auto"/>
              </w:rPr>
            </w:pPr>
            <w:r>
              <w:rPr>
                <w:rFonts w:ascii="Arial" w:cs="Arial" w:eastAsia="Arial" w:hAnsi="Arial"/>
                <w:sz w:val="15"/>
                <w:szCs w:val="15"/>
                <w:color w:val="auto"/>
              </w:rPr>
              <w:t>100 Vanguard Boulevard</w:t>
            </w:r>
          </w:p>
        </w:tc>
        <w:tc>
          <w:tcPr>
            <w:tcW w:w="7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40" w:type="dxa"/>
            <w:vAlign w:val="bottom"/>
            <w:tcBorders>
              <w:right w:val="single" w:sz="8" w:color="auto"/>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80" w:type="dxa"/>
            <w:vAlign w:val="bottom"/>
            <w:tcBorders>
              <w:right w:val="single" w:sz="8" w:color="auto"/>
            </w:tcBorders>
            <w:vMerge w:val="restart"/>
            <w:shd w:val="clear" w:color="auto" w:fill="CCEEFF"/>
          </w:tcPr>
          <w:p>
            <w:pPr>
              <w:jc w:val="right"/>
              <w:ind w:right="21"/>
              <w:spacing w:after="0"/>
              <w:rPr>
                <w:sz w:val="20"/>
                <w:szCs w:val="20"/>
                <w:color w:val="auto"/>
              </w:rPr>
            </w:pPr>
            <w:r>
              <w:rPr>
                <w:rFonts w:ascii="Arial" w:cs="Arial" w:eastAsia="Arial" w:hAnsi="Arial"/>
                <w:sz w:val="15"/>
                <w:szCs w:val="15"/>
                <w:color w:val="auto"/>
              </w:rPr>
              <w:t>21,630,109</w:t>
            </w:r>
          </w:p>
        </w:tc>
        <w:tc>
          <w:tcPr>
            <w:tcW w:w="500" w:type="dxa"/>
            <w:vAlign w:val="bottom"/>
            <w:shd w:val="clear" w:color="auto" w:fill="CCEEFF"/>
          </w:tcPr>
          <w:p>
            <w:pPr>
              <w:spacing w:after="0"/>
              <w:rPr>
                <w:sz w:val="13"/>
                <w:szCs w:val="13"/>
                <w:color w:val="auto"/>
              </w:rPr>
            </w:pPr>
          </w:p>
        </w:tc>
        <w:tc>
          <w:tcPr>
            <w:tcW w:w="6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9.5 %</w:t>
            </w:r>
          </w:p>
        </w:tc>
        <w:tc>
          <w:tcPr>
            <w:tcW w:w="0" w:type="dxa"/>
            <w:vAlign w:val="bottom"/>
          </w:tcPr>
          <w:p>
            <w:pPr>
              <w:spacing w:after="0"/>
              <w:rPr>
                <w:sz w:val="1"/>
                <w:szCs w:val="1"/>
                <w:color w:val="auto"/>
              </w:rPr>
            </w:pPr>
          </w:p>
        </w:tc>
      </w:tr>
      <w:tr>
        <w:trPr>
          <w:trHeight w:val="205"/>
        </w:trPr>
        <w:tc>
          <w:tcPr>
            <w:tcW w:w="134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5"/>
                <w:szCs w:val="15"/>
                <w:color w:val="auto"/>
              </w:rPr>
              <w:t>Malvern, PA 19355</w:t>
            </w:r>
          </w:p>
        </w:tc>
        <w:tc>
          <w:tcPr>
            <w:tcW w:w="5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right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tcBorders>
            <w:gridSpan w:val="2"/>
          </w:tcPr>
          <w:p>
            <w:pPr>
              <w:ind w:left="40"/>
              <w:spacing w:after="0" w:line="149" w:lineRule="exact"/>
              <w:rPr>
                <w:sz w:val="20"/>
                <w:szCs w:val="20"/>
                <w:color w:val="auto"/>
              </w:rPr>
            </w:pPr>
            <w:r>
              <w:rPr>
                <w:rFonts w:ascii="Arial" w:cs="Arial" w:eastAsia="Arial" w:hAnsi="Arial"/>
                <w:sz w:val="15"/>
                <w:szCs w:val="15"/>
                <w:color w:val="auto"/>
              </w:rPr>
              <w:t>Black Rock Inc.</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340" w:type="dxa"/>
            <w:vAlign w:val="bottom"/>
            <w:tcBorders>
              <w:left w:val="single" w:sz="8" w:color="auto"/>
            </w:tcBorders>
            <w:gridSpan w:val="2"/>
          </w:tcPr>
          <w:p>
            <w:pPr>
              <w:ind w:left="40"/>
              <w:spacing w:after="0" w:line="155" w:lineRule="exact"/>
              <w:rPr>
                <w:sz w:val="20"/>
                <w:szCs w:val="20"/>
                <w:color w:val="auto"/>
              </w:rPr>
            </w:pPr>
            <w:r>
              <w:rPr>
                <w:rFonts w:ascii="Arial" w:cs="Arial" w:eastAsia="Arial" w:hAnsi="Arial"/>
                <w:sz w:val="15"/>
                <w:szCs w:val="15"/>
                <w:color w:val="auto"/>
              </w:rPr>
              <w:t>50 Hudson Yards,</w:t>
            </w: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tcBorders>
              <w:right w:val="single" w:sz="8" w:color="auto"/>
            </w:tcBorders>
            <w:vMerge w:val="restart"/>
          </w:tcPr>
          <w:p>
            <w:pPr>
              <w:jc w:val="right"/>
              <w:ind w:right="21"/>
              <w:spacing w:after="0"/>
              <w:rPr>
                <w:sz w:val="20"/>
                <w:szCs w:val="20"/>
                <w:color w:val="auto"/>
              </w:rPr>
            </w:pPr>
            <w:r>
              <w:rPr>
                <w:rFonts w:ascii="Arial" w:cs="Arial" w:eastAsia="Arial" w:hAnsi="Arial"/>
                <w:sz w:val="15"/>
                <w:szCs w:val="15"/>
                <w:color w:val="auto"/>
              </w:rPr>
              <w:t>18,852,267</w:t>
            </w:r>
          </w:p>
        </w:tc>
        <w:tc>
          <w:tcPr>
            <w:tcW w:w="500" w:type="dxa"/>
            <w:vAlign w:val="bottom"/>
          </w:tcPr>
          <w:p>
            <w:pPr>
              <w:spacing w:after="0"/>
              <w:rPr>
                <w:sz w:val="13"/>
                <w:szCs w:val="13"/>
                <w:color w:val="auto"/>
              </w:rPr>
            </w:pPr>
          </w:p>
        </w:tc>
        <w:tc>
          <w:tcPr>
            <w:tcW w:w="6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color w:val="auto"/>
              </w:rPr>
              <w:t>8.3 %</w:t>
            </w:r>
          </w:p>
        </w:tc>
        <w:tc>
          <w:tcPr>
            <w:tcW w:w="0" w:type="dxa"/>
            <w:vAlign w:val="bottom"/>
          </w:tcPr>
          <w:p>
            <w:pPr>
              <w:spacing w:after="0"/>
              <w:rPr>
                <w:sz w:val="1"/>
                <w:szCs w:val="1"/>
                <w:color w:val="auto"/>
              </w:rPr>
            </w:pPr>
          </w:p>
        </w:tc>
      </w:tr>
      <w:tr>
        <w:trPr>
          <w:trHeight w:val="205"/>
        </w:trPr>
        <w:tc>
          <w:tcPr>
            <w:tcW w:w="188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5"/>
                <w:szCs w:val="15"/>
                <w:color w:val="auto"/>
              </w:rPr>
              <w:t>New York, NY 10001</w:t>
            </w:r>
          </w:p>
        </w:tc>
        <w:tc>
          <w:tcPr>
            <w:tcW w:w="7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600" w:type="dxa"/>
            <w:vAlign w:val="bottom"/>
            <w:tcBorders>
              <w:left w:val="single" w:sz="8" w:color="auto"/>
            </w:tcBorders>
            <w:gridSpan w:val="4"/>
            <w:shd w:val="clear" w:color="auto" w:fill="CCEEFF"/>
          </w:tcPr>
          <w:p>
            <w:pPr>
              <w:ind w:left="40"/>
              <w:spacing w:after="0" w:line="149" w:lineRule="exact"/>
              <w:rPr>
                <w:sz w:val="20"/>
                <w:szCs w:val="20"/>
                <w:color w:val="auto"/>
              </w:rPr>
            </w:pPr>
            <w:r>
              <w:rPr>
                <w:rFonts w:ascii="Arial" w:cs="Arial" w:eastAsia="Arial" w:hAnsi="Arial"/>
                <w:sz w:val="15"/>
                <w:szCs w:val="15"/>
                <w:color w:val="auto"/>
              </w:rPr>
              <w:t>Wellington Management Group LLP</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80" w:type="dxa"/>
            <w:vAlign w:val="bottom"/>
            <w:tcBorders>
              <w:right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880" w:type="dxa"/>
            <w:vAlign w:val="bottom"/>
            <w:tcBorders>
              <w:left w:val="single" w:sz="8" w:color="auto"/>
            </w:tcBorders>
            <w:gridSpan w:val="3"/>
            <w:shd w:val="clear" w:color="auto" w:fill="CCEEFF"/>
          </w:tcPr>
          <w:p>
            <w:pPr>
              <w:ind w:left="40"/>
              <w:spacing w:after="0" w:line="155" w:lineRule="exact"/>
              <w:rPr>
                <w:sz w:val="20"/>
                <w:szCs w:val="20"/>
                <w:color w:val="auto"/>
              </w:rPr>
            </w:pPr>
            <w:r>
              <w:rPr>
                <w:rFonts w:ascii="Arial" w:cs="Arial" w:eastAsia="Arial" w:hAnsi="Arial"/>
                <w:sz w:val="15"/>
                <w:szCs w:val="15"/>
                <w:color w:val="auto"/>
              </w:rPr>
              <w:t>280 Congress Street</w:t>
            </w:r>
          </w:p>
        </w:tc>
        <w:tc>
          <w:tcPr>
            <w:tcW w:w="7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40" w:type="dxa"/>
            <w:vAlign w:val="bottom"/>
            <w:tcBorders>
              <w:right w:val="single" w:sz="8" w:color="auto"/>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80" w:type="dxa"/>
            <w:vAlign w:val="bottom"/>
            <w:tcBorders>
              <w:right w:val="single" w:sz="8" w:color="auto"/>
            </w:tcBorders>
            <w:vMerge w:val="restart"/>
            <w:shd w:val="clear" w:color="auto" w:fill="CCEEFF"/>
          </w:tcPr>
          <w:p>
            <w:pPr>
              <w:jc w:val="right"/>
              <w:ind w:right="21"/>
              <w:spacing w:after="0"/>
              <w:rPr>
                <w:sz w:val="20"/>
                <w:szCs w:val="20"/>
                <w:color w:val="auto"/>
              </w:rPr>
            </w:pPr>
            <w:r>
              <w:rPr>
                <w:rFonts w:ascii="Arial" w:cs="Arial" w:eastAsia="Arial" w:hAnsi="Arial"/>
                <w:sz w:val="15"/>
                <w:szCs w:val="15"/>
                <w:color w:val="auto"/>
              </w:rPr>
              <w:t>18,023,056</w:t>
            </w:r>
          </w:p>
        </w:tc>
        <w:tc>
          <w:tcPr>
            <w:tcW w:w="500" w:type="dxa"/>
            <w:vAlign w:val="bottom"/>
            <w:shd w:val="clear" w:color="auto" w:fill="CCEEFF"/>
          </w:tcPr>
          <w:p>
            <w:pPr>
              <w:spacing w:after="0"/>
              <w:rPr>
                <w:sz w:val="13"/>
                <w:szCs w:val="13"/>
                <w:color w:val="auto"/>
              </w:rPr>
            </w:pPr>
          </w:p>
        </w:tc>
        <w:tc>
          <w:tcPr>
            <w:tcW w:w="6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7.9 %</w:t>
            </w:r>
          </w:p>
        </w:tc>
        <w:tc>
          <w:tcPr>
            <w:tcW w:w="0" w:type="dxa"/>
            <w:vAlign w:val="bottom"/>
          </w:tcPr>
          <w:p>
            <w:pPr>
              <w:spacing w:after="0"/>
              <w:rPr>
                <w:sz w:val="1"/>
                <w:szCs w:val="1"/>
                <w:color w:val="auto"/>
              </w:rPr>
            </w:pPr>
          </w:p>
        </w:tc>
      </w:tr>
      <w:tr>
        <w:trPr>
          <w:trHeight w:val="205"/>
        </w:trPr>
        <w:tc>
          <w:tcPr>
            <w:tcW w:w="134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5"/>
                <w:szCs w:val="15"/>
                <w:color w:val="auto"/>
              </w:rPr>
              <w:t>Boston, MA 02210</w:t>
            </w:r>
          </w:p>
        </w:tc>
        <w:tc>
          <w:tcPr>
            <w:tcW w:w="5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right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6421120</wp:posOffset>
            </wp:positionH>
            <wp:positionV relativeFrom="paragraph">
              <wp:posOffset>-1013460</wp:posOffset>
            </wp:positionV>
            <wp:extent cx="247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CORPORATE GOVERNANCE</w:t>
      </w:r>
    </w:p>
    <w:p>
      <w:pPr>
        <w:spacing w:after="0" w:line="64" w:lineRule="exact"/>
        <w:rPr>
          <w:sz w:val="20"/>
          <w:szCs w:val="20"/>
          <w:color w:val="auto"/>
        </w:rPr>
      </w:pPr>
    </w:p>
    <w:p>
      <w:pPr>
        <w:jc w:val="both"/>
        <w:ind w:right="20" w:firstLine="618"/>
        <w:spacing w:after="0" w:line="271" w:lineRule="auto"/>
        <w:rPr>
          <w:sz w:val="20"/>
          <w:szCs w:val="20"/>
          <w:color w:val="auto"/>
        </w:rPr>
      </w:pPr>
      <w:r>
        <w:rPr>
          <w:rFonts w:ascii="Arial" w:cs="Arial" w:eastAsia="Arial" w:hAnsi="Arial"/>
          <w:sz w:val="17"/>
          <w:szCs w:val="17"/>
          <w:color w:val="auto"/>
        </w:rPr>
        <w:t>The Company operates within a comprehensive plan of corporate governance set forth in the Gentex Corporation Corporate Governance Guidelines (*) as adopted for the purpose of defining responsibilities, setting high standards of professionalism and personal conduct, and assuring compliance with such responsibilities and standards. The Company regularly monitors developments in the area of corporate governance.</w:t>
      </w: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739" w:right="319" w:bottom="1440" w:gutter="0" w:footer="0" w:header="0"/>
        </w:sectPr>
      </w:pPr>
    </w:p>
    <w:bookmarkStart w:id="11" w:name="page12"/>
    <w:bookmarkEnd w:id="11"/>
    <w:p>
      <w:pPr>
        <w:jc w:val="both"/>
        <w:ind w:firstLine="618"/>
        <w:spacing w:after="0" w:line="260" w:lineRule="auto"/>
        <w:rPr>
          <w:sz w:val="20"/>
          <w:szCs w:val="20"/>
          <w:color w:val="auto"/>
        </w:rPr>
      </w:pPr>
      <w:r>
        <w:rPr>
          <w:rFonts w:ascii="Arial" w:cs="Arial" w:eastAsia="Arial" w:hAnsi="Arial"/>
          <w:sz w:val="17"/>
          <w:szCs w:val="17"/>
          <w:color w:val="auto"/>
        </w:rPr>
        <w:t xml:space="preserve">The Board has an Audit Committee, a Compensation Committee, an Executive Committee, and a Nominating and Corporate Governance Committee, and, in accordance with the Company's Bylaws, may appoint other committees from time to time. Each standing committee has a written charter. All such charters, as well as any documents marked with an asterisk (*) in this Proxy Statement, are available under the headings, "Corporate Governance", then "Documents &amp; Charters" on the Company’s web site at </w:t>
      </w:r>
      <w:r>
        <w:rPr>
          <w:rFonts w:ascii="Arial" w:cs="Arial" w:eastAsia="Arial" w:hAnsi="Arial"/>
          <w:sz w:val="17"/>
          <w:szCs w:val="17"/>
          <w:u w:val="single" w:color="auto"/>
          <w:color w:val="auto"/>
        </w:rPr>
        <w:t>http://ir.gentex.com</w:t>
      </w:r>
      <w:r>
        <w:rPr>
          <w:rFonts w:ascii="Arial" w:cs="Arial" w:eastAsia="Arial" w:hAnsi="Arial"/>
          <w:sz w:val="17"/>
          <w:szCs w:val="17"/>
          <w:color w:val="auto"/>
        </w:rPr>
        <w:t>. A hard copy of any of these documents will be provided to any shareholder who submits a request in writing to the Corporate Secretary, Gentex Corporation, 600 North Centennial Street, Zeeland, MI 49464.</w:t>
      </w:r>
    </w:p>
    <w:p>
      <w:pPr>
        <w:spacing w:after="0" w:line="197" w:lineRule="exact"/>
        <w:rPr>
          <w:sz w:val="20"/>
          <w:szCs w:val="20"/>
          <w:color w:val="auto"/>
        </w:rPr>
      </w:pPr>
    </w:p>
    <w:p>
      <w:pPr>
        <w:jc w:val="both"/>
        <w:ind w:firstLine="618"/>
        <w:spacing w:after="0" w:line="262" w:lineRule="auto"/>
        <w:rPr>
          <w:sz w:val="20"/>
          <w:szCs w:val="20"/>
          <w:color w:val="auto"/>
        </w:rPr>
      </w:pPr>
      <w:r>
        <w:rPr>
          <w:rFonts w:ascii="Arial" w:cs="Arial" w:eastAsia="Arial" w:hAnsi="Arial"/>
          <w:sz w:val="17"/>
          <w:szCs w:val="17"/>
          <w:color w:val="auto"/>
        </w:rPr>
        <w:t>Each member of the Board is expected to abide by the Gentex Corporation Board Attendance and Overboarding Policy (*), unless an exception thereto has been approved by the Board. That includes the expectation to attend all meetings of the Board, all applicable committee meetings, and each annual meeting of shareholders. All the members of the Board attended the 2024 Annual Meeting. Each of the current members of the Board, is expected to attend the 2025 Annual Meeting. During 2024, the Board held five Board meetings. All directors then serving attended at least 75 percent of the aggregate number of meetings of the Board and Board committees on which they served.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Responsiveness to Shareholders</w:t>
      </w:r>
    </w:p>
    <w:p>
      <w:pPr>
        <w:spacing w:after="0" w:line="244" w:lineRule="exact"/>
        <w:rPr>
          <w:sz w:val="20"/>
          <w:szCs w:val="20"/>
          <w:color w:val="auto"/>
        </w:rPr>
      </w:pPr>
    </w:p>
    <w:p>
      <w:pPr>
        <w:jc w:val="both"/>
        <w:ind w:left="620" w:hanging="308"/>
        <w:spacing w:after="0" w:line="257" w:lineRule="auto"/>
        <w:tabs>
          <w:tab w:leader="none" w:pos="616"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The fact that the Company has declassified its Board and implemented majority voting for directors (in the form of a director resignation Bylaw) in response to shareholder proposals, as well as allowing its shareholder rights plan (poison pill) to expire, demonstrates responsiveness to expressed shareholder concerns. In fact, implementation of majority voting for directors (in the form of a director resignation Bylaw) was done with the input and concurrence of the shareholder proponent as to form of adoption of the same.</w:t>
      </w:r>
    </w:p>
    <w:p>
      <w:pPr>
        <w:spacing w:after="0" w:line="2" w:lineRule="exact"/>
        <w:rPr>
          <w:rFonts w:ascii="Times New Roman" w:cs="Times New Roman" w:eastAsia="Times New Roman" w:hAnsi="Times New Roman"/>
          <w:sz w:val="17"/>
          <w:szCs w:val="17"/>
          <w:color w:val="auto"/>
        </w:rPr>
      </w:pPr>
    </w:p>
    <w:p>
      <w:pPr>
        <w:jc w:val="both"/>
        <w:ind w:left="620" w:hanging="308"/>
        <w:spacing w:after="0" w:line="252" w:lineRule="auto"/>
        <w:tabs>
          <w:tab w:leader="none" w:pos="616"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The Company also implemented a Lead Independent Director Policy (*) to address concerns raised by shareholders when the Company had a non-independent Chair of the Board, again demonstrating its commitment to good corporate governance and ongoing engagement with shareholders.</w:t>
      </w:r>
    </w:p>
    <w:p>
      <w:pPr>
        <w:spacing w:after="0" w:line="1" w:lineRule="exact"/>
        <w:rPr>
          <w:rFonts w:ascii="Times New Roman" w:cs="Times New Roman" w:eastAsia="Times New Roman" w:hAnsi="Times New Roman"/>
          <w:sz w:val="17"/>
          <w:szCs w:val="17"/>
          <w:color w:val="auto"/>
        </w:rPr>
      </w:pPr>
    </w:p>
    <w:p>
      <w:pPr>
        <w:jc w:val="both"/>
        <w:ind w:left="620" w:hanging="308"/>
        <w:spacing w:after="0" w:line="258" w:lineRule="auto"/>
        <w:tabs>
          <w:tab w:leader="none" w:pos="616"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The Company has added a Sustainability section to its website (which is updated periodically) and publishes a Sustainability Report annually that provides short and long term sustainability goals, key information regarding progress that the Company is making for sustainability initiatives, and key information about the Company's diversity, equity and inclusion (DE&amp;I) efforts and human capital management.</w:t>
      </w:r>
    </w:p>
    <w:p>
      <w:pPr>
        <w:spacing w:after="0" w:line="192" w:lineRule="exact"/>
        <w:rPr>
          <w:rFonts w:ascii="Times New Roman" w:cs="Times New Roman" w:eastAsia="Times New Roman" w:hAnsi="Times New Roman"/>
          <w:sz w:val="17"/>
          <w:szCs w:val="17"/>
          <w:color w:val="auto"/>
        </w:rPr>
      </w:pPr>
    </w:p>
    <w:p>
      <w:pPr>
        <w:jc w:val="both"/>
        <w:ind w:left="620" w:hanging="308"/>
        <w:spacing w:after="0" w:line="261"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has added additional diversity considerations to its director nominating policies in response to suggestions from shareholders. Such diversity considerations, along with the actual practices of the Nominating and Corporate Governance Committee, have led to a broader and more diverse director candidate pool and a more diverse Board.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Board of Directors Leadership Structure</w:t>
      </w:r>
    </w:p>
    <w:p>
      <w:pPr>
        <w:spacing w:after="0" w:line="244" w:lineRule="exact"/>
        <w:rPr>
          <w:sz w:val="20"/>
          <w:szCs w:val="20"/>
          <w:color w:val="auto"/>
        </w:rPr>
      </w:pPr>
    </w:p>
    <w:p>
      <w:pPr>
        <w:ind w:left="620" w:hanging="308"/>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Mr. Schaum serves as an independent Chair of the Board of Directors.</w:t>
      </w:r>
    </w:p>
    <w:p>
      <w:pPr>
        <w:spacing w:after="0" w:line="26" w:lineRule="exact"/>
        <w:rPr>
          <w:rFonts w:ascii="Arial" w:cs="Arial" w:eastAsia="Arial" w:hAnsi="Arial"/>
          <w:sz w:val="17"/>
          <w:szCs w:val="17"/>
          <w:color w:val="auto"/>
        </w:rPr>
      </w:pPr>
    </w:p>
    <w:p>
      <w:pPr>
        <w:ind w:left="620" w:hanging="308"/>
        <w:spacing w:after="0" w:line="252"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acknowledges that independent board leadership is important, and the independent directors will continue to meet outside of the presence of management.</w:t>
      </w:r>
    </w:p>
    <w:p>
      <w:pPr>
        <w:spacing w:after="0" w:line="1" w:lineRule="exact"/>
        <w:rPr>
          <w:rFonts w:ascii="Arial" w:cs="Arial" w:eastAsia="Arial" w:hAnsi="Arial"/>
          <w:sz w:val="17"/>
          <w:szCs w:val="17"/>
          <w:color w:val="auto"/>
        </w:rPr>
      </w:pPr>
    </w:p>
    <w:p>
      <w:pPr>
        <w:jc w:val="both"/>
        <w:ind w:left="620" w:hanging="308"/>
        <w:spacing w:after="0" w:line="252"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Even with an independent Chair of the Board, the Company remains of the belief that it is important that the Board have flexibility to determine the most qualified person to serve as Board Chair, rather than unduly impairing such flexibility with any policy requiring an independent Chair of the Board.</w:t>
      </w:r>
    </w:p>
    <w:p>
      <w:pPr>
        <w:spacing w:after="0" w:line="2" w:lineRule="exact"/>
        <w:rPr>
          <w:rFonts w:ascii="Arial" w:cs="Arial" w:eastAsia="Arial" w:hAnsi="Arial"/>
          <w:sz w:val="17"/>
          <w:szCs w:val="17"/>
          <w:color w:val="auto"/>
        </w:rPr>
      </w:pPr>
    </w:p>
    <w:p>
      <w:pPr>
        <w:ind w:left="620" w:hanging="308"/>
        <w:spacing w:after="0" w:line="252"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While the Board has an independent Chair, and the next Chair may be independent as well, alleviating the need for a Lead Director, the Lead Independent Director Policy remains in place to continue to provide the Board appropriate flexibility.</w:t>
      </w:r>
    </w:p>
    <w:p>
      <w:pPr>
        <w:spacing w:after="0" w:line="1" w:lineRule="exact"/>
        <w:rPr>
          <w:rFonts w:ascii="Arial" w:cs="Arial" w:eastAsia="Arial" w:hAnsi="Arial"/>
          <w:sz w:val="17"/>
          <w:szCs w:val="17"/>
          <w:color w:val="auto"/>
        </w:rPr>
      </w:pPr>
    </w:p>
    <w:p>
      <w:pPr>
        <w:jc w:val="both"/>
        <w:ind w:left="620" w:hanging="308"/>
        <w:spacing w:after="0" w:line="258"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Board, and each standing committee of the Board, undertake annual self-evaluations which include: written evaluations; collection of relevant information; summary and review of the same by the Board and each committee; and the opportunity for peer review and for each director to comment thereupon. This process has helped inform the Board in regard to existing director qualifications, skills, attributes, and experience and those needed for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Audit Committee</w:t>
      </w:r>
    </w:p>
    <w:p>
      <w:pPr>
        <w:spacing w:after="0" w:line="244" w:lineRule="exact"/>
        <w:rPr>
          <w:sz w:val="20"/>
          <w:szCs w:val="20"/>
          <w:color w:val="auto"/>
        </w:rPr>
      </w:pPr>
    </w:p>
    <w:p>
      <w:pPr>
        <w:ind w:left="620" w:hanging="308"/>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Company’s Audit Committee currently includes Mr. Deur (Chair), Ms. Starkoff, and Mr. Walker.</w:t>
      </w:r>
    </w:p>
    <w:p>
      <w:pPr>
        <w:spacing w:after="0" w:line="26" w:lineRule="exact"/>
        <w:rPr>
          <w:rFonts w:ascii="Arial" w:cs="Arial" w:eastAsia="Arial" w:hAnsi="Arial"/>
          <w:sz w:val="17"/>
          <w:szCs w:val="17"/>
          <w:color w:val="auto"/>
        </w:rPr>
      </w:pPr>
    </w:p>
    <w:p>
      <w:pPr>
        <w:ind w:left="620" w:hanging="308"/>
        <w:spacing w:after="0" w:line="252"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Audit Committee met five times during the fiscal year ended December 31, 2024. Additional information regarding the functions performed by the Audit Committee is set forth in the following "Report of the Audit Committee."</w:t>
      </w:r>
    </w:p>
    <w:p>
      <w:pPr>
        <w:spacing w:after="0" w:line="1" w:lineRule="exact"/>
        <w:rPr>
          <w:rFonts w:ascii="Arial" w:cs="Arial" w:eastAsia="Arial" w:hAnsi="Arial"/>
          <w:sz w:val="17"/>
          <w:szCs w:val="17"/>
          <w:color w:val="auto"/>
        </w:rPr>
      </w:pPr>
    </w:p>
    <w:p>
      <w:pPr>
        <w:ind w:left="620" w:hanging="308"/>
        <w:spacing w:after="0" w:line="270"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Board has affirmatively determined that all members of the Audit Committee meet the appropriate tests for independence, including those set forth in the NASDAQ Stock Market Rules.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2" w:name="page13"/>
    <w:bookmarkEnd w:id="12"/>
    <w:p>
      <w:pPr>
        <w:jc w:val="both"/>
        <w:ind w:left="620" w:hanging="308"/>
        <w:spacing w:after="0" w:line="259"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Audit Committee members possess the required level of financial literacy and the Board has determined that at least two members of the Audit Committee, Mr. Deur and Mr. Walker, meet the current standard of audit committee financial expert as required by the Sarbanes-Oxley Act.</w:t>
      </w:r>
    </w:p>
    <w:p>
      <w:pPr>
        <w:spacing w:after="0" w:line="1" w:lineRule="exact"/>
        <w:rPr>
          <w:rFonts w:ascii="Arial" w:cs="Arial" w:eastAsia="Arial" w:hAnsi="Arial"/>
          <w:sz w:val="17"/>
          <w:szCs w:val="17"/>
          <w:color w:val="auto"/>
        </w:rPr>
      </w:pPr>
    </w:p>
    <w:p>
      <w:pPr>
        <w:ind w:left="620" w:hanging="308"/>
        <w:spacing w:after="0" w:line="252"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Audit Committee operates pursuant to the Gentex Corporation Audit Committee Charter (*), which includes oversight of the Company's financial statements, financial reporting processes, certain compliance, and risk management, including cybersecurity.</w:t>
      </w:r>
    </w:p>
    <w:p>
      <w:pPr>
        <w:spacing w:after="0" w:line="1" w:lineRule="exact"/>
        <w:rPr>
          <w:rFonts w:ascii="Arial" w:cs="Arial" w:eastAsia="Arial" w:hAnsi="Arial"/>
          <w:sz w:val="17"/>
          <w:szCs w:val="17"/>
          <w:color w:val="auto"/>
        </w:rPr>
      </w:pPr>
    </w:p>
    <w:p>
      <w:pPr>
        <w:ind w:left="620" w:hanging="308"/>
        <w:spacing w:after="0" w:line="252"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Company’s independent auditors are engaged by and report directly to the Audit Committee and the Audit Committee is actively engaged in selecting the audit engagement partner.</w:t>
      </w:r>
    </w:p>
    <w:p>
      <w:pPr>
        <w:spacing w:after="0" w:line="1" w:lineRule="exact"/>
        <w:rPr>
          <w:rFonts w:ascii="Arial" w:cs="Arial" w:eastAsia="Arial" w:hAnsi="Arial"/>
          <w:sz w:val="17"/>
          <w:szCs w:val="17"/>
          <w:color w:val="auto"/>
        </w:rPr>
      </w:pPr>
    </w:p>
    <w:p>
      <w:pPr>
        <w:jc w:val="both"/>
        <w:ind w:left="620" w:hanging="308"/>
        <w:spacing w:after="0" w:line="252"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Audit Committee, consistent with the Sarbanes-Oxley Act and the rules adopted thereunder, meets with management and the auditors prior to the filing of officer certifications with the SEC to receive information concerning, among other things, any significant deficiencies or material weaknesses in the design or operation of internal controls.</w:t>
      </w:r>
    </w:p>
    <w:p>
      <w:pPr>
        <w:spacing w:after="0" w:line="2" w:lineRule="exact"/>
        <w:rPr>
          <w:rFonts w:ascii="Arial" w:cs="Arial" w:eastAsia="Arial" w:hAnsi="Arial"/>
          <w:sz w:val="17"/>
          <w:szCs w:val="17"/>
          <w:color w:val="auto"/>
        </w:rPr>
      </w:pPr>
    </w:p>
    <w:p>
      <w:pPr>
        <w:jc w:val="both"/>
        <w:ind w:left="620" w:hanging="308"/>
        <w:spacing w:after="0" w:line="252"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The Audit Committee’s policy regarding the pre-approval of audit and non-audit services provided by the Company’s independent auditors is outlined in a document called "Revised Audit Committee Procedures for Approval of Audit and Non-Audit Services by Independent Auditors" (*), which is attached as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Proxy Statement.</w:t>
      </w:r>
    </w:p>
    <w:p>
      <w:pPr>
        <w:spacing w:after="0" w:line="2" w:lineRule="exact"/>
        <w:rPr>
          <w:rFonts w:ascii="Arial" w:cs="Arial" w:eastAsia="Arial" w:hAnsi="Arial"/>
          <w:sz w:val="17"/>
          <w:szCs w:val="17"/>
          <w:color w:val="auto"/>
        </w:rPr>
      </w:pPr>
    </w:p>
    <w:p>
      <w:pPr>
        <w:ind w:left="620" w:hanging="308"/>
        <w:spacing w:after="0" w:line="252"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Audit Committee reviews and discusses with the Company's independent auditors all relationships the independent auditor has with the Company so as to be able to determine the auditor's objectivity and independence.</w:t>
      </w:r>
    </w:p>
    <w:p>
      <w:pPr>
        <w:spacing w:after="0" w:line="1" w:lineRule="exact"/>
        <w:rPr>
          <w:rFonts w:ascii="Arial" w:cs="Arial" w:eastAsia="Arial" w:hAnsi="Arial"/>
          <w:sz w:val="17"/>
          <w:szCs w:val="17"/>
          <w:color w:val="auto"/>
        </w:rPr>
      </w:pPr>
    </w:p>
    <w:p>
      <w:pPr>
        <w:ind w:left="620" w:hanging="308"/>
        <w:spacing w:after="0" w:line="252"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Audit Committee has adopted a policy titled "Complaint Submission and Handling Policy" (*), to enable confidential and anonymous reporting to the Audit Committee and to the Company as appropriate.</w:t>
      </w:r>
    </w:p>
    <w:p>
      <w:pPr>
        <w:spacing w:after="0" w:line="1" w:lineRule="exact"/>
        <w:rPr>
          <w:rFonts w:ascii="Arial" w:cs="Arial" w:eastAsia="Arial" w:hAnsi="Arial"/>
          <w:sz w:val="17"/>
          <w:szCs w:val="17"/>
          <w:color w:val="auto"/>
        </w:rPr>
      </w:pPr>
    </w:p>
    <w:p>
      <w:pPr>
        <w:jc w:val="both"/>
        <w:ind w:left="620" w:hanging="308"/>
        <w:spacing w:after="0" w:line="261"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Audit Committee reviews and approves all related-party transactions in accordance with the Audit Committee Charter. This review and approval covers all manners of related-party transactions, which are viewed in light of applicable disclosure requirements, independence standards for directors, and applicable Company codes and policies.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Compensation Committee</w:t>
      </w:r>
    </w:p>
    <w:p>
      <w:pPr>
        <w:spacing w:after="0" w:line="283" w:lineRule="exact"/>
        <w:rPr>
          <w:sz w:val="20"/>
          <w:szCs w:val="20"/>
          <w:color w:val="auto"/>
        </w:rPr>
      </w:pPr>
    </w:p>
    <w:p>
      <w:pPr>
        <w:ind w:left="620" w:hanging="308"/>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Company’s Compensation Committee currently includes Mr. Schaum (Chair), Mr. Deur, and Mr. Walker.</w:t>
      </w:r>
    </w:p>
    <w:p>
      <w:pPr>
        <w:spacing w:after="0" w:line="26" w:lineRule="exact"/>
        <w:rPr>
          <w:rFonts w:ascii="Arial" w:cs="Arial" w:eastAsia="Arial" w:hAnsi="Arial"/>
          <w:sz w:val="17"/>
          <w:szCs w:val="17"/>
          <w:color w:val="auto"/>
        </w:rPr>
      </w:pPr>
    </w:p>
    <w:p>
      <w:pPr>
        <w:jc w:val="both"/>
        <w:ind w:left="620" w:hanging="308"/>
        <w:spacing w:after="0" w:line="252"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Compensation Committee met three times during the fiscal year ended December 31, 2024 (and met informally and held other discussions at regularly scheduled Board meetings, and otherwise). The Compensation Committee also met formally in February 2025 in accordance with its responsibilities for executive officer and director compensation. The Compensation Committee is responsible for administering all of the Company’s incentive plans and other compensation arrangements for executive officers of the Company. Additional information regarding functions performed by the Committee is set forth in the following "Compensation Committee Report."</w:t>
      </w:r>
    </w:p>
    <w:p>
      <w:pPr>
        <w:spacing w:after="0" w:line="3" w:lineRule="exact"/>
        <w:rPr>
          <w:rFonts w:ascii="Arial" w:cs="Arial" w:eastAsia="Arial" w:hAnsi="Arial"/>
          <w:sz w:val="17"/>
          <w:szCs w:val="17"/>
          <w:color w:val="auto"/>
        </w:rPr>
      </w:pPr>
    </w:p>
    <w:p>
      <w:pPr>
        <w:ind w:left="620" w:hanging="308"/>
        <w:spacing w:after="0" w:line="252"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Board has affirmatively determined that all members of the Compensation Committee meet the appropriate tests for independence, including those set forth in the NASDAQ Listing Rules.</w:t>
      </w:r>
    </w:p>
    <w:p>
      <w:pPr>
        <w:spacing w:after="0" w:line="1" w:lineRule="exact"/>
        <w:rPr>
          <w:rFonts w:ascii="Arial" w:cs="Arial" w:eastAsia="Arial" w:hAnsi="Arial"/>
          <w:sz w:val="17"/>
          <w:szCs w:val="17"/>
          <w:color w:val="auto"/>
        </w:rPr>
      </w:pPr>
    </w:p>
    <w:p>
      <w:pPr>
        <w:ind w:left="620" w:hanging="308"/>
        <w:spacing w:after="0" w:line="252"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Compensation Committee operates pursuant to the Gentex Corporation Compensation Committee Charter (*), which includes oversight of risks arising from the Company's compensation practices and policies.</w:t>
      </w:r>
    </w:p>
    <w:p>
      <w:pPr>
        <w:spacing w:after="0" w:line="1" w:lineRule="exact"/>
        <w:rPr>
          <w:rFonts w:ascii="Arial" w:cs="Arial" w:eastAsia="Arial" w:hAnsi="Arial"/>
          <w:sz w:val="17"/>
          <w:szCs w:val="17"/>
          <w:color w:val="auto"/>
        </w:rPr>
      </w:pPr>
    </w:p>
    <w:p>
      <w:pPr>
        <w:ind w:left="620" w:hanging="308"/>
        <w:spacing w:after="0" w:line="252"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More information regarding the scope of authority of the Compensation Committee, any delegation of its authority, and the role of executive officers is set forth in the "Compensation Discussion and Analysis" below.</w:t>
      </w:r>
    </w:p>
    <w:p>
      <w:pPr>
        <w:spacing w:after="0" w:line="1" w:lineRule="exact"/>
        <w:rPr>
          <w:rFonts w:ascii="Arial" w:cs="Arial" w:eastAsia="Arial" w:hAnsi="Arial"/>
          <w:sz w:val="17"/>
          <w:szCs w:val="17"/>
          <w:color w:val="auto"/>
        </w:rPr>
      </w:pPr>
    </w:p>
    <w:p>
      <w:pPr>
        <w:jc w:val="both"/>
        <w:ind w:left="620" w:hanging="308"/>
        <w:spacing w:after="0" w:line="254"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Compensation Committee has authority under the Compensation Committee Charter to obtain the advice of compensation consultants. In the last year, consistent with the Compensation Committee Charter, the Compensation Committee retained an independent compensation consultant, Mercer (US) Inc. ("Mercer") to advise on certain compensation matters. Mercer's engagement has from time to time included: an ongoing assessment of the Company's existing compensation program; a competitive analysis of a peer-group of publicly-traded organizations, including base salaries, annual incentives, and long-term incentives; plan design alternatives; pay trends; performance metrics; stock ownership guidelines; and employment agreements; and reporting on, and disclosures with respect to, the same, including certain recommendations for potential changes to officer and director compensation. The Compensation Committee did consider the independence of Mercer in assessing the information and recommendations provided by Mercer as set forth herein. Mercer has provided peer group and industry compensation data to both management and the Compensation Committee for executive officers and directors. Such data has been used by the Compensation Committee as a frame of reference for adjusting compensation as more fully described herein, including establishing base pay, annual cash bonuses, and long-term equity incentives of officers and compensation of directors.</w:t>
      </w:r>
    </w:p>
    <w:p>
      <w:pPr>
        <w:spacing w:after="0" w:line="196" w:lineRule="exact"/>
        <w:rPr>
          <w:rFonts w:ascii="Arial" w:cs="Arial" w:eastAsia="Arial" w:hAnsi="Arial"/>
          <w:sz w:val="17"/>
          <w:szCs w:val="17"/>
          <w:color w:val="auto"/>
        </w:rPr>
      </w:pPr>
    </w:p>
    <w:p>
      <w:pPr>
        <w:ind w:left="620" w:hanging="308"/>
        <w:spacing w:after="0" w:line="270"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Board, based on the recommendation of the Compensation Committee, has also adopted "Stock Ownership Guidelines" (*), an "Anti-Hedging and Anti-Pledging Policy" (*) and an Incentive-Based Compensation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1" w:right="339" w:bottom="1440" w:gutter="0" w:footer="0" w:header="0"/>
        </w:sectPr>
      </w:pPr>
    </w:p>
    <w:bookmarkStart w:id="13" w:name="page14"/>
    <w:bookmarkEnd w:id="13"/>
    <w:p>
      <w:pPr>
        <w:ind w:left="620"/>
        <w:spacing w:after="0" w:line="262" w:lineRule="auto"/>
        <w:rPr>
          <w:sz w:val="20"/>
          <w:szCs w:val="20"/>
          <w:color w:val="auto"/>
        </w:rPr>
      </w:pPr>
      <w:r>
        <w:rPr>
          <w:rFonts w:ascii="Arial" w:cs="Arial" w:eastAsia="Arial" w:hAnsi="Arial"/>
          <w:sz w:val="17"/>
          <w:szCs w:val="17"/>
          <w:color w:val="auto"/>
        </w:rPr>
        <w:t>Recoupment Policy (*), adopted to comply with the SEC approved NASDAQ listing standards requiring adoption of a so-called clawback policy.</w:t>
      </w:r>
    </w:p>
    <w:p>
      <w:pPr>
        <w:spacing w:after="0" w:line="1" w:lineRule="exact"/>
        <w:rPr>
          <w:sz w:val="20"/>
          <w:szCs w:val="20"/>
          <w:color w:val="auto"/>
        </w:rPr>
      </w:pPr>
    </w:p>
    <w:p>
      <w:pPr>
        <w:ind w:left="620" w:hanging="308"/>
        <w:spacing w:after="0" w:line="270"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Compensation Committee does not believe that the Company's compensation policies and practices are reasonably likely to have a material adverse effect on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Executive Committee</w:t>
      </w:r>
    </w:p>
    <w:p>
      <w:pPr>
        <w:spacing w:after="0" w:line="244" w:lineRule="exact"/>
        <w:rPr>
          <w:sz w:val="20"/>
          <w:szCs w:val="20"/>
          <w:color w:val="auto"/>
        </w:rPr>
      </w:pPr>
    </w:p>
    <w:p>
      <w:pPr>
        <w:ind w:left="620" w:hanging="308"/>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Company’s Executive Committee currently includes Mr. Schaum (Chair), Mr. Deur, Mr. Downing, and Mr. Walker.</w:t>
      </w:r>
    </w:p>
    <w:p>
      <w:pPr>
        <w:spacing w:after="0" w:line="26" w:lineRule="exact"/>
        <w:rPr>
          <w:rFonts w:ascii="Arial" w:cs="Arial" w:eastAsia="Arial" w:hAnsi="Arial"/>
          <w:sz w:val="17"/>
          <w:szCs w:val="17"/>
          <w:color w:val="auto"/>
        </w:rPr>
      </w:pPr>
    </w:p>
    <w:p>
      <w:pPr>
        <w:ind w:left="620" w:hanging="308"/>
        <w:spacing w:after="0" w:line="252"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Executive Committee met one time during the fiscal year ended December 31, 2024 (and met informally and held other discussions at regularly scheduled Board meetings, and otherwise).</w:t>
      </w:r>
    </w:p>
    <w:p>
      <w:pPr>
        <w:spacing w:after="0" w:line="1" w:lineRule="exact"/>
        <w:rPr>
          <w:rFonts w:ascii="Arial" w:cs="Arial" w:eastAsia="Arial" w:hAnsi="Arial"/>
          <w:sz w:val="17"/>
          <w:szCs w:val="17"/>
          <w:color w:val="auto"/>
        </w:rPr>
      </w:pPr>
    </w:p>
    <w:p>
      <w:pPr>
        <w:ind w:left="620" w:hanging="308"/>
        <w:spacing w:after="0" w:line="252"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Executive Committee has power to act on behalf of the Board during the time between regular meetings of the Board, but is intended to help the Board ensure it is acting on an informed basis.</w:t>
      </w:r>
    </w:p>
    <w:p>
      <w:pPr>
        <w:spacing w:after="0" w:line="1" w:lineRule="exact"/>
        <w:rPr>
          <w:rFonts w:ascii="Arial" w:cs="Arial" w:eastAsia="Arial" w:hAnsi="Arial"/>
          <w:sz w:val="17"/>
          <w:szCs w:val="17"/>
          <w:color w:val="auto"/>
        </w:rPr>
      </w:pPr>
    </w:p>
    <w:p>
      <w:pPr>
        <w:ind w:left="620" w:hanging="308"/>
        <w:spacing w:after="0" w:line="252"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Executive Committee operates pursuant to the Gentex Corporation Executive Committee Charter (*), which contains limitations on the authority of the Executive Committee to act on behalf of the Board.</w:t>
      </w:r>
    </w:p>
    <w:p>
      <w:pPr>
        <w:spacing w:after="0" w:line="1" w:lineRule="exact"/>
        <w:rPr>
          <w:rFonts w:ascii="Arial" w:cs="Arial" w:eastAsia="Arial" w:hAnsi="Arial"/>
          <w:sz w:val="17"/>
          <w:szCs w:val="17"/>
          <w:color w:val="auto"/>
        </w:rPr>
      </w:pPr>
    </w:p>
    <w:p>
      <w:pPr>
        <w:jc w:val="both"/>
        <w:ind w:left="620" w:hanging="308"/>
        <w:spacing w:after="0" w:line="252"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addition to other limitations on the authority of the Executive Committee to act on behalf of the Board, the Executive Committee similarly does not have power to take any action delegated to the Audit, Compensation, and Nominating and Corporate Governance Committees or any action required to be taken by the independent directors.</w:t>
      </w:r>
    </w:p>
    <w:p>
      <w:pPr>
        <w:spacing w:after="0" w:line="2" w:lineRule="exact"/>
        <w:rPr>
          <w:rFonts w:ascii="Arial" w:cs="Arial" w:eastAsia="Arial" w:hAnsi="Arial"/>
          <w:sz w:val="17"/>
          <w:szCs w:val="17"/>
          <w:color w:val="auto"/>
        </w:rPr>
      </w:pPr>
    </w:p>
    <w:p>
      <w:pPr>
        <w:ind w:left="620" w:hanging="308"/>
        <w:spacing w:after="0" w:line="270"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2025, the Executive Committee met primarily to serve as a source and conduit of information for the entire Board and to facilitate discussions and considerations at Board meetings.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Nominating and Corporate Governance Committee</w:t>
      </w:r>
    </w:p>
    <w:p>
      <w:pPr>
        <w:spacing w:after="0" w:line="244" w:lineRule="exact"/>
        <w:rPr>
          <w:sz w:val="20"/>
          <w:szCs w:val="20"/>
          <w:color w:val="auto"/>
        </w:rPr>
      </w:pPr>
    </w:p>
    <w:p>
      <w:pPr>
        <w:ind w:left="620" w:hanging="308"/>
        <w:spacing w:after="0" w:line="262"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Company’s Nominating and Corporate Governance Committee currently includes Ms. Brown (Chair), Mr. Anderson, and Dr. Zang, although such committee regularly receives input from other directors.</w:t>
      </w:r>
    </w:p>
    <w:p>
      <w:pPr>
        <w:spacing w:after="0" w:line="1" w:lineRule="exact"/>
        <w:rPr>
          <w:rFonts w:ascii="Arial" w:cs="Arial" w:eastAsia="Arial" w:hAnsi="Arial"/>
          <w:sz w:val="17"/>
          <w:szCs w:val="17"/>
          <w:color w:val="auto"/>
        </w:rPr>
      </w:pPr>
    </w:p>
    <w:p>
      <w:pPr>
        <w:jc w:val="both"/>
        <w:ind w:left="620" w:hanging="308"/>
        <w:spacing w:after="0" w:line="252"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Nominating and Corporate Governance Committee met formally one time during the fiscal year ended December 31, 2024 (and met informally and held other discussions at regularly scheduled Board meetings, and otherwise, including consideration of, and discussions/interviews with, potential candidates for nomination to the Board). The Nominating and Corporate Governance Committee is responsible for identifying and recommending qualified individuals to serve as members of the Company’s Board and met formally in February 2025 in accordance with such responsibilities (while also providing the opportunity for other Board members to meet with/interview potential candidates).</w:t>
      </w:r>
    </w:p>
    <w:p>
      <w:pPr>
        <w:spacing w:after="0" w:line="4" w:lineRule="exact"/>
        <w:rPr>
          <w:rFonts w:ascii="Arial" w:cs="Arial" w:eastAsia="Arial" w:hAnsi="Arial"/>
          <w:sz w:val="17"/>
          <w:szCs w:val="17"/>
          <w:color w:val="auto"/>
        </w:rPr>
      </w:pPr>
    </w:p>
    <w:p>
      <w:pPr>
        <w:ind w:left="620" w:hanging="308"/>
        <w:spacing w:after="0" w:line="252"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Board has affirmatively determined that all members of the Nominating and Corporate Governance Committee meet the appropriate tests for independence, including those set forth in the NASDAQ Listing Rules.</w:t>
      </w:r>
    </w:p>
    <w:p>
      <w:pPr>
        <w:spacing w:after="0" w:line="1" w:lineRule="exact"/>
        <w:rPr>
          <w:rFonts w:ascii="Arial" w:cs="Arial" w:eastAsia="Arial" w:hAnsi="Arial"/>
          <w:sz w:val="17"/>
          <w:szCs w:val="17"/>
          <w:color w:val="auto"/>
        </w:rPr>
      </w:pPr>
    </w:p>
    <w:p>
      <w:pPr>
        <w:jc w:val="both"/>
        <w:ind w:left="620" w:hanging="308"/>
        <w:spacing w:after="0" w:line="252"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Nominating and Corporate Governance Committee operates pursuant to the Gentex Corporation Nominating and Corporate Governance Committee Charter (*), which includes oversight of the Company's environmental, social and corporate governance (ESG) and sustainability efforts. The Board has always had oversight of, and remains engaged with respect to, the Company's ESG and sustainability efforts, but now receives additional support from the Nominating and Corporate Governance Committee in ESG and sustainability.</w:t>
      </w:r>
    </w:p>
    <w:p>
      <w:pPr>
        <w:spacing w:after="0" w:line="3" w:lineRule="exact"/>
        <w:rPr>
          <w:rFonts w:ascii="Arial" w:cs="Arial" w:eastAsia="Arial" w:hAnsi="Arial"/>
          <w:sz w:val="17"/>
          <w:szCs w:val="17"/>
          <w:color w:val="auto"/>
        </w:rPr>
      </w:pPr>
    </w:p>
    <w:p>
      <w:pPr>
        <w:jc w:val="both"/>
        <w:ind w:left="620" w:hanging="308"/>
        <w:spacing w:after="0" w:line="252"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Nominating and Corporate Governance Committee has adopted certain procedures contained in a document called "Selection Process for Board Candidates" (*) to consider candidates for director nominations. Generally, the Nominating and Corporate Governance Committee identifies candidates from a variety of resources to ensure a diverse pool of candidates, with support of the other Board members and management, as needed. Candidates that meet the established criteria are identified and presented to the entire Nominating and Corporate Governance Committee. The Nominating and Corporate Governance Committee, with other Board members involved as well, will then conduct interviews and reviews, as appropriate and necessary. The Nominating and Corporate Governance Committee considers and approves of the most qualified candidates so it can make its recommendations to the full Board.</w:t>
      </w:r>
    </w:p>
    <w:p>
      <w:pPr>
        <w:spacing w:after="0" w:line="5" w:lineRule="exact"/>
        <w:rPr>
          <w:rFonts w:ascii="Arial" w:cs="Arial" w:eastAsia="Arial" w:hAnsi="Arial"/>
          <w:sz w:val="17"/>
          <w:szCs w:val="17"/>
          <w:color w:val="auto"/>
        </w:rPr>
      </w:pPr>
    </w:p>
    <w:p>
      <w:pPr>
        <w:jc w:val="both"/>
        <w:ind w:left="620" w:hanging="308"/>
        <w:spacing w:after="0" w:line="252"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Nominating and Corporate Governance Committee has established certain qualifications for candidates, which are contained in a document called "Position Profile of a Member of the Board of Directors" (*). Those required qualifications include: working and/or experience with an entrepreneurial company; high level of personal and professional integrity; successful and distinguished business management career (using the Company's core principles); understanding of the Company's markets; and ability to work effectively with current Board members. The Position Profile also sets forth other desirable experience and qualifications, including gender, race, ethnic, and country of origin diversity.</w:t>
      </w:r>
    </w:p>
    <w:p>
      <w:pPr>
        <w:spacing w:after="0" w:line="4" w:lineRule="exact"/>
        <w:rPr>
          <w:rFonts w:ascii="Arial" w:cs="Arial" w:eastAsia="Arial" w:hAnsi="Arial"/>
          <w:sz w:val="17"/>
          <w:szCs w:val="17"/>
          <w:color w:val="auto"/>
        </w:rPr>
      </w:pPr>
    </w:p>
    <w:p>
      <w:pPr>
        <w:jc w:val="both"/>
        <w:ind w:left="620" w:hanging="308"/>
        <w:spacing w:after="0" w:line="261"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Nominating and Corporate Governance Committee continually refines its on-boarding process for new directors, including new Board members being invited to attend committee meetings so as to allow such new Board Members the opportunity to better understand the Company and Board operations.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1" w:right="339" w:bottom="1440" w:gutter="0" w:footer="0" w:header="0"/>
        </w:sectPr>
      </w:pPr>
    </w:p>
    <w:bookmarkStart w:id="14" w:name="page15"/>
    <w:bookmarkEnd w:id="14"/>
    <w:p>
      <w:pPr>
        <w:ind w:left="620" w:hanging="308"/>
        <w:spacing w:after="0" w:line="262"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Nominating and Corporate Governance Committee has not, to date, paid any third party a fee to assist in identifying and evaluating nominees, but has the authority to do so.</w:t>
      </w:r>
    </w:p>
    <w:p>
      <w:pPr>
        <w:spacing w:after="0" w:line="1" w:lineRule="exact"/>
        <w:rPr>
          <w:rFonts w:ascii="Arial" w:cs="Arial" w:eastAsia="Arial" w:hAnsi="Arial"/>
          <w:sz w:val="17"/>
          <w:szCs w:val="17"/>
          <w:color w:val="auto"/>
        </w:rPr>
      </w:pPr>
    </w:p>
    <w:p>
      <w:pPr>
        <w:ind w:left="620" w:hanging="308"/>
        <w:spacing w:after="0" w:line="252"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Nominating and Corporate Governance Committee has not received any potential director candidates for nomination from any shareholder that beneficially owns more than five (5) percent of the Company's common stock.</w:t>
      </w:r>
    </w:p>
    <w:p>
      <w:pPr>
        <w:spacing w:after="0" w:line="1" w:lineRule="exact"/>
        <w:rPr>
          <w:rFonts w:ascii="Arial" w:cs="Arial" w:eastAsia="Arial" w:hAnsi="Arial"/>
          <w:sz w:val="17"/>
          <w:szCs w:val="17"/>
          <w:color w:val="auto"/>
        </w:rPr>
      </w:pPr>
    </w:p>
    <w:p>
      <w:pPr>
        <w:jc w:val="both"/>
        <w:ind w:left="620" w:hanging="308"/>
        <w:spacing w:after="0" w:line="252"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Nominating and Corporate Governance Committee (and the entire Board) is committed to maintaining diversity on the Board. As such, the Nominating and Corporate Governance Committee will continue to avail itself of a variety of resources in its efforts to identify qualified and diverse director candidates. Candidates are sought not only in traditional corporate environments, but also other environments such as government, academia, private enterprise, nonprofit organizations, and a variety of professions. In order to promote diversity, the Nominating and Corporate Governance Committee is: willing to consider exceptions to the Board Attendance and Overboarding Policy for appropriate candidates; considering search firms with a track record of identifying qualified, diverse director candidates; as appropriate, seeking to engage with organizations representing the interests of women and minorities; and periodically reviewing its processes and procedures to ensure there are no structural impediments to increasing Board diversity. As a result of such processes and procedures, the Company not only has a highly qualified and capable Board, but also a diverse Board with two female directors and three other diverse directors. The Nominating and Corporate Governance Committee believes the processes and procedures established have created an effective and diverse Board.</w:t>
      </w:r>
    </w:p>
    <w:p>
      <w:pPr>
        <w:spacing w:after="0" w:line="8" w:lineRule="exact"/>
        <w:rPr>
          <w:rFonts w:ascii="Arial" w:cs="Arial" w:eastAsia="Arial" w:hAnsi="Arial"/>
          <w:sz w:val="17"/>
          <w:szCs w:val="17"/>
          <w:color w:val="auto"/>
        </w:rPr>
      </w:pPr>
    </w:p>
    <w:p>
      <w:pPr>
        <w:jc w:val="both"/>
        <w:ind w:left="620" w:hanging="308"/>
        <w:spacing w:after="0" w:line="252"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Nominating and Corporate Governance Committee will consider nominees for the Board from a variety of sources, including current directors, management, retained third-party search firms, and shareholders. The Nominating and Corporate Governance Committee avails itself of a variety of available resources for candidates (and from non-executive positions and/or non-traditional environments). If you want to recommend a director candidate, you may do so in accordance with the Company’s procedures or the Company’s Restated Articles of Incorporation. If a shareholder desires to recommend a candidate for consideration by the Nominating and Corporate Governance Committee for inclusion in the Company’s 2026 Proxy Statement as a Board nominee, that recommendation should be submitted in writing, together with appropriate biographical information, to the Chair of the Nominating and Corporate Governance Committee, c/o Corporate Secretary’s Office, Gentex Corporation, 600 North Centennial Street, Zeeland, Michigan 49464. Any such nominations should be received by the Chair of the Nominating and Corporate Governance Committee by no later than December 31, 2025, to allow adequate time for consideration of the nominee. To comply with the universal proxy rules, shareholders who intend to solicit proxies in support of director nominees other than the Company's nominees must provide notice that sets forth the information required by Rule 14a-19 under the Securities Exchange Act of 1934 by no later than March 16, 2026. Other nominations by shareholders for any directorship may be submitted to the Board by written notice as set forth in the Company’s Restated Articles of Incorporation and Bylaws, or pursuant to the rules and regulations promulgated under the Securities Exchange Act of 1934.</w:t>
      </w:r>
    </w:p>
    <w:p>
      <w:pPr>
        <w:spacing w:after="0" w:line="11" w:lineRule="exact"/>
        <w:rPr>
          <w:rFonts w:ascii="Arial" w:cs="Arial" w:eastAsia="Arial" w:hAnsi="Arial"/>
          <w:sz w:val="17"/>
          <w:szCs w:val="17"/>
          <w:color w:val="auto"/>
        </w:rPr>
      </w:pPr>
    </w:p>
    <w:p>
      <w:pPr>
        <w:ind w:left="620" w:hanging="308"/>
        <w:spacing w:after="0" w:line="270"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Nominating and Corporate Governance Committee has corporate governance responsibilities as delegated by the Board, including oversight of ESG matters and sustainability issues.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Codes</w:t>
      </w:r>
    </w:p>
    <w:p>
      <w:pPr>
        <w:spacing w:after="0" w:line="244" w:lineRule="exact"/>
        <w:rPr>
          <w:sz w:val="20"/>
          <w:szCs w:val="20"/>
          <w:color w:val="auto"/>
        </w:rPr>
      </w:pPr>
    </w:p>
    <w:p>
      <w:pPr>
        <w:jc w:val="both"/>
        <w:ind w:left="620" w:right="20" w:hanging="308"/>
        <w:spacing w:after="0" w:line="259"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Board has adopted a "Code of Ethics for Certain Senior Officers" (*) that applies to certain of the Company’s officers, including the chief executive officer, principal financial officer and principal accounting officer. Information concerning any alleged violations is to be reported to the Audit Committee.</w:t>
      </w:r>
    </w:p>
    <w:p>
      <w:pPr>
        <w:spacing w:after="0" w:line="1" w:lineRule="exact"/>
        <w:rPr>
          <w:rFonts w:ascii="Arial" w:cs="Arial" w:eastAsia="Arial" w:hAnsi="Arial"/>
          <w:sz w:val="17"/>
          <w:szCs w:val="17"/>
          <w:color w:val="auto"/>
        </w:rPr>
      </w:pPr>
    </w:p>
    <w:p>
      <w:pPr>
        <w:ind w:left="620" w:right="140" w:hanging="308"/>
        <w:spacing w:after="0" w:line="252"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 has also adopted a "Code of Business Conduct and Ethics" (*). This Code applies to all directors, officers and employees of the Company.</w:t>
      </w:r>
    </w:p>
    <w:p>
      <w:pPr>
        <w:spacing w:after="0" w:line="1" w:lineRule="exact"/>
        <w:rPr>
          <w:rFonts w:ascii="Arial" w:cs="Arial" w:eastAsia="Arial" w:hAnsi="Arial"/>
          <w:sz w:val="17"/>
          <w:szCs w:val="17"/>
          <w:color w:val="auto"/>
        </w:rPr>
      </w:pPr>
    </w:p>
    <w:p>
      <w:pPr>
        <w:ind w:left="620" w:hanging="308"/>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 waivers of either of the foregoing codes have occurred to date.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Shareholder Communication with Members of the Board</w:t>
      </w:r>
    </w:p>
    <w:p>
      <w:pPr>
        <w:spacing w:after="0" w:line="244" w:lineRule="exact"/>
        <w:rPr>
          <w:sz w:val="20"/>
          <w:szCs w:val="20"/>
          <w:color w:val="auto"/>
        </w:rPr>
      </w:pPr>
    </w:p>
    <w:p>
      <w:pPr>
        <w:ind w:left="620" w:hanging="308"/>
        <w:spacing w:after="0" w:line="289"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You may contact any of our directors by writing them: Board, c/o Corporate Secretary’s Office, Gentex Corporation, 600 North Centennial, Zeeland, Michigan 49464.</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Personal Loans to Executive Officers and Directors</w:t>
      </w:r>
    </w:p>
    <w:p>
      <w:pPr>
        <w:spacing w:after="0" w:line="244" w:lineRule="exact"/>
        <w:rPr>
          <w:sz w:val="20"/>
          <w:szCs w:val="20"/>
          <w:color w:val="auto"/>
        </w:rPr>
      </w:pPr>
    </w:p>
    <w:p>
      <w:pPr>
        <w:ind w:left="620" w:hanging="308"/>
        <w:spacing w:after="0" w:line="289"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Company complies with and will operate in a manner consistent with an act of legislation outlawing extensions of credit in the form of personal loans to or for its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1"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auto"/>
        </w:rPr>
        <w:t>Director and Executive Officer Stock Transactions</w:t>
      </w:r>
    </w:p>
    <w:p>
      <w:pPr>
        <w:spacing w:after="0" w:line="244" w:lineRule="exact"/>
        <w:rPr>
          <w:sz w:val="20"/>
          <w:szCs w:val="20"/>
          <w:color w:val="auto"/>
        </w:rPr>
      </w:pPr>
    </w:p>
    <w:p>
      <w:pPr>
        <w:jc w:val="both"/>
        <w:ind w:left="620" w:hanging="308"/>
        <w:spacing w:after="0" w:line="262"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Under the regulations of the SEC, directors and executive officers are required to file notice with the SEC of any purchase or sale of the Company’s stock. Information on filings made by any of our directors or executive officers can be found on the Company’s web site under "SEC Filings" at </w:t>
      </w:r>
      <w:r>
        <w:rPr>
          <w:rFonts w:ascii="Arial" w:cs="Arial" w:eastAsia="Arial" w:hAnsi="Arial"/>
          <w:sz w:val="17"/>
          <w:szCs w:val="17"/>
          <w:u w:val="single" w:color="auto"/>
          <w:color w:val="auto"/>
        </w:rPr>
        <w:t>http://ir.gentex.com</w:t>
      </w:r>
      <w:r>
        <w:rPr>
          <w:rFonts w:ascii="Arial" w:cs="Arial" w:eastAsia="Arial" w:hAnsi="Arial"/>
          <w:sz w:val="17"/>
          <w:szCs w:val="17"/>
          <w:color w:val="auto"/>
        </w:rPr>
        <w:t>. The Company has in place an Anti-Hedging and Anti-Pledging Policy(*) which prohibits directors and officers from engaging in certain transactions such as puts, calls, options, other derivative securities, collars, forward sales contracts, and short selling with respect to the Company's stock. See "Compensation Discussion and Analysis" below.</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Insider Trading Policies</w:t>
      </w:r>
    </w:p>
    <w:p>
      <w:pPr>
        <w:spacing w:after="0" w:line="244" w:lineRule="exact"/>
        <w:rPr>
          <w:sz w:val="20"/>
          <w:szCs w:val="20"/>
          <w:color w:val="auto"/>
        </w:rPr>
      </w:pPr>
    </w:p>
    <w:p>
      <w:pPr>
        <w:jc w:val="both"/>
        <w:ind w:left="620" w:hanging="308"/>
        <w:spacing w:after="0" w:line="262"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Board has adopted the Gentex Corporation Policy on Insider Trading addressing the trading, or causing the trading, of the Company’s securities. The Policy on Insider Trading applies to all directors, officers and certain other employees of the Company. This Policy on Insider Trading has been reasonably designed to promote compliance with insider trading laws, rules and regulations, as well as NASDAQ listing standards. This Policy on Insider Trading is attached as Exhibit 19.1 to the Company’s Annual Report on Form 10-K for the year ended December 31, 2024, filed with the SEC on February 25, 2025.</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Sustainability</w:t>
      </w:r>
    </w:p>
    <w:p>
      <w:pPr>
        <w:spacing w:after="0" w:line="231" w:lineRule="exact"/>
        <w:rPr>
          <w:sz w:val="20"/>
          <w:szCs w:val="20"/>
          <w:color w:val="auto"/>
        </w:rPr>
      </w:pPr>
    </w:p>
    <w:p>
      <w:pPr>
        <w:jc w:val="both"/>
        <w:ind w:left="620" w:hanging="308"/>
        <w:spacing w:after="0" w:line="249"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 has a Sustainability section of its website (https://www.gentex.com/about/sustainability) to provide insight into how the Company is looking out for the environment, while at the same time striving to execute a wide variety of social responsibility initiatives. The Company's Sustainability Report, published each year and available on the Company's website, provides significant details regarding the Company's approach to sustainability.</w:t>
      </w:r>
    </w:p>
    <w:p>
      <w:pPr>
        <w:spacing w:after="0" w:line="3" w:lineRule="exact"/>
        <w:rPr>
          <w:rFonts w:ascii="Arial" w:cs="Arial" w:eastAsia="Arial" w:hAnsi="Arial"/>
          <w:sz w:val="17"/>
          <w:szCs w:val="17"/>
          <w:color w:val="auto"/>
        </w:rPr>
      </w:pPr>
    </w:p>
    <w:p>
      <w:pPr>
        <w:ind w:left="620" w:hanging="308"/>
        <w:spacing w:after="0" w:line="237"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 makes intentional decisions that reflect the desire to be responsible with all resources, including complying with all laws, upholding international human rights conventions, and seeking to ensure the Company’s supply chain operates in a similar fashion.</w:t>
      </w:r>
    </w:p>
    <w:p>
      <w:pPr>
        <w:jc w:val="both"/>
        <w:ind w:left="620" w:hanging="308"/>
        <w:spacing w:after="0" w:line="242"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 meets or exceeds all relevant legal and customer requirements, which are significant in the Company's primary industries. Doing so necessitates continual improvement in minimizing waste and preventing pollution. In fact, the Company periodically establishes objectives and targets to minimize pollution and adverse impacts on the environment associated with its business activities.</w:t>
      </w:r>
    </w:p>
    <w:p>
      <w:pPr>
        <w:spacing w:after="0" w:line="1" w:lineRule="exact"/>
        <w:rPr>
          <w:rFonts w:ascii="Arial" w:cs="Arial" w:eastAsia="Arial" w:hAnsi="Arial"/>
          <w:sz w:val="17"/>
          <w:szCs w:val="17"/>
          <w:color w:val="auto"/>
        </w:rPr>
      </w:pPr>
    </w:p>
    <w:p>
      <w:pPr>
        <w:jc w:val="both"/>
        <w:ind w:left="620" w:hanging="308"/>
        <w:spacing w:after="0" w:line="242"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Gentex Environmental Management System (GEMS), the Company's environmental management system, is based on ISO 14001 (international environmental standard). This system governs environmental performance by addressing the impact of the Company's activities, products, and services on the environment. At each Company facility, environmental impact is measured and improved upon annually by eliminating waste and emissions, maximizing efficiency of processes and resources, and increased recycling and reuse. The foregoing has allowed the Company to establish long-term measures for minimizing the negative effects on the environment, while maximizing positive outputs for the communities in which the Company operates. Various metrics are tracked to gauge the environmental performance of the Company’s facilities, including: electricity use; process water use; natural gas use; VOC air emissions; and greenhouse gas emissions (both those directly controlled and those from electricity usage). Each year GEMS annual goals are disclosed and then reported in the Company’s Sustainability Report.</w:t>
      </w:r>
    </w:p>
    <w:p>
      <w:pPr>
        <w:spacing w:after="0" w:line="3" w:lineRule="exact"/>
        <w:rPr>
          <w:rFonts w:ascii="Arial" w:cs="Arial" w:eastAsia="Arial" w:hAnsi="Arial"/>
          <w:sz w:val="17"/>
          <w:szCs w:val="17"/>
          <w:color w:val="auto"/>
        </w:rPr>
      </w:pPr>
    </w:p>
    <w:p>
      <w:pPr>
        <w:ind w:left="620" w:hanging="308"/>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Company's Michigan facilities are ISO 14001 certified.</w:t>
      </w:r>
    </w:p>
    <w:p>
      <w:pPr>
        <w:spacing w:after="0" w:line="10" w:lineRule="exact"/>
        <w:rPr>
          <w:rFonts w:ascii="Arial" w:cs="Arial" w:eastAsia="Arial" w:hAnsi="Arial"/>
          <w:sz w:val="17"/>
          <w:szCs w:val="17"/>
          <w:color w:val="auto"/>
        </w:rPr>
      </w:pPr>
    </w:p>
    <w:p>
      <w:pPr>
        <w:jc w:val="both"/>
        <w:ind w:left="620" w:hanging="308"/>
        <w:spacing w:after="0" w:line="242"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 understands that energy use and manufacturing are large contributors of the Company's overall greenhouse gas emissions. As such, the Company remains committed to improving energy-efficiency. To that end, the Company has announced the following carbon reduction and neutrality goals:</w:t>
      </w:r>
    </w:p>
    <w:p>
      <w:pPr>
        <w:spacing w:after="0" w:line="1"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color w:val="auto"/>
        </w:rPr>
        <w:t>– By 2026, 15% below 2021 levels</w:t>
      </w:r>
    </w:p>
    <w:p>
      <w:pPr>
        <w:spacing w:after="0" w:line="10"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color w:val="auto"/>
        </w:rPr>
        <w:t>– By 2031, 40% below 2021 levels</w:t>
      </w:r>
    </w:p>
    <w:p>
      <w:pPr>
        <w:spacing w:after="0" w:line="10"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color w:val="auto"/>
        </w:rPr>
        <w:t>– By 2041, 70% below 2021 levels</w:t>
      </w:r>
    </w:p>
    <w:p>
      <w:pPr>
        <w:spacing w:after="0" w:line="10"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color w:val="auto"/>
        </w:rPr>
        <w:t>– By 2049, carbon neutrality</w:t>
      </w:r>
    </w:p>
    <w:p>
      <w:pPr>
        <w:spacing w:after="0" w:line="10" w:lineRule="exact"/>
        <w:rPr>
          <w:rFonts w:ascii="Arial" w:cs="Arial" w:eastAsia="Arial" w:hAnsi="Arial"/>
          <w:sz w:val="17"/>
          <w:szCs w:val="17"/>
          <w:color w:val="auto"/>
        </w:rPr>
      </w:pPr>
    </w:p>
    <w:p>
      <w:pPr>
        <w:jc w:val="both"/>
        <w:ind w:left="620" w:hanging="308"/>
        <w:spacing w:after="0" w:line="252"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 implements efficient alternatives for capital equipment, uses automated building management systems to use less energy, and has put in place extremely efficient lights and HVAC equipment. The Company also participates in the local Energy Smart Program, which promotes the implementation of progressive energy efficiency projects, including achieving the maximum goal possible for lighting and HVAC improvements, compressed air leak audits, and building control systems. The Company also converted one of its manufacturing facilities to be powered entirely by renewable energy.</w:t>
      </w:r>
    </w:p>
    <w:p>
      <w:pPr>
        <w:spacing w:after="0" w:line="3" w:lineRule="exact"/>
        <w:rPr>
          <w:rFonts w:ascii="Arial" w:cs="Arial" w:eastAsia="Arial" w:hAnsi="Arial"/>
          <w:sz w:val="17"/>
          <w:szCs w:val="17"/>
          <w:color w:val="auto"/>
        </w:rPr>
      </w:pPr>
    </w:p>
    <w:p>
      <w:pPr>
        <w:ind w:left="620" w:hanging="308"/>
        <w:spacing w:after="0" w:line="237" w:lineRule="auto"/>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At its primary facilities, the Company purchases specified levels of renewable energy (including wind and landfill gas).</w:t>
      </w:r>
    </w:p>
    <w:p>
      <w:pPr>
        <w:ind w:left="620" w:hanging="308"/>
        <w:spacing w:after="0" w:line="254"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Electricity and natural gas usage, greenhouse gas and VOC emissions, and process water use are all tracked and disclosed in the Company’s Sustainability Report.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16" w:name="page17"/>
    <w:bookmarkEnd w:id="16"/>
    <w:p>
      <w:pPr>
        <w:ind w:left="620" w:hanging="308"/>
        <w:spacing w:after="0" w:line="254"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 also has robust waste and recycling strategies, tracking solid waste to landfill, solid waste recycled, and regulated waste. As a part of its strategies, the Company has committed to the following landfill avoidance goals:</w:t>
      </w:r>
    </w:p>
    <w:p>
      <w:pPr>
        <w:spacing w:after="0" w:line="1"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color w:val="auto"/>
        </w:rPr>
        <w:t>– By 2026, 20% below 2021 levels</w:t>
      </w:r>
    </w:p>
    <w:p>
      <w:pPr>
        <w:spacing w:after="0" w:line="10"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color w:val="auto"/>
        </w:rPr>
        <w:t>– By 2031, 60% below 2021 levels</w:t>
      </w:r>
    </w:p>
    <w:p>
      <w:pPr>
        <w:spacing w:after="0" w:line="10"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color w:val="auto"/>
        </w:rPr>
        <w:t>– By 2041, 90% below 2021 levels</w:t>
      </w:r>
    </w:p>
    <w:p>
      <w:pPr>
        <w:spacing w:after="0" w:line="10"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color w:val="auto"/>
        </w:rPr>
        <w:t>– By 2045, zero landfill waste</w:t>
      </w:r>
    </w:p>
    <w:p>
      <w:pPr>
        <w:spacing w:after="0" w:line="10" w:lineRule="exact"/>
        <w:rPr>
          <w:rFonts w:ascii="Arial" w:cs="Arial" w:eastAsia="Arial" w:hAnsi="Arial"/>
          <w:sz w:val="17"/>
          <w:szCs w:val="17"/>
          <w:color w:val="auto"/>
        </w:rPr>
      </w:pPr>
    </w:p>
    <w:p>
      <w:pPr>
        <w:ind w:left="620" w:hanging="308"/>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Solid waste to landfill, solid waste recycled, and regulated waste are also tracked and disclosed in the Company’s Sustainability Report.</w:t>
      </w:r>
    </w:p>
    <w:p>
      <w:pPr>
        <w:spacing w:after="0" w:line="20" w:lineRule="exact"/>
        <w:rPr>
          <w:rFonts w:ascii="Arial" w:cs="Arial" w:eastAsia="Arial" w:hAnsi="Arial"/>
          <w:sz w:val="17"/>
          <w:szCs w:val="17"/>
          <w:color w:val="auto"/>
        </w:rPr>
      </w:pPr>
    </w:p>
    <w:p>
      <w:pPr>
        <w:jc w:val="both"/>
        <w:ind w:left="620" w:hanging="308"/>
        <w:spacing w:after="0" w:line="224" w:lineRule="auto"/>
        <w:tabs>
          <w:tab w:leader="none" w:pos="615" w:val="left"/>
        </w:tabs>
        <w:numPr>
          <w:ilvl w:val="0"/>
          <w:numId w:val="28"/>
        </w:numPr>
        <w:rPr>
          <w:rFonts w:ascii="Times New Roman" w:cs="Times New Roman" w:eastAsia="Times New Roman" w:hAnsi="Times New Roman"/>
          <w:sz w:val="21"/>
          <w:szCs w:val="21"/>
          <w:color w:val="auto"/>
        </w:rPr>
      </w:pPr>
      <w:r>
        <w:rPr>
          <w:rFonts w:ascii="Arial" w:cs="Arial" w:eastAsia="Arial" w:hAnsi="Arial"/>
          <w:sz w:val="17"/>
          <w:szCs w:val="17"/>
          <w:color w:val="auto"/>
        </w:rPr>
        <w:t>Each year the Company also undertakes other sustainability initiatives which are also disclosed in the Company’s Sustainability Report, including actions related to energy, waste stewardship, water management, and environmental protection. Regarding energy, the Company: utilizes software-managed and occupancy-sensor controlled lighting in all facilities; has air economizers and energy recovery units in HVAC systems; utilizes energy efficient fluorescent lighting; has certain white material roofs to reflect sunlight; has insulated metal panel systems for exterior walls (for energy efficiency); captures excess heat from compressed air systems and uses it to preheat/temper water used in production; takes excess water from production processes to use in boiler/snow melt water; and installed a centralized water chiller plant to lower energy use. Regarding waste stewardship, the Company improved its cleaning method for certain products to reduce material usage preventing thousands of pounds of additional waste material and uses recycled materials in facility carpets. In terms of waste management, the Company: put in place a water recovery system that significantly reduced overall water usage; collects storm water to reduce discharge into municipal drain systems; implemented irrigation software to monitor weather conditions thereby reducing water consumption; and diligently works to monitor and reduce potential pollutants in its facilities. In terms of environmental protection, the Company has: integrated “green roofs”; adopted a highway to clean waste from public lands; constructed wetland and wildlife habitat areas; and acquired property which includes natural wetlands. As regards transportation, the Company maintains: 30 electric vehicle charging stations; a bicycle fleet for travel between facilities; a bus shelter to encourage bus ridership; and Sweed banding choppers at certain facilities to reduce the frequency of trips for recycling.</w:t>
      </w:r>
    </w:p>
    <w:p>
      <w:pPr>
        <w:spacing w:after="0" w:line="5" w:lineRule="exact"/>
        <w:rPr>
          <w:rFonts w:ascii="Times New Roman" w:cs="Times New Roman" w:eastAsia="Times New Roman" w:hAnsi="Times New Roman"/>
          <w:sz w:val="21"/>
          <w:szCs w:val="21"/>
          <w:color w:val="auto"/>
        </w:rPr>
      </w:pPr>
    </w:p>
    <w:p>
      <w:pPr>
        <w:ind w:left="620" w:hanging="308"/>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 recently engaged a leading platform partner for surveying and tracking sustainability initiatives in the Company's supply base.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Human Capital Management/Social Concerns</w:t>
      </w:r>
    </w:p>
    <w:p>
      <w:pPr>
        <w:spacing w:after="0" w:line="231" w:lineRule="exact"/>
        <w:rPr>
          <w:sz w:val="20"/>
          <w:szCs w:val="20"/>
          <w:color w:val="auto"/>
        </w:rPr>
      </w:pPr>
    </w:p>
    <w:p>
      <w:pPr>
        <w:ind w:left="620" w:hanging="308"/>
        <w:spacing w:after="0" w:line="254"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fosters a collaborative culture founded on devotion to quality and innovation. An inclusive environment is nurtured so that team members can perform, support each other, and continue to grow and learn, including on-the-job training.</w:t>
      </w:r>
    </w:p>
    <w:p>
      <w:pPr>
        <w:spacing w:after="0" w:line="1" w:lineRule="exact"/>
        <w:rPr>
          <w:rFonts w:ascii="Arial" w:cs="Arial" w:eastAsia="Arial" w:hAnsi="Arial"/>
          <w:sz w:val="17"/>
          <w:szCs w:val="17"/>
          <w:color w:val="auto"/>
        </w:rPr>
      </w:pPr>
    </w:p>
    <w:p>
      <w:pPr>
        <w:jc w:val="both"/>
        <w:ind w:left="620" w:hanging="308"/>
        <w:spacing w:after="0" w:line="242"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supports an environment of equal opportunity and conducts all practices related to recruitment, hiring, promotion, discipline, and other terms and conditions of employment in a manner which does not discriminate on the basis of race, color, religion, national origin, ethnicity, age, sex, sexual orientation, gender expression, handicap, marital status, military service, height, or weight.</w:t>
      </w:r>
    </w:p>
    <w:p>
      <w:pPr>
        <w:spacing w:after="0" w:line="1" w:lineRule="exact"/>
        <w:rPr>
          <w:rFonts w:ascii="Arial" w:cs="Arial" w:eastAsia="Arial" w:hAnsi="Arial"/>
          <w:sz w:val="17"/>
          <w:szCs w:val="17"/>
          <w:color w:val="auto"/>
        </w:rPr>
      </w:pPr>
    </w:p>
    <w:p>
      <w:pPr>
        <w:jc w:val="both"/>
        <w:ind w:left="620" w:hanging="308"/>
        <w:spacing w:after="0" w:line="243"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This culture is supported by a competitive compensation system that goes beyond base salary and includes for virtually all employees: quarterly profit-sharing bonuses; an extensive equity compensation program that extends to all eligible employees; an employee stock purchase plan; 401(k) plan (or other retirement plan for non-US employees) with Company matching; and tuition reimbursement. In keeping with the Company's core principle of ownership mentality, compensation is structured throughout the organization so that employees win when all of stakeholders win.</w:t>
      </w:r>
    </w:p>
    <w:p>
      <w:pPr>
        <w:spacing w:after="0" w:line="1" w:lineRule="exact"/>
        <w:rPr>
          <w:rFonts w:ascii="Arial" w:cs="Arial" w:eastAsia="Arial" w:hAnsi="Arial"/>
          <w:sz w:val="17"/>
          <w:szCs w:val="17"/>
          <w:color w:val="auto"/>
        </w:rPr>
      </w:pPr>
    </w:p>
    <w:p>
      <w:pPr>
        <w:jc w:val="both"/>
        <w:ind w:left="620" w:hanging="308"/>
        <w:spacing w:after="0"/>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also provides a healthy and safe climate-controlled work environment that includes an on-site wellness center and on-site health clinic at its headquarters. A number of health-related programs are available to employees, including: asthma/COPD management services; diabetes management; "Smart Health," which gives employees and spouses a way to earn wellness credits; and the Gentex Cares+ Employee Assistance Program. The Company has also announced the creation of the Gentex Discovery Preschool, an on-site daycare and preschool designed to provide employees with convenient, cost-effective access to quality day care.</w:t>
      </w:r>
    </w:p>
    <w:p>
      <w:pPr>
        <w:spacing w:after="0" w:line="1" w:lineRule="exact"/>
        <w:rPr>
          <w:rFonts w:ascii="Arial" w:cs="Arial" w:eastAsia="Arial" w:hAnsi="Arial"/>
          <w:sz w:val="17"/>
          <w:szCs w:val="17"/>
          <w:color w:val="auto"/>
        </w:rPr>
      </w:pPr>
    </w:p>
    <w:p>
      <w:pPr>
        <w:jc w:val="both"/>
        <w:ind w:left="620" w:hanging="308"/>
        <w:spacing w:after="0" w:line="245"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Evidence of the Company's commitment to inclusion is its cultivation of a genuine DE&amp;I ethos that allows team members to make a lasting impact in the communities in which the Company operates, all while attracting and retaining diverse talent that can help propel the business forward. While the Company has an environment of equal employment opportunity related to recruitment, hiring, promotion, discipline, and other terms of employment, the commitment to have a skilled and diverse world class workforce goes beyond.</w:t>
      </w:r>
    </w:p>
    <w:p>
      <w:pPr>
        <w:jc w:val="both"/>
        <w:ind w:left="620" w:hanging="308"/>
        <w:spacing w:after="0" w:line="248"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Company's DE&amp;I initiatives are supported by the Vice President of Diversity, Equity, &amp; Inclusion and DE&amp;I Council, which helps implement specific diversity programs, supports internal training, and creates opportunities to spread awareness throughout the organization. The Company's DE&amp;I Council is led by Mr. Joe Matthews, Vice President of Diversity, Equity, &amp; Inclusion and includes employees from many different parts of the Company. The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1" w:right="339" w:bottom="1440" w:gutter="0" w:footer="0" w:header="0"/>
        </w:sectPr>
      </w:pPr>
    </w:p>
    <w:bookmarkStart w:id="17" w:name="page18"/>
    <w:bookmarkEnd w:id="17"/>
    <w:p>
      <w:pPr>
        <w:ind w:left="308"/>
        <w:spacing w:after="0" w:line="254" w:lineRule="auto"/>
        <w:rPr>
          <w:sz w:val="20"/>
          <w:szCs w:val="20"/>
          <w:color w:val="auto"/>
        </w:rPr>
      </w:pPr>
      <w:r>
        <w:rPr>
          <w:rFonts w:ascii="Arial" w:cs="Arial" w:eastAsia="Arial" w:hAnsi="Arial"/>
          <w:sz w:val="17"/>
          <w:szCs w:val="17"/>
          <w:color w:val="auto"/>
        </w:rPr>
        <w:t>Company's DE&amp;I initiatives are further supported by the DE&amp;I Advisory Board, which is led by Mr. Matthews, and includes various executives, including the CEO, and two external members who are experts in the field of diversity, equity, and inclusion.</w:t>
      </w:r>
    </w:p>
    <w:p>
      <w:pPr>
        <w:spacing w:after="0" w:line="1" w:lineRule="exact"/>
        <w:rPr>
          <w:sz w:val="20"/>
          <w:szCs w:val="20"/>
          <w:color w:val="auto"/>
        </w:rPr>
      </w:pPr>
    </w:p>
    <w:p>
      <w:pPr>
        <w:jc w:val="both"/>
        <w:ind w:left="308" w:hanging="308"/>
        <w:spacing w:after="0"/>
        <w:tabs>
          <w:tab w:leader="none" w:pos="304"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 a part of this DE&amp;I ethos, the Company maintains a growing list of business resource groups (BRGs) comprised of individuals with similar interests or backgrounds that work internally to support one another, develop leadership skills, and enhance cultural awareness. Among current BRGs are Women@Gentex, Gentex V.E.T.S., and Emerging Professionals. In 2023, the Company received a Pillar Award from the Women's Resource Center in Grand Rapids, Michigan for advancing women in the workplace. The Michigan Veterans Affairs agency awarded the Company silver-level veteran friendly employer status for the resources the Company provides to military veterans.</w:t>
      </w:r>
    </w:p>
    <w:p>
      <w:pPr>
        <w:spacing w:after="0" w:line="1" w:lineRule="exact"/>
        <w:rPr>
          <w:rFonts w:ascii="Arial" w:cs="Arial" w:eastAsia="Arial" w:hAnsi="Arial"/>
          <w:sz w:val="17"/>
          <w:szCs w:val="17"/>
          <w:color w:val="auto"/>
        </w:rPr>
      </w:pPr>
    </w:p>
    <w:p>
      <w:pPr>
        <w:jc w:val="both"/>
        <w:ind w:left="308" w:hanging="308"/>
        <w:spacing w:after="0" w:line="245" w:lineRule="auto"/>
        <w:tabs>
          <w:tab w:leader="none" w:pos="304"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2022, Gentex also established a separate DE&amp;I council in its Utah office serve the Company employees that work at the research and development office located there. This separate council has supported several organizations in the local Salt Lake City area, including supporting students from diverse backgrounds and sponsoring events to support global causes. In 2024, the Gentex Salt Lake City DEI Council awarded the first of its Material Science Scholarships in partnership with the University of Utah.</w:t>
      </w:r>
    </w:p>
    <w:p>
      <w:pPr>
        <w:jc w:val="both"/>
        <w:ind w:left="308" w:hanging="308"/>
        <w:spacing w:after="0" w:line="242" w:lineRule="auto"/>
        <w:tabs>
          <w:tab w:leader="none" w:pos="304"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DE&amp;I efforts at the Company extend to the supply base as well, where the Company been recognized for ongoing efforts to increase supplier relationships with certified minority, woman, veteran, and LGBTQ+-owned enterprises. In fact, the Company mentors certain such suppliers to help them develop the business systems and technology improvements necessary to support future growth. The Company is a member of, or otherwise involved in: the Michigan Minority Supplier Development Council; Original Equipment Supplier's Association - Diversity &amp; Inclusion; Board of Governors, Consumer Technology Association - D&amp;I Group; Michigan Diversity Connection; West Michigan Hispanic Chamber of Commerce; and the Great Lakes Women's Business Council.</w:t>
      </w:r>
    </w:p>
    <w:p>
      <w:pPr>
        <w:spacing w:after="0" w:line="2" w:lineRule="exact"/>
        <w:rPr>
          <w:rFonts w:ascii="Arial" w:cs="Arial" w:eastAsia="Arial" w:hAnsi="Arial"/>
          <w:sz w:val="17"/>
          <w:szCs w:val="17"/>
          <w:color w:val="auto"/>
        </w:rPr>
      </w:pPr>
    </w:p>
    <w:p>
      <w:pPr>
        <w:jc w:val="both"/>
        <w:ind w:left="308" w:hanging="308"/>
        <w:spacing w:after="0" w:line="241" w:lineRule="auto"/>
        <w:tabs>
          <w:tab w:leader="none" w:pos="304" w:val="left"/>
        </w:tabs>
        <w:numPr>
          <w:ilvl w:val="0"/>
          <w:numId w:val="30"/>
        </w:numPr>
        <w:rPr>
          <w:rFonts w:ascii="Arial" w:cs="Arial" w:eastAsia="Arial" w:hAnsi="Arial"/>
          <w:sz w:val="17"/>
          <w:szCs w:val="17"/>
          <w:color w:val="auto"/>
        </w:rPr>
      </w:pPr>
      <w:r>
        <w:rPr>
          <w:rFonts w:ascii="Arial" w:cs="Arial" w:eastAsia="Arial" w:hAnsi="Arial"/>
          <w:sz w:val="17"/>
          <w:szCs w:val="17"/>
          <w:color w:val="auto"/>
        </w:rPr>
        <w:t>Hiring rates, voluntary and involuntary turnover rates, internal rates of hiring and promotion, and safety records are measures of the Company's success in human capital management. While hiring and diversity policies are in place as a means to remain on track in terms of appropriate human resources management, the DE&amp;I efforts have furthered the process of creating a welcoming environment so the Company can hire and retain the best people. The Company's Sustainability Report provides more information regarding diversity and corporate responsibility. In an effort to ensure an excellent and increasingly diverse employment base, the Company has added Spanish speaking manufacturing lines, which involve materials for recruiting, orientation, on-boarding, training, and work in the Spanish language. The Company's Corporate Controller and Senior Director of Accounting was honored as one of the 25 Most Influential Latinos in West Michigan for her work to establish the Company's Limited English Proficiency Program. The Company was also presented with a DE&amp;I Champion Award from the MEMA Original Equipment Suppliers Association for championing the spirit of DEI within the organization and in the communities where its employees live.</w:t>
      </w:r>
    </w:p>
    <w:p>
      <w:pPr>
        <w:spacing w:after="0" w:line="7" w:lineRule="exact"/>
        <w:rPr>
          <w:rFonts w:ascii="Arial" w:cs="Arial" w:eastAsia="Arial" w:hAnsi="Arial"/>
          <w:sz w:val="17"/>
          <w:szCs w:val="17"/>
          <w:color w:val="auto"/>
        </w:rPr>
      </w:pPr>
    </w:p>
    <w:p>
      <w:pPr>
        <w:jc w:val="both"/>
        <w:ind w:left="308" w:hanging="308"/>
        <w:spacing w:after="0" w:line="241" w:lineRule="auto"/>
        <w:tabs>
          <w:tab w:leader="none" w:pos="30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Company's DE&amp;I efforts related to actively developing and using minority, women, and veteran-owned suppliers have been acknowledged and recognized by multiple OEM customers. In fact, Toyota Motor Engineering &amp; Manufacturing North America, Inc. has specifically recognized the Company's efforts over the last 10 years to increase supplier relationships with minority business enterprises. The Company has also won supplier diversity awards from Honda, Nissan, and Toyota.</w:t>
      </w:r>
    </w:p>
    <w:p>
      <w:pPr>
        <w:jc w:val="both"/>
        <w:ind w:left="308" w:hanging="308"/>
        <w:spacing w:after="0" w:line="242" w:lineRule="auto"/>
        <w:tabs>
          <w:tab w:leader="none" w:pos="304"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2022, the Company established the Gentex Foundation, which provides financial grants to organizations across the country in support of economic development, children's services, public health, housing assistance and diversity initiatives — among other causes. The Gentex Foundation is managed by a board of directors that will review grant applications with a particular focus on communities where Company employees live and work, consistent with the organization's values of integrity, compassion, innovation and diversity. Employees are encouraged to organize on-site fundraisers and to spend time volunteering at worthy charitable organizations in addition to giving financially. Support is also provided to a number of minority organizations as part of the Company's DE&amp;I efforts and to continue to build an even more diverse and skilled workforce. In 2022, the Gentex Foundation announced the Amanda Clark Scholarship, which will recognize female high school seniors in West Michigan who are pursuing a science, technology, engineering, or math (STEM) degree at a four-year college or university.</w:t>
      </w:r>
    </w:p>
    <w:p>
      <w:pPr>
        <w:spacing w:after="0" w:line="3" w:lineRule="exact"/>
        <w:rPr>
          <w:rFonts w:ascii="Arial" w:cs="Arial" w:eastAsia="Arial" w:hAnsi="Arial"/>
          <w:sz w:val="17"/>
          <w:szCs w:val="17"/>
          <w:color w:val="auto"/>
        </w:rPr>
      </w:pPr>
    </w:p>
    <w:p>
      <w:pPr>
        <w:jc w:val="both"/>
        <w:ind w:left="308" w:hanging="308"/>
        <w:spacing w:after="0" w:line="243" w:lineRule="auto"/>
        <w:tabs>
          <w:tab w:leader="none" w:pos="30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also has an Employee Hardship Fund that is designed to provide financial aid to employees when they experience a disaster or other personal hardship. Any employee can apply for assistance based on several eligibility requirements and receive a grant of up to $5,000. Examples of qualifying events are: natural disasters; house fire; flood damage; vehicle accidents; military deployments; serious illnesses; violent crime victim; domestic abuse; and death of an employee or their spouse or dependent child. The Employee Hardship Fund is supported by the Company, however, it is managed by a third party.</w:t>
      </w:r>
    </w:p>
    <w:p>
      <w:pPr>
        <w:spacing w:after="0" w:line="1" w:lineRule="exact"/>
        <w:rPr>
          <w:rFonts w:ascii="Arial" w:cs="Arial" w:eastAsia="Arial" w:hAnsi="Arial"/>
          <w:sz w:val="17"/>
          <w:szCs w:val="17"/>
          <w:color w:val="auto"/>
        </w:rPr>
      </w:pPr>
    </w:p>
    <w:p>
      <w:pPr>
        <w:jc w:val="both"/>
        <w:ind w:left="308" w:hanging="308"/>
        <w:spacing w:after="0" w:line="245" w:lineRule="auto"/>
        <w:tabs>
          <w:tab w:leader="none" w:pos="30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Company's Board has regular touchpoints with management regarding: employee engagement; workforce planning (including capabilities and skills development); safety; understanding workforce demographics and DE&amp;I strategies; and corporate culture. The Board and management know the right talent is required to implement the Company's strategies. As such, the Board works with management appropriately regarding the approach to, and investment in, human capital that includes recruitment, talent development, retention, and diversity. The Board</w:t>
      </w:r>
    </w:p>
    <w:p>
      <w:pPr>
        <w:spacing w:after="0" w:line="377" w:lineRule="exact"/>
        <w:rPr>
          <w:sz w:val="20"/>
          <w:szCs w:val="20"/>
          <w:color w:val="auto"/>
        </w:rPr>
      </w:pPr>
    </w:p>
    <w:p>
      <w:pPr>
        <w:jc w:val="center"/>
        <w:ind w:right="292"/>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8"/>
          </w:cols>
          <w:pgMar w:left="632" w:top="741" w:right="339" w:bottom="1440" w:gutter="0" w:footer="0" w:header="0"/>
        </w:sectPr>
      </w:pPr>
    </w:p>
    <w:bookmarkStart w:id="18" w:name="page19"/>
    <w:bookmarkEnd w:id="18"/>
    <w:p>
      <w:pPr>
        <w:ind w:left="620"/>
        <w:spacing w:after="0" w:line="254" w:lineRule="auto"/>
        <w:rPr>
          <w:sz w:val="20"/>
          <w:szCs w:val="20"/>
          <w:color w:val="auto"/>
        </w:rPr>
      </w:pPr>
      <w:r>
        <w:rPr>
          <w:rFonts w:ascii="Arial" w:cs="Arial" w:eastAsia="Arial" w:hAnsi="Arial"/>
          <w:sz w:val="17"/>
          <w:szCs w:val="17"/>
          <w:color w:val="auto"/>
        </w:rPr>
        <w:t>and the Nominating and Corporate Governance Committee have access to all levels of employees in the Company in their efforts to properly oversee human capital and DE&amp;I initiatives.</w:t>
      </w:r>
    </w:p>
    <w:p>
      <w:pPr>
        <w:spacing w:after="0" w:line="1" w:lineRule="exact"/>
        <w:rPr>
          <w:sz w:val="20"/>
          <w:szCs w:val="20"/>
          <w:color w:val="auto"/>
        </w:rPr>
      </w:pPr>
    </w:p>
    <w:p>
      <w:pPr>
        <w:jc w:val="both"/>
        <w:ind w:left="620" w:hanging="308"/>
        <w:spacing w:after="0" w:line="241"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Nominating and Corporate Governance Committee has taken, and continues to take, concrete steps to ensure Board diversity, including use of various resources and environments to identify qualified and diverse director candidates. Such candidates are contacted and interviewed in order to maintain a diverse, qualified, and capable Board. The Nominating and Corporate Governance Committee's actions have shown tangible results.</w:t>
      </w:r>
    </w:p>
    <w:p>
      <w:pPr>
        <w:ind w:left="620" w:hanging="308"/>
        <w:spacing w:after="0" w:line="245"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values its people as demonstrated by empowering employees at all levels and making a significant investment in them each day by providing high quality health care (including onsite health care), wellness programs, and state of the art fitness facilities.</w:t>
      </w:r>
    </w:p>
    <w:p>
      <w:pPr>
        <w:jc w:val="both"/>
        <w:ind w:left="620" w:hanging="308"/>
        <w:spacing w:after="0" w:line="242"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not only values employee wellness, but as importantly, employee safety with the Board receiving a report at each Board meeting of total recordable cases, which remain well below industry averages. Prioritizing safety not only improves morale and efficiency, but lowers costs overall as well.</w:t>
      </w:r>
    </w:p>
    <w:p>
      <w:pPr>
        <w:spacing w:after="0" w:line="1" w:lineRule="exact"/>
        <w:rPr>
          <w:rFonts w:ascii="Arial" w:cs="Arial" w:eastAsia="Arial" w:hAnsi="Arial"/>
          <w:sz w:val="17"/>
          <w:szCs w:val="17"/>
          <w:color w:val="auto"/>
        </w:rPr>
      </w:pPr>
    </w:p>
    <w:p>
      <w:pPr>
        <w:ind w:left="620" w:hanging="308"/>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Board has implemented a Complaint Submission and Handling Policy to allow employees to raise concerns as needed.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 Oversight</w:t>
      </w:r>
    </w:p>
    <w:p>
      <w:pPr>
        <w:spacing w:after="0" w:line="244" w:lineRule="exact"/>
        <w:rPr>
          <w:sz w:val="20"/>
          <w:szCs w:val="20"/>
          <w:color w:val="auto"/>
        </w:rPr>
      </w:pPr>
    </w:p>
    <w:p>
      <w:pPr>
        <w:ind w:left="620" w:right="640" w:hanging="308"/>
        <w:spacing w:after="0" w:line="254"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While the Board actively oversees risk management generally, management of the Company is charged with managing risk through appropriate internal processes and internal controls.</w:t>
      </w:r>
    </w:p>
    <w:p>
      <w:pPr>
        <w:spacing w:after="0" w:line="1" w:lineRule="exact"/>
        <w:rPr>
          <w:rFonts w:ascii="Arial" w:cs="Arial" w:eastAsia="Arial" w:hAnsi="Arial"/>
          <w:sz w:val="17"/>
          <w:szCs w:val="17"/>
          <w:color w:val="auto"/>
        </w:rPr>
      </w:pPr>
    </w:p>
    <w:p>
      <w:pPr>
        <w:ind w:left="620" w:right="160" w:hanging="308"/>
        <w:spacing w:after="0" w:line="237"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behalf of the Board, the Audit Committee oversees Company risk policies and procedures relating to financial statements and financial reporting processes, certain compliance, cyber-security risks, credit risks, liquidity risks, and certain other business risks.</w:t>
      </w:r>
    </w:p>
    <w:p>
      <w:pPr>
        <w:ind w:left="620" w:hanging="308"/>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Audit Committee engages in typical oversight of internal control over financial reporting.</w:t>
      </w:r>
    </w:p>
    <w:p>
      <w:pPr>
        <w:spacing w:after="0" w:line="10" w:lineRule="exact"/>
        <w:rPr>
          <w:rFonts w:ascii="Arial" w:cs="Arial" w:eastAsia="Arial" w:hAnsi="Arial"/>
          <w:sz w:val="17"/>
          <w:szCs w:val="17"/>
          <w:color w:val="auto"/>
        </w:rPr>
      </w:pPr>
    </w:p>
    <w:p>
      <w:pPr>
        <w:ind w:left="620" w:right="1000" w:hanging="308"/>
        <w:spacing w:after="0" w:line="237"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Audit Committee, as well as the Board, also require as a periodic agenda item a business risk update covering facilities, IT infrastructure, manufacturing, materials/supply chain, and human resources.</w:t>
      </w:r>
    </w:p>
    <w:p>
      <w:pPr>
        <w:ind w:left="620" w:right="340" w:hanging="308"/>
        <w:spacing w:after="0" w:line="245"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addition, the Audit Committee further requires as a periodic agenda item an IT security update covering cyber-security, the IT security framework, and IT security initiatives, using benchmarking as appropriate.</w:t>
      </w:r>
    </w:p>
    <w:p>
      <w:pPr>
        <w:ind w:left="620" w:right="140" w:hanging="308"/>
        <w:spacing w:after="0" w:line="245"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foregoing allows the Audit Committee and the Board to engage management and the independent auditors with respect to related risk assessments, risk management, risk mitigation, and appropriate action plans with respect thereto, if and when appropriate.</w:t>
      </w:r>
    </w:p>
    <w:p>
      <w:pPr>
        <w:ind w:left="620" w:right="240" w:hanging="308"/>
        <w:spacing w:after="0" w:line="237"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Compensation Committee designs the officer compensation system so as to minimize risks arising therefrom, including avoidance of excessive risk taking as further discussed in "Compensation Discussion and Analysis."</w:t>
      </w:r>
    </w:p>
    <w:p>
      <w:pPr>
        <w:ind w:left="620" w:hanging="308"/>
        <w:spacing w:after="0" w:line="245"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Nominating and Corporate Governance Committee has oversight of ESG and sustainability risks so as to promote identification and monitoring of such risks as ESG and sustainability became increasingly important. The foregoing allows the Nominating and Corporate Governance Committee to engage management with respect to related risk assessments, risk management, risk mitigation, and appropriate action plans with respect thereto, if and when appropriate.</w:t>
      </w:r>
    </w:p>
    <w:p>
      <w:pPr>
        <w:ind w:left="620" w:right="160" w:hanging="308"/>
        <w:spacing w:after="0" w:line="237"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Audit Committee, the Compensation Committee, and the Nominating and Corporate Governance Committee each report to the Board periodically and as appropriate with regard to their respective risk oversight functions.</w:t>
      </w:r>
    </w:p>
    <w:p>
      <w:pPr>
        <w:ind w:left="620" w:hanging="308"/>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foregoing risk oversight does not necessarily have a material effect on the Company's leadership structure.</w:t>
      </w:r>
    </w:p>
    <w:p>
      <w:pPr>
        <w:spacing w:after="0" w:line="10" w:lineRule="exact"/>
        <w:rPr>
          <w:rFonts w:ascii="Arial" w:cs="Arial" w:eastAsia="Arial" w:hAnsi="Arial"/>
          <w:sz w:val="17"/>
          <w:szCs w:val="17"/>
          <w:color w:val="auto"/>
        </w:rPr>
      </w:pPr>
    </w:p>
    <w:p>
      <w:pPr>
        <w:ind w:left="620" w:hanging="308"/>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Board also annually reviews the Company's various insurance coverages.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i w:val="1"/>
          <w:iCs w:val="1"/>
          <w:color w:val="auto"/>
        </w:rPr>
        <w:t>Report of the Audit Committee</w:t>
      </w:r>
    </w:p>
    <w:p>
      <w:pPr>
        <w:spacing w:after="0" w:line="242" w:lineRule="exact"/>
        <w:rPr>
          <w:sz w:val="20"/>
          <w:szCs w:val="20"/>
          <w:color w:val="auto"/>
        </w:rPr>
      </w:pPr>
    </w:p>
    <w:p>
      <w:pPr>
        <w:jc w:val="both"/>
        <w:ind w:firstLine="618"/>
        <w:spacing w:after="0" w:line="260" w:lineRule="auto"/>
        <w:rPr>
          <w:sz w:val="20"/>
          <w:szCs w:val="20"/>
          <w:color w:val="auto"/>
        </w:rPr>
      </w:pPr>
      <w:r>
        <w:rPr>
          <w:rFonts w:ascii="Arial" w:cs="Arial" w:eastAsia="Arial" w:hAnsi="Arial"/>
          <w:sz w:val="17"/>
          <w:szCs w:val="17"/>
          <w:color w:val="auto"/>
        </w:rPr>
        <w:t>The primary purpose of the Audit Committee is to assist the Board of Directors in fulfilling its oversight responsibilities for management’s conduct of the Company’s accounting and financial reporting processes and the Company’s system of internal controls regarding finance, accounting, legal compliance and ethics. The Audit Committee’s function is more fully described in its Audit Committee Charter, which the Board of Directors has adopted and is available on the Company's website. The Audit Committee reviews this Audit Committee Charter on an annual basis. The Board of Directors annually reviews the Nasdaq Global Select Market definition of independence for audit committee members and has determined that each member of the Audit Committee meets that standard.</w:t>
      </w:r>
    </w:p>
    <w:p>
      <w:pPr>
        <w:spacing w:after="0" w:line="197"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17"/>
          <w:szCs w:val="17"/>
          <w:color w:val="auto"/>
        </w:rPr>
        <w:t>Management is responsible for the preparation, presentation, and integrity of the Company’s financial statements, and financial reporting principles, internal controls and procedures designed to ensure compliance with accounting standards, applicable laws and regulations. The Company’s independent auditors, Ernst &amp; Young LLP, are responsible for performing an independent audit of the consolidated financial statements and expressing an opinion on the conformity of those financial statements with generally accepted accounting principles.</w:t>
      </w:r>
    </w:p>
    <w:p>
      <w:pPr>
        <w:spacing w:after="0" w:line="193" w:lineRule="exact"/>
        <w:rPr>
          <w:sz w:val="20"/>
          <w:szCs w:val="20"/>
          <w:color w:val="auto"/>
        </w:rPr>
      </w:pPr>
    </w:p>
    <w:p>
      <w:pPr>
        <w:jc w:val="both"/>
        <w:ind w:firstLine="618"/>
        <w:spacing w:after="0" w:line="258" w:lineRule="auto"/>
        <w:rPr>
          <w:sz w:val="20"/>
          <w:szCs w:val="20"/>
          <w:color w:val="auto"/>
        </w:rPr>
      </w:pPr>
      <w:r>
        <w:rPr>
          <w:rFonts w:ascii="Arial" w:cs="Arial" w:eastAsia="Arial" w:hAnsi="Arial"/>
          <w:sz w:val="17"/>
          <w:szCs w:val="17"/>
          <w:color w:val="auto"/>
        </w:rPr>
        <w:t>Pursuant to action of the Audit Committee on February 19, 2025, the Audit Committee reports that it has: (i) reviewed and discussed the Company's audited financial statements with management; (ii) discussed with the independent auditors the matters required to be discussed by the applicable requirements of the Public Company Accounting Oversight Board and the Securities and Exchange Commission; and (iii) received the written disclosures and the letter from the independent accountants required by applicable requirements of the Public Company Accounting Oversight Board regarding the independent accountant's communications with the Audit Committee concerning independence, and has discussed with the independent accountant the independent accountant's independence. Based on the review and discussions referred to in Items (i)-(iii) above, the Audit Committee recommended to the Board of Directors that the audited financial statements be included in the Company's annual report on Form 10-K for the year ended December 31, 2024, for filing with the Securities and Exchange Commission.</w:t>
      </w:r>
    </w:p>
    <w:p>
      <w:pPr>
        <w:spacing w:after="0" w:line="199" w:lineRule="exact"/>
        <w:rPr>
          <w:sz w:val="20"/>
          <w:szCs w:val="20"/>
          <w:color w:val="auto"/>
        </w:rPr>
      </w:pPr>
    </w:p>
    <w:p>
      <w:pPr>
        <w:jc w:val="both"/>
        <w:ind w:firstLine="618"/>
        <w:spacing w:after="0" w:line="289" w:lineRule="auto"/>
        <w:rPr>
          <w:sz w:val="20"/>
          <w:szCs w:val="20"/>
          <w:color w:val="auto"/>
        </w:rPr>
      </w:pPr>
      <w:r>
        <w:rPr>
          <w:rFonts w:ascii="Arial" w:cs="Arial" w:eastAsia="Arial" w:hAnsi="Arial"/>
          <w:sz w:val="17"/>
          <w:szCs w:val="17"/>
          <w:color w:val="auto"/>
        </w:rPr>
        <w:t>The Audit Committee has selected Ernst &amp; Young LLP as the Company’s independent auditors for the year ending December 31, 2025, and has submitted the same to the shareholders for ratification at the Annual Meeting.</w:t>
      </w:r>
    </w:p>
    <w:p>
      <w:pPr>
        <w:spacing w:after="0" w:line="173" w:lineRule="exact"/>
        <w:rPr>
          <w:sz w:val="20"/>
          <w:szCs w:val="20"/>
          <w:color w:val="auto"/>
        </w:rPr>
      </w:pPr>
    </w:p>
    <w:p>
      <w:pPr>
        <w:jc w:val="both"/>
        <w:ind w:firstLine="618"/>
        <w:spacing w:after="0" w:line="271" w:lineRule="auto"/>
        <w:rPr>
          <w:sz w:val="20"/>
          <w:szCs w:val="20"/>
          <w:color w:val="auto"/>
        </w:rPr>
      </w:pPr>
      <w:r>
        <w:rPr>
          <w:rFonts w:ascii="Arial" w:cs="Arial" w:eastAsia="Arial" w:hAnsi="Arial"/>
          <w:sz w:val="17"/>
          <w:szCs w:val="17"/>
          <w:color w:val="auto"/>
        </w:rPr>
        <w:t>This report of the Audit Committee does not constitute "soliciting material" and should not be deemed "filed" or incorporated by reference into any of the other Company filings under the Securities Act of 1933 or the Securities Exchange Act of 1934, except to the extent the Company specifically requests that the information be treated as soliciting material or specifically incorporates this report by reference therein.</w:t>
      </w:r>
    </w:p>
    <w:p>
      <w:pPr>
        <w:spacing w:after="0" w:line="188" w:lineRule="exact"/>
        <w:rPr>
          <w:sz w:val="20"/>
          <w:szCs w:val="20"/>
          <w:color w:val="auto"/>
        </w:rPr>
      </w:pPr>
    </w:p>
    <w:p>
      <w:pPr>
        <w:ind w:left="3720"/>
        <w:spacing w:after="0"/>
        <w:tabs>
          <w:tab w:leader="none" w:pos="5240" w:val="left"/>
        </w:tabs>
        <w:rPr>
          <w:sz w:val="20"/>
          <w:szCs w:val="20"/>
          <w:color w:val="auto"/>
        </w:rPr>
      </w:pPr>
      <w:r>
        <w:rPr>
          <w:rFonts w:ascii="Arial" w:cs="Arial" w:eastAsia="Arial" w:hAnsi="Arial"/>
          <w:sz w:val="17"/>
          <w:szCs w:val="17"/>
          <w:color w:val="auto"/>
        </w:rPr>
        <w:t>Audit Committee:</w:t>
        <w:tab/>
        <w:t>Garth Deur, Chair</w:t>
      </w:r>
    </w:p>
    <w:p>
      <w:pPr>
        <w:spacing w:after="0" w:line="2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Kathleen Starkoff</w:t>
      </w:r>
    </w:p>
    <w:p>
      <w:pPr>
        <w:spacing w:after="0" w:line="1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Brian Walker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February 19, 2025</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7"/>
          <w:szCs w:val="17"/>
          <w:b w:val="1"/>
          <w:bCs w:val="1"/>
          <w:i w:val="1"/>
          <w:iCs w:val="1"/>
          <w:color w:val="auto"/>
        </w:rPr>
        <w:t>Compensation Committee Report</w:t>
      </w:r>
    </w:p>
    <w:p>
      <w:pPr>
        <w:spacing w:after="0" w:line="281" w:lineRule="exact"/>
        <w:rPr>
          <w:sz w:val="20"/>
          <w:szCs w:val="20"/>
          <w:color w:val="auto"/>
        </w:rPr>
      </w:pPr>
    </w:p>
    <w:p>
      <w:pPr>
        <w:jc w:val="both"/>
        <w:ind w:firstLine="618"/>
        <w:spacing w:after="0" w:line="260" w:lineRule="auto"/>
        <w:rPr>
          <w:sz w:val="20"/>
          <w:szCs w:val="20"/>
          <w:color w:val="auto"/>
        </w:rPr>
      </w:pPr>
      <w:r>
        <w:rPr>
          <w:rFonts w:ascii="Arial" w:cs="Arial" w:eastAsia="Arial" w:hAnsi="Arial"/>
          <w:sz w:val="17"/>
          <w:szCs w:val="17"/>
          <w:color w:val="auto"/>
        </w:rPr>
        <w:t>The primary purpose of the Compensation Committee of the Board of Directors of the Company is to assist the Board of Directors in discharging its responsibilities related to compensation of the Company's officers. The Compensation Committee's function is more fully described in its Compensation Committee Charter, which the Board of Directors has adopted and is available on the Company's website. The Compensation Committee reviews its Compensation Committee Charter on an annual basis, recommending changes to the Board of Directors when and as appropriate. The Compensation Committee is comprised of three members, each of whom the Board of Directors has determined meets the appropriate independence tests for compensation committee members under the NASDAQ listing standards.</w:t>
      </w:r>
    </w:p>
    <w:p>
      <w:pPr>
        <w:spacing w:after="0" w:line="197" w:lineRule="exact"/>
        <w:rPr>
          <w:sz w:val="20"/>
          <w:szCs w:val="20"/>
          <w:color w:val="auto"/>
        </w:rPr>
      </w:pPr>
    </w:p>
    <w:p>
      <w:pPr>
        <w:jc w:val="both"/>
        <w:ind w:firstLine="618"/>
        <w:spacing w:after="0" w:line="262" w:lineRule="auto"/>
        <w:rPr>
          <w:sz w:val="20"/>
          <w:szCs w:val="20"/>
          <w:color w:val="auto"/>
        </w:rPr>
      </w:pPr>
      <w:r>
        <w:rPr>
          <w:rFonts w:ascii="Arial" w:cs="Arial" w:eastAsia="Arial" w:hAnsi="Arial"/>
          <w:sz w:val="17"/>
          <w:szCs w:val="17"/>
          <w:color w:val="auto"/>
        </w:rPr>
        <w:t>Pursuant to action of the Compensation Committee on February 19, 2025, the Compensation Committee reports that it has reviewed and discussed the Company's Compensation Discussion and Analysis with management. Based on the above-referenced review and discussions, the Compensation Committee recommended to the Board of Directors that the Compensation Discussion and Analysis be included in the Company's annual report on Form 10-K for the year ended December 31, 2024, and this Proxy Statement, for filing with the Securities and Exchange Commission.</w:t>
      </w:r>
    </w:p>
    <w:p>
      <w:pPr>
        <w:spacing w:after="0" w:line="195" w:lineRule="exact"/>
        <w:rPr>
          <w:sz w:val="20"/>
          <w:szCs w:val="20"/>
          <w:color w:val="auto"/>
        </w:rPr>
      </w:pPr>
    </w:p>
    <w:p>
      <w:pPr>
        <w:jc w:val="both"/>
        <w:ind w:firstLine="618"/>
        <w:spacing w:after="0" w:line="271" w:lineRule="auto"/>
        <w:rPr>
          <w:sz w:val="20"/>
          <w:szCs w:val="20"/>
          <w:color w:val="auto"/>
        </w:rPr>
      </w:pPr>
      <w:r>
        <w:rPr>
          <w:rFonts w:ascii="Arial" w:cs="Arial" w:eastAsia="Arial" w:hAnsi="Arial"/>
          <w:sz w:val="17"/>
          <w:szCs w:val="17"/>
          <w:color w:val="auto"/>
        </w:rPr>
        <w:t>This report of the Compensation Committee does not constitute "soliciting material" and should not be deemed "filed" or incorporated by reference into any of the other Company filings under the Securities Act of 1933 or the Securities Exchange Act of 1934, except to the extent the Company specifically requests that the information be treated as soliciting material or specifically incorporates this report by reference therein.</w:t>
      </w:r>
    </w:p>
    <w:p>
      <w:pPr>
        <w:spacing w:after="0" w:line="188" w:lineRule="exact"/>
        <w:rPr>
          <w:sz w:val="20"/>
          <w:szCs w:val="20"/>
          <w:color w:val="auto"/>
        </w:rPr>
      </w:pPr>
    </w:p>
    <w:p>
      <w:pPr>
        <w:ind w:left="3100"/>
        <w:spacing w:after="0"/>
        <w:tabs>
          <w:tab w:leader="none" w:pos="5280" w:val="left"/>
        </w:tabs>
        <w:rPr>
          <w:sz w:val="20"/>
          <w:szCs w:val="20"/>
          <w:color w:val="auto"/>
        </w:rPr>
      </w:pPr>
      <w:r>
        <w:rPr>
          <w:rFonts w:ascii="Arial" w:cs="Arial" w:eastAsia="Arial" w:hAnsi="Arial"/>
          <w:sz w:val="17"/>
          <w:szCs w:val="17"/>
          <w:color w:val="auto"/>
        </w:rPr>
        <w:t>Compensation Committee:</w:t>
        <w:tab/>
        <w:t>Richard Schaum, Chair</w:t>
      </w:r>
    </w:p>
    <w:p>
      <w:pPr>
        <w:spacing w:after="0" w:line="2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Garth Deur</w:t>
      </w:r>
    </w:p>
    <w:p>
      <w:pPr>
        <w:spacing w:after="0" w:line="1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Brian Walker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February 19,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auto"/>
        </w:rPr>
        <w:t>COMPENSATION DISCUSSION AND ANALYSIS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244"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17"/>
          <w:szCs w:val="17"/>
          <w:color w:val="auto"/>
        </w:rPr>
        <w:t>Our Compensation Discussion and Analysis describes the key principles and approaches used to determine the elements of compensation awarded to, earned by, and paid to each of our named executive officers ('NEOs") during 2024. The discussion provides information and context to the compensation disclosures included in the accompanying compensation tables and footnotes therein. It should be read in conjunction with such disclosures. It also addresses any changes to the same for 2024.</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Company executives are our NEOs for 2024:</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876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Title</w:t>
            </w:r>
          </w:p>
        </w:tc>
      </w:tr>
      <w:tr>
        <w:trPr>
          <w:trHeight w:val="213"/>
        </w:trPr>
        <w:tc>
          <w:tcPr>
            <w:tcW w:w="2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876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President and CEO</w:t>
            </w:r>
          </w:p>
        </w:tc>
      </w:tr>
      <w:tr>
        <w:trPr>
          <w:trHeight w:val="219"/>
        </w:trPr>
        <w:tc>
          <w:tcPr>
            <w:tcW w:w="246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8760" w:type="dxa"/>
            <w:vAlign w:val="bottom"/>
          </w:tcPr>
          <w:p>
            <w:pPr>
              <w:ind w:left="1280"/>
              <w:spacing w:after="0"/>
              <w:rPr>
                <w:sz w:val="20"/>
                <w:szCs w:val="20"/>
                <w:color w:val="auto"/>
              </w:rPr>
            </w:pPr>
            <w:r>
              <w:rPr>
                <w:rFonts w:ascii="Arial" w:cs="Arial" w:eastAsia="Arial" w:hAnsi="Arial"/>
                <w:sz w:val="17"/>
                <w:szCs w:val="17"/>
                <w:color w:val="auto"/>
              </w:rPr>
              <w:t>Vice President, Engineering (now COO) and CTO</w:t>
            </w:r>
          </w:p>
        </w:tc>
      </w:tr>
      <w:tr>
        <w:trPr>
          <w:trHeight w:val="219"/>
        </w:trPr>
        <w:tc>
          <w:tcPr>
            <w:tcW w:w="2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876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Vice President, Finance, CFO and Treasurer</w:t>
            </w:r>
          </w:p>
        </w:tc>
      </w:tr>
      <w:tr>
        <w:trPr>
          <w:trHeight w:val="219"/>
        </w:trPr>
        <w:tc>
          <w:tcPr>
            <w:tcW w:w="246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8760" w:type="dxa"/>
            <w:vAlign w:val="bottom"/>
          </w:tcPr>
          <w:p>
            <w:pPr>
              <w:ind w:left="1280"/>
              <w:spacing w:after="0"/>
              <w:rPr>
                <w:sz w:val="20"/>
                <w:szCs w:val="20"/>
                <w:color w:val="auto"/>
              </w:rPr>
            </w:pPr>
            <w:r>
              <w:rPr>
                <w:rFonts w:ascii="Arial" w:cs="Arial" w:eastAsia="Arial" w:hAnsi="Arial"/>
                <w:sz w:val="17"/>
                <w:szCs w:val="17"/>
                <w:color w:val="auto"/>
              </w:rPr>
              <w:t>Chief Sales Officer and Senior Vice President, Sales</w:t>
            </w:r>
          </w:p>
        </w:tc>
      </w:tr>
      <w:tr>
        <w:trPr>
          <w:trHeight w:val="219"/>
        </w:trPr>
        <w:tc>
          <w:tcPr>
            <w:tcW w:w="2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876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Vice President, General Counsel and Corporate Secretary</w:t>
            </w:r>
          </w:p>
        </w:tc>
      </w:tr>
    </w:tbl>
    <w:p>
      <w:pPr>
        <w:spacing w:after="0" w:line="3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first provide a brief overview of our officer compensation program and then discuss and analyze topics including:</w:t>
      </w:r>
    </w:p>
    <w:p>
      <w:pPr>
        <w:spacing w:after="0" w:line="242" w:lineRule="exact"/>
        <w:rPr>
          <w:sz w:val="20"/>
          <w:szCs w:val="20"/>
          <w:color w:val="auto"/>
        </w:rPr>
      </w:pPr>
    </w:p>
    <w:p>
      <w:pPr>
        <w:ind w:right="4380"/>
        <w:spacing w:after="0" w:line="277" w:lineRule="auto"/>
        <w:rPr>
          <w:sz w:val="20"/>
          <w:szCs w:val="20"/>
          <w:color w:val="auto"/>
        </w:rPr>
      </w:pPr>
      <w:r>
        <w:rPr>
          <w:rFonts w:ascii="Arial" w:cs="Arial" w:eastAsia="Arial" w:hAnsi="Arial"/>
          <w:sz w:val="17"/>
          <w:szCs w:val="17"/>
          <w:color w:val="auto"/>
        </w:rPr>
        <w:t xml:space="preserve">Relationship Between Pay &amp; Performance How Compensation Decisions are Made Elements of the Executive Compensation Program Compensation Policies &amp; Practices </w:t>
      </w:r>
      <w:r>
        <w:rPr>
          <w:rFonts w:ascii="Arial" w:cs="Arial" w:eastAsia="Arial" w:hAnsi="Arial"/>
          <w:sz w:val="17"/>
          <w:szCs w:val="17"/>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Performance</w:t>
      </w:r>
    </w:p>
    <w:p>
      <w:pPr>
        <w:spacing w:after="0" w:line="244" w:lineRule="exact"/>
        <w:rPr>
          <w:sz w:val="20"/>
          <w:szCs w:val="20"/>
          <w:color w:val="auto"/>
        </w:rPr>
      </w:pPr>
    </w:p>
    <w:p>
      <w:pPr>
        <w:jc w:val="both"/>
        <w:ind w:firstLine="618"/>
        <w:spacing w:after="0" w:line="262" w:lineRule="auto"/>
        <w:rPr>
          <w:sz w:val="20"/>
          <w:szCs w:val="20"/>
          <w:color w:val="auto"/>
        </w:rPr>
      </w:pPr>
      <w:r>
        <w:rPr>
          <w:rFonts w:ascii="Arial" w:cs="Arial" w:eastAsia="Arial" w:hAnsi="Arial"/>
          <w:sz w:val="17"/>
          <w:szCs w:val="17"/>
          <w:color w:val="auto"/>
        </w:rPr>
        <w:t>Notwithstanding headwinds in the Company's primary industry, the Company was able to increase sales on a year-over-year basis, outperform the underlying market, and continue to make improvements in the gross margin profile of the Company. We continue to believe we remain well positioned for long term success. For example in 2024, our revenues outperformed our underlying markets by approximately five percent. Continued execution of our product development and growth strategy should provide the opportunity for us to outperform our underlying markets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Philosophy</w:t>
      </w:r>
    </w:p>
    <w:p>
      <w:pPr>
        <w:spacing w:after="0" w:line="244" w:lineRule="exact"/>
        <w:rPr>
          <w:sz w:val="20"/>
          <w:szCs w:val="20"/>
          <w:color w:val="auto"/>
        </w:rPr>
      </w:pPr>
    </w:p>
    <w:p>
      <w:pPr>
        <w:jc w:val="both"/>
        <w:ind w:firstLine="618"/>
        <w:spacing w:after="0" w:line="259" w:lineRule="auto"/>
        <w:rPr>
          <w:sz w:val="20"/>
          <w:szCs w:val="20"/>
          <w:color w:val="auto"/>
        </w:rPr>
      </w:pPr>
      <w:r>
        <w:rPr>
          <w:rFonts w:ascii="Arial" w:cs="Arial" w:eastAsia="Arial" w:hAnsi="Arial"/>
          <w:sz w:val="17"/>
          <w:szCs w:val="17"/>
          <w:color w:val="auto"/>
        </w:rPr>
        <w:t>Our compensation program is designed to balance short-term performance with long-term growth and value creation. Our compensation and benefits must be competitive with compensation arrangements provided to officers at comparably-sized companies with whom we compete for talent. Our officer compensation philosophy is reviewed annually by the Compensation Committee, and has the following key objectives:</w:t>
      </w:r>
    </w:p>
    <w:p>
      <w:pPr>
        <w:spacing w:after="0" w:line="1" w:lineRule="exact"/>
        <w:rPr>
          <w:sz w:val="20"/>
          <w:szCs w:val="20"/>
          <w:color w:val="auto"/>
        </w:rPr>
      </w:pPr>
    </w:p>
    <w:p>
      <w:pPr>
        <w:jc w:val="both"/>
        <w:ind w:left="620" w:firstLine="310"/>
        <w:spacing w:after="0" w:line="258" w:lineRule="auto"/>
        <w:tabs>
          <w:tab w:leader="none" w:pos="1234"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Reward performance </w:t>
      </w:r>
      <w:r>
        <w:rPr>
          <w:rFonts w:ascii="Arial" w:cs="Arial" w:eastAsia="Arial" w:hAnsi="Arial"/>
          <w:sz w:val="17"/>
          <w:szCs w:val="17"/>
          <w:color w:val="auto"/>
        </w:rPr>
        <w:t>- An increasing percentage of officer pay is performance-based, and therefore, at risk. Our pay programs</w:t>
      </w:r>
      <w:r>
        <w:rPr>
          <w:rFonts w:ascii="Arial" w:cs="Arial" w:eastAsia="Arial" w:hAnsi="Arial"/>
          <w:sz w:val="17"/>
          <w:szCs w:val="17"/>
          <w:b w:val="1"/>
          <w:bCs w:val="1"/>
          <w:color w:val="auto"/>
        </w:rPr>
        <w:t xml:space="preserve"> </w:t>
      </w:r>
      <w:r>
        <w:rPr>
          <w:rFonts w:ascii="Arial" w:cs="Arial" w:eastAsia="Arial" w:hAnsi="Arial"/>
          <w:sz w:val="17"/>
          <w:szCs w:val="17"/>
          <w:color w:val="auto"/>
        </w:rPr>
        <w:t>reflect our “pay-for-performance” culture that aligns officer incentives with the interests of our shareholders. This philosophy permeates our organization as even below the officer level all other employees receive profit sharing bonuses and are eligible to purchase stock under the Employee Stock Purchase Plan at a 15% discount, in addition to many full-time employees receiving stock options and/or restricted stock.</w:t>
      </w:r>
    </w:p>
    <w:p>
      <w:pPr>
        <w:spacing w:after="0" w:line="196" w:lineRule="exact"/>
        <w:rPr>
          <w:rFonts w:ascii="Times New Roman" w:cs="Times New Roman" w:eastAsia="Times New Roman" w:hAnsi="Times New Roman"/>
          <w:sz w:val="17"/>
          <w:szCs w:val="17"/>
          <w:color w:val="auto"/>
        </w:rPr>
      </w:pPr>
    </w:p>
    <w:p>
      <w:pPr>
        <w:jc w:val="both"/>
        <w:ind w:left="620" w:firstLine="310"/>
        <w:spacing w:after="0" w:line="260" w:lineRule="auto"/>
        <w:tabs>
          <w:tab w:leader="none" w:pos="1234"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Emphasize long-term incentive compensation </w:t>
      </w:r>
      <w:r>
        <w:rPr>
          <w:rFonts w:ascii="Arial" w:cs="Arial" w:eastAsia="Arial" w:hAnsi="Arial"/>
          <w:sz w:val="17"/>
          <w:szCs w:val="17"/>
          <w:color w:val="auto"/>
        </w:rPr>
        <w:t>- We share a portion of the value created for shareholders with those responsible</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results through our use of equity incentives. In order to promote this, the Company rewards officers for delivering long-term earnings before interest, taxes, depreciation, and amortization ("EBITDA") and return on invested capital ("ROIC") with performance shares that have cliff-vesting over a three-year performance period and restricted stock that also has three year cliff-vesting to minimize management turnover and further align officer incentives with those of our shareholders. EBITDA is calculated from the financial statements by adding interest, taxes, depreciation, and amortization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22" w:name="page23"/>
    <w:bookmarkEnd w:id="22"/>
    <w:p>
      <w:pPr>
        <w:jc w:val="both"/>
        <w:ind w:left="620"/>
        <w:spacing w:after="0" w:line="271" w:lineRule="auto"/>
        <w:rPr>
          <w:sz w:val="20"/>
          <w:szCs w:val="20"/>
          <w:color w:val="auto"/>
        </w:rPr>
      </w:pPr>
      <w:r>
        <w:rPr>
          <w:rFonts w:ascii="Arial" w:cs="Arial" w:eastAsia="Arial" w:hAnsi="Arial"/>
          <w:sz w:val="17"/>
          <w:szCs w:val="17"/>
          <w:color w:val="auto"/>
        </w:rPr>
        <w:t>expenses to net income. ROIC is calculated from the financial statements with this formula: net income divided by invested capital, expressed as a percentage. Invested capital is calculated based on the average amount of shareholders equity and long term debt from the Company's balance sheet.</w:t>
      </w:r>
    </w:p>
    <w:p>
      <w:pPr>
        <w:spacing w:after="0" w:line="186" w:lineRule="exact"/>
        <w:rPr>
          <w:sz w:val="20"/>
          <w:szCs w:val="20"/>
          <w:color w:val="auto"/>
        </w:rPr>
      </w:pPr>
    </w:p>
    <w:p>
      <w:pPr>
        <w:jc w:val="both"/>
        <w:ind w:left="620" w:firstLine="310"/>
        <w:spacing w:after="0" w:line="272" w:lineRule="auto"/>
        <w:tabs>
          <w:tab w:leader="none" w:pos="1234"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Drive ownership mentality </w:t>
      </w:r>
      <w:r>
        <w:rPr>
          <w:rFonts w:ascii="Arial" w:cs="Arial" w:eastAsia="Arial" w:hAnsi="Arial"/>
          <w:sz w:val="17"/>
          <w:szCs w:val="17"/>
          <w:color w:val="auto"/>
        </w:rPr>
        <w:t>- We expect officers and directors to personally invest in our success and have adopted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Ownership Guidelines that set forth expectations that our executive officers and non-employee directors own or acquire a significant amount of our stock.</w:t>
      </w:r>
    </w:p>
    <w:p>
      <w:pPr>
        <w:spacing w:after="0" w:line="184" w:lineRule="exact"/>
        <w:rPr>
          <w:rFonts w:ascii="Times New Roman" w:cs="Times New Roman" w:eastAsia="Times New Roman" w:hAnsi="Times New Roman"/>
          <w:sz w:val="17"/>
          <w:szCs w:val="17"/>
          <w:color w:val="auto"/>
        </w:rPr>
      </w:pPr>
    </w:p>
    <w:p>
      <w:pPr>
        <w:jc w:val="both"/>
        <w:ind w:left="620" w:firstLine="310"/>
        <w:spacing w:after="0" w:line="260" w:lineRule="auto"/>
        <w:tabs>
          <w:tab w:leader="none" w:pos="1234"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Attract, retain and reward the best talent to achieve superior results </w:t>
      </w:r>
      <w:r>
        <w:rPr>
          <w:rFonts w:ascii="Arial" w:cs="Arial" w:eastAsia="Arial" w:hAnsi="Arial"/>
          <w:sz w:val="17"/>
          <w:szCs w:val="17"/>
          <w:color w:val="auto"/>
        </w:rPr>
        <w:t>- To be consistently better than our competitors, we need</w:t>
      </w:r>
      <w:r>
        <w:rPr>
          <w:rFonts w:ascii="Arial" w:cs="Arial" w:eastAsia="Arial" w:hAnsi="Arial"/>
          <w:sz w:val="17"/>
          <w:szCs w:val="17"/>
          <w:b w:val="1"/>
          <w:bCs w:val="1"/>
          <w:color w:val="auto"/>
        </w:rPr>
        <w:t xml:space="preserve"> </w:t>
      </w:r>
      <w:r>
        <w:rPr>
          <w:rFonts w:ascii="Arial" w:cs="Arial" w:eastAsia="Arial" w:hAnsi="Arial"/>
          <w:sz w:val="17"/>
          <w:szCs w:val="17"/>
          <w:color w:val="auto"/>
        </w:rPr>
        <w:t>to recruit and retain superior talent that is able to drive superior results. We have structured our compensation program to motivate and reward such results.</w:t>
      </w:r>
    </w:p>
    <w:p>
      <w:pPr>
        <w:spacing w:after="0"/>
        <w:rPr>
          <w:sz w:val="20"/>
          <w:szCs w:val="20"/>
          <w:color w:val="auto"/>
        </w:rPr>
      </w:pPr>
      <w:r>
        <w:rPr>
          <w:rFonts w:ascii="Arial" w:cs="Arial" w:eastAsia="Arial" w:hAnsi="Arial"/>
          <w:sz w:val="17"/>
          <w:szCs w:val="17"/>
          <w:b w:val="1"/>
          <w:bCs w:val="1"/>
          <w:color w:val="auto"/>
        </w:rPr>
        <w:t>Compensation Alignment with Business Strategy</w:t>
      </w:r>
    </w:p>
    <w:p>
      <w:pPr>
        <w:spacing w:after="0" w:line="226" w:lineRule="exact"/>
        <w:rPr>
          <w:sz w:val="20"/>
          <w:szCs w:val="20"/>
          <w:color w:val="auto"/>
        </w:rPr>
      </w:pPr>
    </w:p>
    <w:p>
      <w:pPr>
        <w:jc w:val="both"/>
        <w:ind w:firstLine="618"/>
        <w:spacing w:after="0" w:line="289" w:lineRule="auto"/>
        <w:rPr>
          <w:sz w:val="20"/>
          <w:szCs w:val="20"/>
          <w:color w:val="auto"/>
        </w:rPr>
      </w:pPr>
      <w:r>
        <w:rPr>
          <w:rFonts w:ascii="Arial" w:cs="Arial" w:eastAsia="Arial" w:hAnsi="Arial"/>
          <w:sz w:val="17"/>
          <w:szCs w:val="17"/>
          <w:color w:val="auto"/>
        </w:rPr>
        <w:t>Our long-term strategy builds on our strong technology foundation and leverages our operating model and technologies to drive performance in our primary industries, while at the same time actively seeking opportunities in other industries.</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officer compensation program reflects our short-term and long-term strategy by design and uses certain key, objective performance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metrics to evaluate performance. These key, objective performance metrics are important financial measures that help provide sharp focus 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critical results in running our business efficiently 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effectively.</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55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b w:val="1"/>
                <w:bCs w:val="1"/>
                <w:color w:val="auto"/>
              </w:rPr>
              <w:t>Achieve Top Line Growth</w:t>
            </w:r>
          </w:p>
        </w:tc>
        <w:tc>
          <w:tcPr>
            <w:tcW w:w="900" w:type="dxa"/>
            <w:vAlign w:val="bottom"/>
            <w:tcBorders>
              <w:right w:val="single" w:sz="8" w:color="auto"/>
            </w:tcBorders>
          </w:tcPr>
          <w:p>
            <w:pPr>
              <w:spacing w:after="0"/>
              <w:rPr>
                <w:sz w:val="19"/>
                <w:szCs w:val="19"/>
                <w:color w:val="auto"/>
              </w:rPr>
            </w:pPr>
          </w:p>
        </w:tc>
        <w:tc>
          <w:tcPr>
            <w:tcW w:w="464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5"/>
                <w:szCs w:val="15"/>
                <w:b w:val="1"/>
                <w:bCs w:val="1"/>
                <w:color w:val="auto"/>
              </w:rPr>
              <w:t>Alignment with Incentive Plan Metrics</w:t>
            </w:r>
          </w:p>
        </w:tc>
        <w:tc>
          <w:tcPr>
            <w:tcW w:w="0" w:type="dxa"/>
            <w:vAlign w:val="bottom"/>
          </w:tcPr>
          <w:p>
            <w:pPr>
              <w:spacing w:after="0"/>
              <w:rPr>
                <w:sz w:val="1"/>
                <w:szCs w:val="1"/>
                <w:color w:val="auto"/>
              </w:rPr>
            </w:pPr>
          </w:p>
        </w:tc>
      </w:tr>
      <w:tr>
        <w:trPr>
          <w:trHeight w:val="167"/>
        </w:trPr>
        <w:tc>
          <w:tcPr>
            <w:tcW w:w="5500" w:type="dxa"/>
            <w:vAlign w:val="bottom"/>
            <w:tcBorders>
              <w:left w:val="single" w:sz="8" w:color="auto"/>
              <w:right w:val="single" w:sz="8" w:color="auto"/>
            </w:tcBorders>
          </w:tcPr>
          <w:p>
            <w:pPr>
              <w:ind w:left="80"/>
              <w:spacing w:after="0" w:line="167" w:lineRule="exact"/>
              <w:rPr>
                <w:sz w:val="20"/>
                <w:szCs w:val="20"/>
                <w:color w:val="auto"/>
              </w:rPr>
            </w:pPr>
            <w:r>
              <w:rPr>
                <w:rFonts w:ascii="Arial" w:cs="Arial" w:eastAsia="Arial" w:hAnsi="Arial"/>
                <w:sz w:val="15"/>
                <w:szCs w:val="15"/>
                <w:color w:val="auto"/>
              </w:rPr>
              <w:t>- Strengthen customer centricity to deliver growth</w:t>
            </w:r>
          </w:p>
        </w:tc>
        <w:tc>
          <w:tcPr>
            <w:tcW w:w="900" w:type="dxa"/>
            <w:vAlign w:val="bottom"/>
            <w:tcBorders>
              <w:right w:val="single" w:sz="8" w:color="auto"/>
            </w:tcBorders>
          </w:tcPr>
          <w:p>
            <w:pPr>
              <w:spacing w:after="0"/>
              <w:rPr>
                <w:sz w:val="14"/>
                <w:szCs w:val="14"/>
                <w:color w:val="auto"/>
              </w:rPr>
            </w:pPr>
          </w:p>
        </w:tc>
        <w:tc>
          <w:tcPr>
            <w:tcW w:w="4640" w:type="dxa"/>
            <w:vAlign w:val="bottom"/>
            <w:tcBorders>
              <w:right w:val="single" w:sz="8" w:color="auto"/>
            </w:tcBorders>
            <w:gridSpan w:val="4"/>
          </w:tcPr>
          <w:p>
            <w:pPr>
              <w:spacing w:after="0" w:line="167" w:lineRule="exact"/>
              <w:rPr>
                <w:sz w:val="20"/>
                <w:szCs w:val="20"/>
                <w:color w:val="auto"/>
              </w:rPr>
            </w:pPr>
            <w:r>
              <w:rPr>
                <w:rFonts w:ascii="Arial" w:cs="Arial" w:eastAsia="Arial" w:hAnsi="Arial"/>
                <w:sz w:val="15"/>
                <w:szCs w:val="15"/>
                <w:color w:val="auto"/>
              </w:rPr>
              <w:t>Annual Incentive Plan</w:t>
            </w:r>
          </w:p>
        </w:tc>
        <w:tc>
          <w:tcPr>
            <w:tcW w:w="0" w:type="dxa"/>
            <w:vAlign w:val="bottom"/>
          </w:tcPr>
          <w:p>
            <w:pPr>
              <w:spacing w:after="0"/>
              <w:rPr>
                <w:sz w:val="1"/>
                <w:szCs w:val="1"/>
                <w:color w:val="auto"/>
              </w:rPr>
            </w:pPr>
          </w:p>
        </w:tc>
      </w:tr>
      <w:tr>
        <w:trPr>
          <w:trHeight w:val="20"/>
        </w:trPr>
        <w:tc>
          <w:tcPr>
            <w:tcW w:w="5500" w:type="dxa"/>
            <w:vAlign w:val="bottom"/>
            <w:tcBorders>
              <w:left w:val="single" w:sz="8" w:color="auto"/>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tcBorders>
              <w:left w:val="single" w:sz="8" w:color="auto"/>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520" w:type="dxa"/>
            <w:vAlign w:val="bottom"/>
          </w:tcPr>
          <w:p>
            <w:pPr>
              <w:ind w:left="320"/>
              <w:spacing w:after="0"/>
              <w:rPr>
                <w:sz w:val="20"/>
                <w:szCs w:val="20"/>
                <w:color w:val="auto"/>
              </w:rPr>
            </w:pPr>
            <w:r>
              <w:rPr>
                <w:rFonts w:ascii="Arial" w:cs="Arial" w:eastAsia="Arial" w:hAnsi="Arial"/>
                <w:sz w:val="15"/>
                <w:szCs w:val="15"/>
                <w:color w:val="auto"/>
              </w:rPr>
              <w:t>–</w:t>
            </w:r>
          </w:p>
        </w:tc>
        <w:tc>
          <w:tcPr>
            <w:tcW w:w="4120" w:type="dxa"/>
            <w:vAlign w:val="bottom"/>
            <w:tcBorders>
              <w:right w:val="single" w:sz="8" w:color="auto"/>
            </w:tcBorders>
            <w:gridSpan w:val="3"/>
          </w:tcPr>
          <w:p>
            <w:pPr>
              <w:ind w:left="100"/>
              <w:spacing w:after="0"/>
              <w:rPr>
                <w:sz w:val="20"/>
                <w:szCs w:val="20"/>
                <w:color w:val="auto"/>
              </w:rPr>
            </w:pPr>
            <w:r>
              <w:rPr>
                <w:rFonts w:ascii="Arial" w:cs="Arial" w:eastAsia="Arial" w:hAnsi="Arial"/>
                <w:sz w:val="15"/>
                <w:szCs w:val="15"/>
                <w:color w:val="auto"/>
              </w:rPr>
              <w:t>Revenue 33.33%</w:t>
            </w:r>
          </w:p>
        </w:tc>
        <w:tc>
          <w:tcPr>
            <w:tcW w:w="0" w:type="dxa"/>
            <w:vAlign w:val="bottom"/>
          </w:tcPr>
          <w:p>
            <w:pPr>
              <w:spacing w:after="0"/>
              <w:rPr>
                <w:sz w:val="1"/>
                <w:szCs w:val="1"/>
                <w:color w:val="auto"/>
              </w:rPr>
            </w:pPr>
          </w:p>
        </w:tc>
      </w:tr>
      <w:tr>
        <w:trPr>
          <w:trHeight w:val="20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Drive Profitability</w:t>
            </w:r>
          </w:p>
        </w:tc>
        <w:tc>
          <w:tcPr>
            <w:tcW w:w="900" w:type="dxa"/>
            <w:vAlign w:val="bottom"/>
            <w:tcBorders>
              <w:right w:val="single" w:sz="8" w:color="auto"/>
            </w:tcBorders>
          </w:tcPr>
          <w:p>
            <w:pPr>
              <w:spacing w:after="0"/>
              <w:rPr>
                <w:sz w:val="17"/>
                <w:szCs w:val="17"/>
                <w:color w:val="auto"/>
              </w:rPr>
            </w:pPr>
          </w:p>
        </w:tc>
        <w:tc>
          <w:tcPr>
            <w:tcW w:w="520" w:type="dxa"/>
            <w:vAlign w:val="bottom"/>
          </w:tcPr>
          <w:p>
            <w:pPr>
              <w:ind w:left="320"/>
              <w:spacing w:after="0"/>
              <w:rPr>
                <w:sz w:val="20"/>
                <w:szCs w:val="20"/>
                <w:color w:val="auto"/>
              </w:rPr>
            </w:pPr>
            <w:r>
              <w:rPr>
                <w:rFonts w:ascii="Arial" w:cs="Arial" w:eastAsia="Arial" w:hAnsi="Arial"/>
                <w:sz w:val="15"/>
                <w:szCs w:val="15"/>
                <w:color w:val="auto"/>
              </w:rPr>
              <w:t>–</w:t>
            </w:r>
          </w:p>
        </w:tc>
        <w:tc>
          <w:tcPr>
            <w:tcW w:w="4120" w:type="dxa"/>
            <w:vAlign w:val="bottom"/>
            <w:tcBorders>
              <w:right w:val="single" w:sz="8" w:color="auto"/>
            </w:tcBorders>
            <w:gridSpan w:val="3"/>
          </w:tcPr>
          <w:p>
            <w:pPr>
              <w:ind w:left="100"/>
              <w:spacing w:after="0"/>
              <w:rPr>
                <w:sz w:val="20"/>
                <w:szCs w:val="20"/>
                <w:color w:val="auto"/>
              </w:rPr>
            </w:pPr>
            <w:r>
              <w:rPr>
                <w:rFonts w:ascii="Arial" w:cs="Arial" w:eastAsia="Arial" w:hAnsi="Arial"/>
                <w:sz w:val="15"/>
                <w:szCs w:val="15"/>
                <w:color w:val="auto"/>
              </w:rPr>
              <w:t>Operating Income - 33.33%</w:t>
            </w:r>
          </w:p>
        </w:tc>
        <w:tc>
          <w:tcPr>
            <w:tcW w:w="0" w:type="dxa"/>
            <w:vAlign w:val="bottom"/>
          </w:tcPr>
          <w:p>
            <w:pPr>
              <w:spacing w:after="0"/>
              <w:rPr>
                <w:sz w:val="1"/>
                <w:szCs w:val="1"/>
                <w:color w:val="auto"/>
              </w:rPr>
            </w:pPr>
          </w:p>
        </w:tc>
      </w:tr>
      <w:tr>
        <w:trPr>
          <w:trHeight w:val="569"/>
        </w:trPr>
        <w:tc>
          <w:tcPr>
            <w:tcW w:w="55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 Achieve both short-term and long-term profitability goals</w:t>
            </w:r>
          </w:p>
        </w:tc>
        <w:tc>
          <w:tcPr>
            <w:tcW w:w="900" w:type="dxa"/>
            <w:vAlign w:val="bottom"/>
            <w:tcBorders>
              <w:right w:val="single" w:sz="8" w:color="auto"/>
            </w:tcBorders>
          </w:tcPr>
          <w:p>
            <w:pPr>
              <w:jc w:val="right"/>
              <w:spacing w:after="0" w:line="568" w:lineRule="exact"/>
              <w:rPr>
                <w:sz w:val="20"/>
                <w:szCs w:val="20"/>
                <w:color w:val="auto"/>
              </w:rPr>
            </w:pPr>
            <w:r>
              <w:rPr>
                <w:rFonts w:ascii="Wingdings" w:cs="Wingdings" w:eastAsia="Wingdings" w:hAnsi="Wingdings"/>
                <w:sz w:val="52"/>
                <w:szCs w:val="52"/>
                <w:b w:val="1"/>
                <w:bCs w:val="1"/>
                <w:color w:val="auto"/>
              </w:rPr>
              <w:t>ó</w:t>
            </w:r>
          </w:p>
        </w:tc>
        <w:tc>
          <w:tcPr>
            <w:tcW w:w="520" w:type="dxa"/>
            <w:vAlign w:val="bottom"/>
          </w:tcPr>
          <w:p>
            <w:pPr>
              <w:ind w:left="320"/>
              <w:spacing w:after="0"/>
              <w:rPr>
                <w:sz w:val="20"/>
                <w:szCs w:val="20"/>
                <w:color w:val="auto"/>
              </w:rPr>
            </w:pPr>
            <w:r>
              <w:rPr>
                <w:rFonts w:ascii="Arial" w:cs="Arial" w:eastAsia="Arial" w:hAnsi="Arial"/>
                <w:sz w:val="15"/>
                <w:szCs w:val="15"/>
                <w:color w:val="auto"/>
              </w:rPr>
              <w:t>–</w:t>
            </w:r>
          </w:p>
        </w:tc>
        <w:tc>
          <w:tcPr>
            <w:tcW w:w="4120" w:type="dxa"/>
            <w:vAlign w:val="bottom"/>
            <w:tcBorders>
              <w:right w:val="single" w:sz="8" w:color="auto"/>
            </w:tcBorders>
            <w:gridSpan w:val="3"/>
          </w:tcPr>
          <w:p>
            <w:pPr>
              <w:ind w:left="100"/>
              <w:spacing w:after="0"/>
              <w:rPr>
                <w:sz w:val="20"/>
                <w:szCs w:val="20"/>
                <w:color w:val="auto"/>
              </w:rPr>
            </w:pPr>
            <w:r>
              <w:rPr>
                <w:rFonts w:ascii="Arial" w:cs="Arial" w:eastAsia="Arial" w:hAnsi="Arial"/>
                <w:sz w:val="15"/>
                <w:szCs w:val="15"/>
                <w:color w:val="auto"/>
              </w:rPr>
              <w:t>Earnings per Diluted Share - 33.33%</w:t>
            </w:r>
          </w:p>
        </w:tc>
        <w:tc>
          <w:tcPr>
            <w:tcW w:w="0" w:type="dxa"/>
            <w:vAlign w:val="bottom"/>
          </w:tcPr>
          <w:p>
            <w:pPr>
              <w:spacing w:after="0"/>
              <w:rPr>
                <w:sz w:val="1"/>
                <w:szCs w:val="1"/>
                <w:color w:val="auto"/>
              </w:rPr>
            </w:pPr>
          </w:p>
        </w:tc>
      </w:tr>
      <w:tr>
        <w:trPr>
          <w:trHeight w:val="167"/>
        </w:trPr>
        <w:tc>
          <w:tcPr>
            <w:tcW w:w="5500" w:type="dxa"/>
            <w:vAlign w:val="bottom"/>
            <w:tcBorders>
              <w:left w:val="single" w:sz="8" w:color="auto"/>
              <w:right w:val="single" w:sz="8" w:color="auto"/>
            </w:tcBorders>
          </w:tcPr>
          <w:p>
            <w:pPr>
              <w:ind w:left="40"/>
              <w:spacing w:after="0" w:line="167" w:lineRule="exact"/>
              <w:rPr>
                <w:sz w:val="20"/>
                <w:szCs w:val="20"/>
                <w:color w:val="auto"/>
              </w:rPr>
            </w:pPr>
            <w:r>
              <w:rPr>
                <w:rFonts w:ascii="Arial" w:cs="Arial" w:eastAsia="Arial" w:hAnsi="Arial"/>
                <w:sz w:val="15"/>
                <w:szCs w:val="15"/>
                <w:color w:val="auto"/>
              </w:rPr>
              <w:t>Maximize performance returns and maintain a strong balance sheet</w:t>
            </w:r>
          </w:p>
        </w:tc>
        <w:tc>
          <w:tcPr>
            <w:tcW w:w="900" w:type="dxa"/>
            <w:vAlign w:val="bottom"/>
            <w:tcBorders>
              <w:right w:val="single" w:sz="8" w:color="auto"/>
            </w:tcBorders>
          </w:tcPr>
          <w:p>
            <w:pPr>
              <w:spacing w:after="0"/>
              <w:rPr>
                <w:sz w:val="14"/>
                <w:szCs w:val="14"/>
                <w:color w:val="auto"/>
              </w:rPr>
            </w:pPr>
          </w:p>
        </w:tc>
        <w:tc>
          <w:tcPr>
            <w:tcW w:w="1760" w:type="dxa"/>
            <w:vAlign w:val="bottom"/>
            <w:tcBorders>
              <w:bottom w:val="single" w:sz="8" w:color="auto"/>
            </w:tcBorders>
            <w:gridSpan w:val="3"/>
          </w:tcPr>
          <w:p>
            <w:pPr>
              <w:spacing w:after="0" w:line="167" w:lineRule="exact"/>
              <w:rPr>
                <w:sz w:val="20"/>
                <w:szCs w:val="20"/>
                <w:color w:val="auto"/>
              </w:rPr>
            </w:pPr>
            <w:r>
              <w:rPr>
                <w:rFonts w:ascii="Arial" w:cs="Arial" w:eastAsia="Arial" w:hAnsi="Arial"/>
                <w:sz w:val="15"/>
                <w:szCs w:val="15"/>
                <w:color w:val="auto"/>
              </w:rPr>
              <w:t>Long-Term Incentive Plan</w:t>
            </w:r>
          </w:p>
        </w:tc>
        <w:tc>
          <w:tcPr>
            <w:tcW w:w="2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5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 Generate cash flow to support future growth through capital and technology</w:t>
            </w:r>
          </w:p>
        </w:tc>
        <w:tc>
          <w:tcPr>
            <w:tcW w:w="900" w:type="dxa"/>
            <w:vAlign w:val="bottom"/>
            <w:tcBorders>
              <w:right w:val="single" w:sz="8" w:color="auto"/>
            </w:tcBorders>
          </w:tcPr>
          <w:p>
            <w:pPr>
              <w:spacing w:after="0"/>
              <w:rPr>
                <w:sz w:val="15"/>
                <w:szCs w:val="15"/>
                <w:color w:val="auto"/>
              </w:rPr>
            </w:pPr>
          </w:p>
        </w:tc>
        <w:tc>
          <w:tcPr>
            <w:tcW w:w="4640" w:type="dxa"/>
            <w:vAlign w:val="bottom"/>
            <w:tcBorders>
              <w:right w:val="single" w:sz="8" w:color="auto"/>
            </w:tcBorders>
            <w:gridSpan w:val="4"/>
            <w:vMerge w:val="restart"/>
          </w:tcPr>
          <w:p>
            <w:pPr>
              <w:ind w:left="320"/>
              <w:spacing w:after="0"/>
              <w:rPr>
                <w:sz w:val="20"/>
                <w:szCs w:val="20"/>
                <w:color w:val="auto"/>
              </w:rPr>
            </w:pPr>
            <w:r>
              <w:rPr>
                <w:rFonts w:ascii="Arial" w:cs="Arial" w:eastAsia="Arial" w:hAnsi="Arial"/>
                <w:sz w:val="15"/>
                <w:szCs w:val="15"/>
                <w:color w:val="auto"/>
              </w:rPr>
              <w:t>–   3 year cumulative EBITDA - 50%</w:t>
            </w:r>
          </w:p>
        </w:tc>
        <w:tc>
          <w:tcPr>
            <w:tcW w:w="0" w:type="dxa"/>
            <w:vAlign w:val="bottom"/>
          </w:tcPr>
          <w:p>
            <w:pPr>
              <w:spacing w:after="0"/>
              <w:rPr>
                <w:sz w:val="1"/>
                <w:szCs w:val="1"/>
                <w:color w:val="auto"/>
              </w:rPr>
            </w:pPr>
          </w:p>
        </w:tc>
      </w:tr>
      <w:tr>
        <w:trPr>
          <w:trHeight w:val="204"/>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investments and to provide returns to shareholders</w:t>
            </w:r>
          </w:p>
        </w:tc>
        <w:tc>
          <w:tcPr>
            <w:tcW w:w="90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 Deliver appropriate ROIC</w:t>
            </w:r>
          </w:p>
        </w:tc>
        <w:tc>
          <w:tcPr>
            <w:tcW w:w="90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4"/>
          </w:tcPr>
          <w:p>
            <w:pPr>
              <w:ind w:left="320"/>
              <w:spacing w:after="0"/>
              <w:rPr>
                <w:sz w:val="20"/>
                <w:szCs w:val="20"/>
                <w:color w:val="auto"/>
              </w:rPr>
            </w:pPr>
            <w:r>
              <w:rPr>
                <w:rFonts w:ascii="Arial" w:cs="Arial" w:eastAsia="Arial" w:hAnsi="Arial"/>
                <w:sz w:val="15"/>
                <w:szCs w:val="15"/>
                <w:color w:val="auto"/>
              </w:rPr>
              <w:t>–   3 year cumulative ROIC - 50%</w:t>
            </w:r>
          </w:p>
        </w:tc>
        <w:tc>
          <w:tcPr>
            <w:tcW w:w="0" w:type="dxa"/>
            <w:vAlign w:val="bottom"/>
          </w:tcPr>
          <w:p>
            <w:pPr>
              <w:spacing w:after="0"/>
              <w:rPr>
                <w:sz w:val="1"/>
                <w:szCs w:val="1"/>
                <w:color w:val="auto"/>
              </w:rPr>
            </w:pPr>
          </w:p>
        </w:tc>
      </w:tr>
      <w:tr>
        <w:trPr>
          <w:trHeight w:val="32"/>
        </w:trPr>
        <w:tc>
          <w:tcPr>
            <w:tcW w:w="550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00" w:type="dxa"/>
            <w:vAlign w:val="bottom"/>
            <w:gridSpan w:val="3"/>
          </w:tcPr>
          <w:p>
            <w:pPr>
              <w:spacing w:after="0"/>
              <w:rPr>
                <w:sz w:val="20"/>
                <w:szCs w:val="20"/>
                <w:color w:val="auto"/>
              </w:rPr>
            </w:pPr>
            <w:r>
              <w:rPr>
                <w:rFonts w:ascii="Arial" w:cs="Arial" w:eastAsia="Arial" w:hAnsi="Arial"/>
                <w:sz w:val="17"/>
                <w:szCs w:val="17"/>
                <w:b w:val="1"/>
                <w:bCs w:val="1"/>
                <w:color w:val="auto"/>
              </w:rPr>
              <w:t>Our Officer Compensation Practices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1240" w:type="dxa"/>
            <w:vAlign w:val="bottom"/>
          </w:tcPr>
          <w:p>
            <w:pPr>
              <w:ind w:left="620"/>
              <w:spacing w:after="0"/>
              <w:rPr>
                <w:sz w:val="20"/>
                <w:szCs w:val="20"/>
                <w:color w:val="auto"/>
              </w:rPr>
            </w:pPr>
            <w:r>
              <w:rPr>
                <w:rFonts w:ascii="Arial" w:cs="Arial" w:eastAsia="Arial" w:hAnsi="Arial"/>
                <w:sz w:val="17"/>
                <w:szCs w:val="17"/>
                <w:color w:val="auto"/>
              </w:rPr>
              <w:t>Our</w:t>
            </w:r>
          </w:p>
        </w:tc>
        <w:tc>
          <w:tcPr>
            <w:tcW w:w="740" w:type="dxa"/>
            <w:vAlign w:val="bottom"/>
          </w:tcPr>
          <w:p>
            <w:pPr>
              <w:ind w:left="20"/>
              <w:spacing w:after="0"/>
              <w:rPr>
                <w:sz w:val="20"/>
                <w:szCs w:val="20"/>
                <w:color w:val="auto"/>
              </w:rPr>
            </w:pPr>
            <w:r>
              <w:rPr>
                <w:rFonts w:ascii="Arial" w:cs="Arial" w:eastAsia="Arial" w:hAnsi="Arial"/>
                <w:sz w:val="17"/>
                <w:szCs w:val="17"/>
                <w:color w:val="auto"/>
              </w:rPr>
              <w:t>officer</w:t>
            </w:r>
          </w:p>
        </w:tc>
        <w:tc>
          <w:tcPr>
            <w:tcW w:w="1320" w:type="dxa"/>
            <w:vAlign w:val="bottom"/>
          </w:tcPr>
          <w:p>
            <w:pPr>
              <w:ind w:left="80"/>
              <w:spacing w:after="0"/>
              <w:rPr>
                <w:sz w:val="20"/>
                <w:szCs w:val="20"/>
                <w:color w:val="auto"/>
              </w:rPr>
            </w:pPr>
            <w:r>
              <w:rPr>
                <w:rFonts w:ascii="Arial" w:cs="Arial" w:eastAsia="Arial" w:hAnsi="Arial"/>
                <w:sz w:val="17"/>
                <w:szCs w:val="17"/>
                <w:color w:val="auto"/>
              </w:rPr>
              <w:t>compensation</w:t>
            </w:r>
          </w:p>
        </w:tc>
        <w:tc>
          <w:tcPr>
            <w:tcW w:w="980" w:type="dxa"/>
            <w:vAlign w:val="bottom"/>
          </w:tcPr>
          <w:p>
            <w:pPr>
              <w:ind w:left="180"/>
              <w:spacing w:after="0"/>
              <w:rPr>
                <w:sz w:val="20"/>
                <w:szCs w:val="20"/>
                <w:color w:val="auto"/>
              </w:rPr>
            </w:pPr>
            <w:r>
              <w:rPr>
                <w:rFonts w:ascii="Arial" w:cs="Arial" w:eastAsia="Arial" w:hAnsi="Arial"/>
                <w:sz w:val="17"/>
                <w:szCs w:val="17"/>
                <w:color w:val="auto"/>
              </w:rPr>
              <w:t>program</w:t>
            </w:r>
          </w:p>
        </w:tc>
        <w:tc>
          <w:tcPr>
            <w:tcW w:w="900" w:type="dxa"/>
            <w:vAlign w:val="bottom"/>
          </w:tcPr>
          <w:p>
            <w:pPr>
              <w:ind w:left="180"/>
              <w:spacing w:after="0"/>
              <w:rPr>
                <w:sz w:val="20"/>
                <w:szCs w:val="20"/>
                <w:color w:val="auto"/>
              </w:rPr>
            </w:pPr>
            <w:r>
              <w:rPr>
                <w:rFonts w:ascii="Arial" w:cs="Arial" w:eastAsia="Arial" w:hAnsi="Arial"/>
                <w:sz w:val="17"/>
                <w:szCs w:val="17"/>
                <w:color w:val="auto"/>
              </w:rPr>
              <w:t>features</w:t>
            </w:r>
          </w:p>
        </w:tc>
        <w:tc>
          <w:tcPr>
            <w:tcW w:w="840" w:type="dxa"/>
            <w:vAlign w:val="bottom"/>
          </w:tcPr>
          <w:p>
            <w:pPr>
              <w:ind w:left="240"/>
              <w:spacing w:after="0"/>
              <w:rPr>
                <w:sz w:val="20"/>
                <w:szCs w:val="20"/>
                <w:color w:val="auto"/>
              </w:rPr>
            </w:pPr>
            <w:r>
              <w:rPr>
                <w:rFonts w:ascii="Arial" w:cs="Arial" w:eastAsia="Arial" w:hAnsi="Arial"/>
                <w:sz w:val="17"/>
                <w:szCs w:val="17"/>
                <w:color w:val="auto"/>
              </w:rPr>
              <w:t>many</w:t>
            </w:r>
          </w:p>
        </w:tc>
        <w:tc>
          <w:tcPr>
            <w:tcW w:w="840" w:type="dxa"/>
            <w:vAlign w:val="bottom"/>
          </w:tcPr>
          <w:p>
            <w:pPr>
              <w:ind w:left="160"/>
              <w:spacing w:after="0"/>
              <w:rPr>
                <w:sz w:val="20"/>
                <w:szCs w:val="20"/>
                <w:color w:val="auto"/>
              </w:rPr>
            </w:pPr>
            <w:r>
              <w:rPr>
                <w:rFonts w:ascii="Arial" w:cs="Arial" w:eastAsia="Arial" w:hAnsi="Arial"/>
                <w:sz w:val="17"/>
                <w:szCs w:val="17"/>
                <w:color w:val="auto"/>
              </w:rPr>
              <w:t>best</w:t>
            </w:r>
          </w:p>
        </w:tc>
        <w:tc>
          <w:tcPr>
            <w:tcW w:w="860" w:type="dxa"/>
            <w:vAlign w:val="bottom"/>
          </w:tcPr>
          <w:p>
            <w:pPr>
              <w:spacing w:after="0"/>
              <w:rPr>
                <w:sz w:val="20"/>
                <w:szCs w:val="20"/>
                <w:color w:val="auto"/>
              </w:rPr>
            </w:pPr>
            <w:r>
              <w:rPr>
                <w:rFonts w:ascii="Arial" w:cs="Arial" w:eastAsia="Arial" w:hAnsi="Arial"/>
                <w:sz w:val="17"/>
                <w:szCs w:val="17"/>
                <w:color w:val="auto"/>
              </w:rPr>
              <w:t>practices</w:t>
            </w:r>
          </w:p>
        </w:tc>
        <w:tc>
          <w:tcPr>
            <w:tcW w:w="620" w:type="dxa"/>
            <w:vAlign w:val="bottom"/>
          </w:tcPr>
          <w:p>
            <w:pPr>
              <w:ind w:left="180"/>
              <w:spacing w:after="0"/>
              <w:rPr>
                <w:sz w:val="20"/>
                <w:szCs w:val="20"/>
                <w:color w:val="auto"/>
              </w:rPr>
            </w:pPr>
            <w:r>
              <w:rPr>
                <w:rFonts w:ascii="Arial" w:cs="Arial" w:eastAsia="Arial" w:hAnsi="Arial"/>
                <w:sz w:val="17"/>
                <w:szCs w:val="17"/>
                <w:color w:val="auto"/>
              </w:rPr>
              <w:t>that</w:t>
            </w:r>
          </w:p>
        </w:tc>
        <w:tc>
          <w:tcPr>
            <w:tcW w:w="780" w:type="dxa"/>
            <w:vAlign w:val="bottom"/>
          </w:tcPr>
          <w:p>
            <w:pPr>
              <w:ind w:left="180"/>
              <w:spacing w:after="0"/>
              <w:rPr>
                <w:sz w:val="20"/>
                <w:szCs w:val="20"/>
                <w:color w:val="auto"/>
              </w:rPr>
            </w:pPr>
            <w:r>
              <w:rPr>
                <w:rFonts w:ascii="Arial" w:cs="Arial" w:eastAsia="Arial" w:hAnsi="Arial"/>
                <w:sz w:val="17"/>
                <w:szCs w:val="17"/>
                <w:color w:val="auto"/>
              </w:rPr>
              <w:t>serve</w:t>
            </w:r>
          </w:p>
        </w:tc>
        <w:tc>
          <w:tcPr>
            <w:tcW w:w="1240" w:type="dxa"/>
            <w:vAlign w:val="bottom"/>
          </w:tcPr>
          <w:p>
            <w:pPr>
              <w:ind w:left="160"/>
              <w:spacing w:after="0"/>
              <w:rPr>
                <w:sz w:val="20"/>
                <w:szCs w:val="20"/>
                <w:color w:val="auto"/>
              </w:rPr>
            </w:pPr>
            <w:r>
              <w:rPr>
                <w:rFonts w:ascii="Arial" w:cs="Arial" w:eastAsia="Arial" w:hAnsi="Arial"/>
                <w:sz w:val="17"/>
                <w:szCs w:val="17"/>
                <w:color w:val="auto"/>
              </w:rPr>
              <w:t>shareholder</w:t>
            </w:r>
          </w:p>
        </w:tc>
        <w:tc>
          <w:tcPr>
            <w:tcW w:w="880" w:type="dxa"/>
            <w:vAlign w:val="bottom"/>
            <w:gridSpan w:val="2"/>
          </w:tcPr>
          <w:p>
            <w:pPr>
              <w:ind w:left="180"/>
              <w:spacing w:after="0"/>
              <w:rPr>
                <w:sz w:val="20"/>
                <w:szCs w:val="20"/>
                <w:color w:val="auto"/>
              </w:rPr>
            </w:pPr>
            <w:r>
              <w:rPr>
                <w:rFonts w:ascii="Arial" w:cs="Arial" w:eastAsia="Arial" w:hAnsi="Arial"/>
                <w:sz w:val="17"/>
                <w:szCs w:val="17"/>
                <w:color w:val="auto"/>
                <w:w w:val="98"/>
              </w:rPr>
              <w:t>interests.</w:t>
            </w:r>
          </w:p>
        </w:tc>
        <w:tc>
          <w:tcPr>
            <w:tcW w:w="0" w:type="dxa"/>
            <w:vAlign w:val="bottom"/>
          </w:tcPr>
          <w:p>
            <w:pPr>
              <w:spacing w:after="0"/>
              <w:rPr>
                <w:sz w:val="1"/>
                <w:szCs w:val="1"/>
                <w:color w:val="auto"/>
              </w:rPr>
            </w:pPr>
          </w:p>
        </w:tc>
      </w:tr>
      <w:tr>
        <w:trPr>
          <w:trHeight w:val="242"/>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What We Do…</w:t>
            </w:r>
          </w:p>
        </w:tc>
        <w:tc>
          <w:tcPr>
            <w:tcW w:w="7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What We Don't Do...</w:t>
            </w:r>
          </w:p>
        </w:tc>
        <w:tc>
          <w:tcPr>
            <w:tcW w:w="8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5180" w:type="dxa"/>
            <w:vAlign w:val="bottom"/>
            <w:gridSpan w:val="5"/>
          </w:tcPr>
          <w:p>
            <w:pPr>
              <w:ind w:left="360"/>
              <w:spacing w:after="0" w:line="160" w:lineRule="exact"/>
              <w:rPr>
                <w:sz w:val="20"/>
                <w:szCs w:val="20"/>
                <w:color w:val="auto"/>
              </w:rPr>
            </w:pPr>
            <w:r>
              <w:rPr>
                <w:rFonts w:ascii="Arial" w:cs="Arial" w:eastAsia="Arial" w:hAnsi="Arial"/>
                <w:sz w:val="17"/>
                <w:szCs w:val="17"/>
                <w:color w:val="auto"/>
              </w:rPr>
              <w:t>Base a significant portion of compensation on the achievement</w:t>
            </w: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180" w:type="dxa"/>
            <w:vAlign w:val="bottom"/>
            <w:gridSpan w:val="5"/>
          </w:tcPr>
          <w:p>
            <w:pPr>
              <w:ind w:left="360"/>
              <w:spacing w:after="0" w:line="167" w:lineRule="exact"/>
              <w:rPr>
                <w:sz w:val="20"/>
                <w:szCs w:val="20"/>
                <w:color w:val="auto"/>
              </w:rPr>
            </w:pPr>
            <w:r>
              <w:rPr>
                <w:rFonts w:ascii="Arial" w:cs="Arial" w:eastAsia="Arial" w:hAnsi="Arial"/>
                <w:sz w:val="17"/>
                <w:szCs w:val="17"/>
                <w:color w:val="auto"/>
              </w:rPr>
              <w:t>of objective, pre-established goals tied to financial, operational,</w:t>
            </w:r>
          </w:p>
        </w:tc>
        <w:tc>
          <w:tcPr>
            <w:tcW w:w="2540" w:type="dxa"/>
            <w:vAlign w:val="bottom"/>
            <w:gridSpan w:val="3"/>
            <w:vMerge w:val="restart"/>
          </w:tcPr>
          <w:p>
            <w:pPr>
              <w:ind w:left="40"/>
              <w:spacing w:after="0"/>
              <w:rPr>
                <w:sz w:val="20"/>
                <w:szCs w:val="20"/>
                <w:color w:val="auto"/>
              </w:rPr>
            </w:pPr>
            <w:r>
              <w:rPr>
                <w:rFonts w:ascii="Wingdings" w:cs="Wingdings" w:eastAsia="Wingdings" w:hAnsi="Wingdings"/>
                <w:sz w:val="34"/>
                <w:szCs w:val="34"/>
                <w:b w:val="1"/>
                <w:bCs w:val="1"/>
                <w:color w:val="auto"/>
              </w:rPr>
              <w:t xml:space="preserve">û </w:t>
            </w:r>
            <w:r>
              <w:rPr>
                <w:rFonts w:ascii="Arial" w:cs="Arial" w:eastAsia="Arial" w:hAnsi="Arial"/>
                <w:sz w:val="17"/>
                <w:szCs w:val="17"/>
                <w:color w:val="auto"/>
              </w:rPr>
              <w:t>No excise tax gross ups</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300" w:type="dxa"/>
            <w:vAlign w:val="bottom"/>
            <w:gridSpan w:val="3"/>
          </w:tcPr>
          <w:p>
            <w:pPr>
              <w:ind w:left="80"/>
              <w:spacing w:after="0" w:line="228" w:lineRule="exact"/>
              <w:rPr>
                <w:sz w:val="20"/>
                <w:szCs w:val="20"/>
                <w:color w:val="auto"/>
              </w:rPr>
            </w:pPr>
            <w:r>
              <w:rPr>
                <w:rFonts w:ascii="Wingdings" w:cs="Wingdings" w:eastAsia="Wingdings" w:hAnsi="Wingdings"/>
                <w:sz w:val="24"/>
                <w:szCs w:val="24"/>
                <w:b w:val="1"/>
                <w:bCs w:val="1"/>
                <w:color w:val="auto"/>
              </w:rPr>
              <w:t xml:space="preserve">ü </w:t>
            </w:r>
            <w:r>
              <w:rPr>
                <w:rFonts w:ascii="Arial" w:cs="Arial" w:eastAsia="Arial" w:hAnsi="Arial"/>
                <w:sz w:val="17"/>
                <w:szCs w:val="17"/>
                <w:color w:val="auto"/>
              </w:rPr>
              <w:t>and strategic measures.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540" w:type="dxa"/>
            <w:vAlign w:val="bottom"/>
            <w:gridSpan w:val="3"/>
            <w:vMerge w:val="continue"/>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5180" w:type="dxa"/>
            <w:vAlign w:val="bottom"/>
            <w:gridSpan w:val="5"/>
          </w:tcPr>
          <w:p>
            <w:pPr>
              <w:ind w:left="360"/>
              <w:spacing w:after="0" w:line="172" w:lineRule="exact"/>
              <w:rPr>
                <w:sz w:val="20"/>
                <w:szCs w:val="20"/>
                <w:color w:val="auto"/>
              </w:rPr>
            </w:pPr>
            <w:r>
              <w:rPr>
                <w:rFonts w:ascii="Arial" w:cs="Arial" w:eastAsia="Arial" w:hAnsi="Arial"/>
                <w:sz w:val="17"/>
                <w:szCs w:val="17"/>
                <w:color w:val="auto"/>
              </w:rPr>
              <w:t>Award incentive compensation based primarily on objective</w:t>
            </w:r>
          </w:p>
        </w:tc>
        <w:tc>
          <w:tcPr>
            <w:tcW w:w="2540" w:type="dxa"/>
            <w:vAlign w:val="bottom"/>
            <w:gridSpan w:val="3"/>
            <w:vMerge w:val="restart"/>
          </w:tcPr>
          <w:p>
            <w:pPr>
              <w:ind w:left="40"/>
              <w:spacing w:after="0"/>
              <w:rPr>
                <w:sz w:val="20"/>
                <w:szCs w:val="20"/>
                <w:color w:val="auto"/>
              </w:rPr>
            </w:pPr>
            <w:r>
              <w:rPr>
                <w:rFonts w:ascii="Wingdings" w:cs="Wingdings" w:eastAsia="Wingdings" w:hAnsi="Wingdings"/>
                <w:sz w:val="34"/>
                <w:szCs w:val="34"/>
                <w:b w:val="1"/>
                <w:bCs w:val="1"/>
                <w:color w:val="auto"/>
              </w:rPr>
              <w:t xml:space="preserve">û </w:t>
            </w:r>
            <w:r>
              <w:rPr>
                <w:rFonts w:ascii="Arial" w:cs="Arial" w:eastAsia="Arial" w:hAnsi="Arial"/>
                <w:sz w:val="17"/>
                <w:szCs w:val="17"/>
                <w:color w:val="auto"/>
              </w:rPr>
              <w:t>No excessive perquisites</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280" w:type="dxa"/>
            <w:vAlign w:val="bottom"/>
            <w:gridSpan w:val="4"/>
          </w:tcPr>
          <w:p>
            <w:pPr>
              <w:ind w:left="80"/>
              <w:spacing w:after="0" w:line="228" w:lineRule="exact"/>
              <w:rPr>
                <w:sz w:val="20"/>
                <w:szCs w:val="20"/>
                <w:color w:val="auto"/>
              </w:rPr>
            </w:pPr>
            <w:r>
              <w:rPr>
                <w:rFonts w:ascii="Wingdings" w:cs="Wingdings" w:eastAsia="Wingdings" w:hAnsi="Wingdings"/>
                <w:sz w:val="24"/>
                <w:szCs w:val="24"/>
                <w:b w:val="1"/>
                <w:bCs w:val="1"/>
                <w:color w:val="auto"/>
              </w:rPr>
              <w:t xml:space="preserve">ü </w:t>
            </w:r>
            <w:r>
              <w:rPr>
                <w:rFonts w:ascii="Arial" w:cs="Arial" w:eastAsia="Arial" w:hAnsi="Arial"/>
                <w:sz w:val="17"/>
                <w:szCs w:val="17"/>
                <w:color w:val="auto"/>
              </w:rPr>
              <w:t>measures, both short-term and long-term.</w:t>
            </w:r>
          </w:p>
        </w:tc>
        <w:tc>
          <w:tcPr>
            <w:tcW w:w="900" w:type="dxa"/>
            <w:vAlign w:val="bottom"/>
          </w:tcPr>
          <w:p>
            <w:pPr>
              <w:spacing w:after="0"/>
              <w:rPr>
                <w:sz w:val="19"/>
                <w:szCs w:val="19"/>
                <w:color w:val="auto"/>
              </w:rPr>
            </w:pPr>
          </w:p>
        </w:tc>
        <w:tc>
          <w:tcPr>
            <w:tcW w:w="2540" w:type="dxa"/>
            <w:vAlign w:val="bottom"/>
            <w:gridSpan w:val="3"/>
            <w:vMerge w:val="continue"/>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5180" w:type="dxa"/>
            <w:vAlign w:val="bottom"/>
            <w:gridSpan w:val="5"/>
          </w:tcPr>
          <w:p>
            <w:pPr>
              <w:ind w:left="360"/>
              <w:spacing w:after="0" w:line="172" w:lineRule="exact"/>
              <w:rPr>
                <w:sz w:val="20"/>
                <w:szCs w:val="20"/>
                <w:color w:val="auto"/>
              </w:rPr>
            </w:pPr>
            <w:r>
              <w:rPr>
                <w:rFonts w:ascii="Arial" w:cs="Arial" w:eastAsia="Arial" w:hAnsi="Arial"/>
                <w:sz w:val="17"/>
                <w:szCs w:val="17"/>
                <w:color w:val="auto"/>
              </w:rPr>
              <w:t>Provide compensation in equity to help meet Stock Ownership</w:t>
            </w:r>
          </w:p>
        </w:tc>
        <w:tc>
          <w:tcPr>
            <w:tcW w:w="3160" w:type="dxa"/>
            <w:vAlign w:val="bottom"/>
            <w:gridSpan w:val="4"/>
            <w:vMerge w:val="restart"/>
          </w:tcPr>
          <w:p>
            <w:pPr>
              <w:ind w:left="40"/>
              <w:spacing w:after="0"/>
              <w:rPr>
                <w:sz w:val="20"/>
                <w:szCs w:val="20"/>
                <w:color w:val="auto"/>
              </w:rPr>
            </w:pPr>
            <w:r>
              <w:rPr>
                <w:rFonts w:ascii="Wingdings" w:cs="Wingdings" w:eastAsia="Wingdings" w:hAnsi="Wingdings"/>
                <w:sz w:val="34"/>
                <w:szCs w:val="34"/>
                <w:b w:val="1"/>
                <w:bCs w:val="1"/>
                <w:color w:val="auto"/>
              </w:rPr>
              <w:t xml:space="preserve">û </w:t>
            </w:r>
            <w:r>
              <w:rPr>
                <w:rFonts w:ascii="Arial" w:cs="Arial" w:eastAsia="Arial" w:hAnsi="Arial"/>
                <w:sz w:val="17"/>
                <w:szCs w:val="17"/>
                <w:color w:val="auto"/>
              </w:rPr>
              <w:t>No hedging or pledging of stock</w:t>
            </w: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240" w:type="dxa"/>
            <w:vAlign w:val="bottom"/>
          </w:tcPr>
          <w:p>
            <w:pPr>
              <w:ind w:left="80"/>
              <w:spacing w:after="0" w:line="228" w:lineRule="exact"/>
              <w:rPr>
                <w:sz w:val="20"/>
                <w:szCs w:val="20"/>
                <w:color w:val="auto"/>
              </w:rPr>
            </w:pPr>
            <w:r>
              <w:rPr>
                <w:rFonts w:ascii="Wingdings" w:cs="Wingdings" w:eastAsia="Wingdings" w:hAnsi="Wingdings"/>
                <w:sz w:val="24"/>
                <w:szCs w:val="24"/>
                <w:b w:val="1"/>
                <w:bCs w:val="1"/>
                <w:color w:val="auto"/>
                <w:w w:val="94"/>
              </w:rPr>
              <w:t xml:space="preserve">ü </w:t>
            </w:r>
            <w:r>
              <w:rPr>
                <w:rFonts w:ascii="Arial" w:cs="Arial" w:eastAsia="Arial" w:hAnsi="Arial"/>
                <w:sz w:val="17"/>
                <w:szCs w:val="17"/>
                <w:color w:val="auto"/>
                <w:w w:val="94"/>
              </w:rPr>
              <w:t>Guidelines.</w:t>
            </w: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160" w:type="dxa"/>
            <w:vAlign w:val="bottom"/>
            <w:gridSpan w:val="4"/>
            <w:vMerge w:val="continue"/>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5180" w:type="dxa"/>
            <w:vAlign w:val="bottom"/>
            <w:gridSpan w:val="5"/>
          </w:tcPr>
          <w:p>
            <w:pPr>
              <w:ind w:left="360"/>
              <w:spacing w:after="0" w:line="172" w:lineRule="exact"/>
              <w:rPr>
                <w:sz w:val="20"/>
                <w:szCs w:val="20"/>
                <w:color w:val="auto"/>
              </w:rPr>
            </w:pPr>
            <w:r>
              <w:rPr>
                <w:rFonts w:ascii="Arial" w:cs="Arial" w:eastAsia="Arial" w:hAnsi="Arial"/>
                <w:sz w:val="17"/>
                <w:szCs w:val="17"/>
                <w:color w:val="auto"/>
              </w:rPr>
              <w:t>Maintain a compliant clawback policy to recapture unearned</w:t>
            </w:r>
          </w:p>
        </w:tc>
        <w:tc>
          <w:tcPr>
            <w:tcW w:w="5180" w:type="dxa"/>
            <w:vAlign w:val="bottom"/>
            <w:gridSpan w:val="6"/>
            <w:vMerge w:val="restart"/>
          </w:tcPr>
          <w:p>
            <w:pPr>
              <w:ind w:left="40"/>
              <w:spacing w:after="0"/>
              <w:rPr>
                <w:sz w:val="20"/>
                <w:szCs w:val="20"/>
                <w:color w:val="auto"/>
              </w:rPr>
            </w:pPr>
            <w:r>
              <w:rPr>
                <w:rFonts w:ascii="Wingdings" w:cs="Wingdings" w:eastAsia="Wingdings" w:hAnsi="Wingdings"/>
                <w:sz w:val="34"/>
                <w:szCs w:val="34"/>
                <w:b w:val="1"/>
                <w:bCs w:val="1"/>
                <w:color w:val="auto"/>
              </w:rPr>
              <w:t xml:space="preserve">û </w:t>
            </w:r>
            <w:r>
              <w:rPr>
                <w:rFonts w:ascii="Arial" w:cs="Arial" w:eastAsia="Arial" w:hAnsi="Arial"/>
                <w:sz w:val="17"/>
                <w:szCs w:val="17"/>
                <w:color w:val="auto"/>
              </w:rPr>
              <w:t>No excessive change-in-control severance provisions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980" w:type="dxa"/>
            <w:vAlign w:val="bottom"/>
            <w:gridSpan w:val="2"/>
          </w:tcPr>
          <w:p>
            <w:pPr>
              <w:ind w:left="80"/>
              <w:spacing w:after="0" w:line="228" w:lineRule="exact"/>
              <w:rPr>
                <w:sz w:val="20"/>
                <w:szCs w:val="20"/>
                <w:color w:val="auto"/>
              </w:rPr>
            </w:pPr>
            <w:r>
              <w:rPr>
                <w:rFonts w:ascii="Wingdings" w:cs="Wingdings" w:eastAsia="Wingdings" w:hAnsi="Wingdings"/>
                <w:sz w:val="24"/>
                <w:szCs w:val="24"/>
                <w:b w:val="1"/>
                <w:bCs w:val="1"/>
                <w:color w:val="auto"/>
              </w:rPr>
              <w:t xml:space="preserve">ü </w:t>
            </w:r>
            <w:r>
              <w:rPr>
                <w:rFonts w:ascii="Arial" w:cs="Arial" w:eastAsia="Arial" w:hAnsi="Arial"/>
                <w:sz w:val="17"/>
                <w:szCs w:val="17"/>
                <w:color w:val="auto"/>
              </w:rPr>
              <w:t>incentive payments.</w:t>
            </w: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180" w:type="dxa"/>
            <w:vAlign w:val="bottom"/>
            <w:gridSpan w:val="6"/>
            <w:vMerge w:val="continue"/>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5180" w:type="dxa"/>
            <w:vAlign w:val="bottom"/>
            <w:gridSpan w:val="5"/>
          </w:tcPr>
          <w:p>
            <w:pPr>
              <w:ind w:left="360"/>
              <w:spacing w:after="0" w:line="172" w:lineRule="exact"/>
              <w:rPr>
                <w:sz w:val="20"/>
                <w:szCs w:val="20"/>
                <w:color w:val="auto"/>
              </w:rPr>
            </w:pPr>
            <w:r>
              <w:rPr>
                <w:rFonts w:ascii="Arial" w:cs="Arial" w:eastAsia="Arial" w:hAnsi="Arial"/>
                <w:sz w:val="17"/>
                <w:szCs w:val="17"/>
                <w:color w:val="auto"/>
              </w:rPr>
              <w:t>Retain an independent compensation consultant when</w:t>
            </w:r>
          </w:p>
        </w:tc>
        <w:tc>
          <w:tcPr>
            <w:tcW w:w="5180" w:type="dxa"/>
            <w:vAlign w:val="bottom"/>
            <w:gridSpan w:val="6"/>
            <w:vMerge w:val="restart"/>
          </w:tcPr>
          <w:p>
            <w:pPr>
              <w:ind w:left="40"/>
              <w:spacing w:after="0"/>
              <w:rPr>
                <w:sz w:val="20"/>
                <w:szCs w:val="20"/>
                <w:color w:val="auto"/>
              </w:rPr>
            </w:pPr>
            <w:r>
              <w:rPr>
                <w:rFonts w:ascii="Wingdings" w:cs="Wingdings" w:eastAsia="Wingdings" w:hAnsi="Wingdings"/>
                <w:sz w:val="34"/>
                <w:szCs w:val="34"/>
                <w:b w:val="1"/>
                <w:bCs w:val="1"/>
                <w:color w:val="auto"/>
              </w:rPr>
              <w:t xml:space="preserve">û </w:t>
            </w:r>
            <w:r>
              <w:rPr>
                <w:rFonts w:ascii="Arial" w:cs="Arial" w:eastAsia="Arial" w:hAnsi="Arial"/>
                <w:sz w:val="17"/>
                <w:szCs w:val="17"/>
                <w:color w:val="auto"/>
              </w:rPr>
              <w:t>No dividends paid if performance shares are not earned</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980" w:type="dxa"/>
            <w:vAlign w:val="bottom"/>
            <w:gridSpan w:val="2"/>
          </w:tcPr>
          <w:p>
            <w:pPr>
              <w:ind w:left="80"/>
              <w:spacing w:after="0" w:line="244" w:lineRule="exact"/>
              <w:rPr>
                <w:sz w:val="20"/>
                <w:szCs w:val="20"/>
                <w:color w:val="auto"/>
              </w:rPr>
            </w:pPr>
            <w:r>
              <w:rPr>
                <w:rFonts w:ascii="Wingdings" w:cs="Wingdings" w:eastAsia="Wingdings" w:hAnsi="Wingdings"/>
                <w:sz w:val="24"/>
                <w:szCs w:val="24"/>
                <w:b w:val="1"/>
                <w:bCs w:val="1"/>
                <w:color w:val="auto"/>
              </w:rPr>
              <w:t xml:space="preserve">ü </w:t>
            </w:r>
            <w:r>
              <w:rPr>
                <w:rFonts w:ascii="Arial" w:cs="Arial" w:eastAsia="Arial" w:hAnsi="Arial"/>
                <w:sz w:val="17"/>
                <w:szCs w:val="17"/>
                <w:color w:val="auto"/>
              </w:rPr>
              <w:t>appropriate.</w:t>
            </w:r>
          </w:p>
        </w:tc>
        <w:tc>
          <w:tcPr>
            <w:tcW w:w="1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180" w:type="dxa"/>
            <w:vAlign w:val="bottom"/>
            <w:gridSpan w:val="6"/>
            <w:vMerge w:val="continue"/>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-1527810</wp:posOffset>
            </wp:positionV>
            <wp:extent cx="8255" cy="17741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1774190"/>
                    </a:xfrm>
                    <a:prstGeom prst="rect">
                      <a:avLst/>
                    </a:prstGeom>
                    <a:noFill/>
                  </pic:spPr>
                </pic:pic>
              </a:graphicData>
            </a:graphic>
          </wp:anchor>
        </w:drawing>
      </w:r>
    </w:p>
    <w:p>
      <w:pPr>
        <w:ind w:left="360"/>
        <w:spacing w:after="0" w:line="195" w:lineRule="auto"/>
        <w:rPr>
          <w:sz w:val="20"/>
          <w:szCs w:val="20"/>
          <w:color w:val="auto"/>
        </w:rPr>
      </w:pPr>
      <w:r>
        <w:rPr>
          <w:rFonts w:ascii="Arial" w:cs="Arial" w:eastAsia="Arial" w:hAnsi="Arial"/>
          <w:sz w:val="10"/>
          <w:szCs w:val="10"/>
          <w:color w:val="auto"/>
        </w:rPr>
        <w:t>Include double trigger of vesting of equity awards upon an</w:t>
      </w:r>
    </w:p>
    <w:p>
      <w:pPr>
        <w:spacing w:after="0" w:line="17" w:lineRule="exact"/>
        <w:rPr>
          <w:sz w:val="20"/>
          <w:szCs w:val="20"/>
          <w:color w:val="auto"/>
        </w:rPr>
      </w:pPr>
    </w:p>
    <w:p>
      <w:pPr>
        <w:ind w:left="360" w:hanging="278"/>
        <w:spacing w:after="0"/>
        <w:tabs>
          <w:tab w:leader="none" w:pos="360" w:val="left"/>
        </w:tabs>
        <w:numPr>
          <w:ilvl w:val="0"/>
          <w:numId w:val="35"/>
        </w:numPr>
        <w:rPr>
          <w:rFonts w:ascii="Wingdings" w:cs="Wingdings" w:eastAsia="Wingdings" w:hAnsi="Wingdings"/>
          <w:sz w:val="24"/>
          <w:szCs w:val="24"/>
          <w:b w:val="1"/>
          <w:bCs w:val="1"/>
          <w:color w:val="auto"/>
        </w:rPr>
      </w:pPr>
      <w:r>
        <w:rPr>
          <w:rFonts w:ascii="Arial" w:cs="Arial" w:eastAsia="Arial" w:hAnsi="Arial"/>
          <w:sz w:val="17"/>
          <w:szCs w:val="17"/>
          <w:color w:val="auto"/>
        </w:rPr>
        <w:t>appropriately defined change in control.</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Say on Pay</w:t>
      </w:r>
    </w:p>
    <w:p>
      <w:pPr>
        <w:spacing w:after="0" w:line="244" w:lineRule="exact"/>
        <w:rPr>
          <w:sz w:val="20"/>
          <w:szCs w:val="20"/>
          <w:color w:val="auto"/>
        </w:rPr>
      </w:pPr>
    </w:p>
    <w:p>
      <w:pPr>
        <w:jc w:val="both"/>
        <w:ind w:firstLine="618"/>
        <w:spacing w:after="0" w:line="256" w:lineRule="auto"/>
        <w:rPr>
          <w:sz w:val="20"/>
          <w:szCs w:val="20"/>
          <w:color w:val="auto"/>
        </w:rPr>
      </w:pPr>
      <w:r>
        <w:rPr>
          <w:rFonts w:ascii="Arial" w:cs="Arial" w:eastAsia="Arial" w:hAnsi="Arial"/>
          <w:sz w:val="17"/>
          <w:szCs w:val="17"/>
          <w:color w:val="auto"/>
        </w:rPr>
        <w:t>Last year’s advisory vote on executive compensation was supported by 96% of our shareholders who voted on the same at the Company's 2024 Annual Meeting of Shareholders. The Board remains committed to understanding the views of our shareholders by taking into account the results of advisory votes on NEO compensation. Given the 2024 say-on-pay results, the Compensation Committee continues to focus on having a performance-based compensation system that aligns overall executive compensation with our business goals and objectives in accordance with shareholder expectations. The Board and the Compensation Committee will again consider the results of the 2025 advisory vote on NEO compensation.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2025 Compensation Structure</w:t>
      </w:r>
    </w:p>
    <w:p>
      <w:pPr>
        <w:spacing w:after="0" w:line="226"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17"/>
          <w:szCs w:val="17"/>
          <w:color w:val="auto"/>
        </w:rPr>
        <w:t>For 2025, the Compensation Committee kept in place its Amended and Restated Annual Incentive Performance Based Bonus Plan ("Annual Incentive Plan") and Long-Term Incentive Plan ("Long-Term Incentive Plan"), pursuant to the Gentex Corporation 2019 Omnibus Incentive Plan ("2019 Omnibus Plan") that was approved at the 2019 Annual meeting. Below is a summary of the Annual Incentive Plan and Long-Term Incentive Plan along with rationale for each:</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34925</wp:posOffset>
            </wp:positionV>
            <wp:extent cx="6786880" cy="155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86880" cy="155575"/>
                    </a:xfrm>
                    <a:prstGeom prst="rect">
                      <a:avLst/>
                    </a:prstGeom>
                    <a:noFill/>
                  </pic:spPr>
                </pic:pic>
              </a:graphicData>
            </a:graphic>
          </wp:anchor>
        </w:drawing>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Annual Incentive Plan</w:t>
      </w:r>
    </w:p>
    <w:p>
      <w:pPr>
        <w:spacing w:after="0" w:line="215" w:lineRule="exact"/>
        <w:rPr>
          <w:sz w:val="20"/>
          <w:szCs w:val="20"/>
          <w:color w:val="auto"/>
        </w:rPr>
      </w:pPr>
    </w:p>
    <w:tbl>
      <w:tblPr>
        <w:tblLayout w:type="fixed"/>
        <w:tblInd w:w="170" w:type="dxa"/>
        <w:tblCellMar>
          <w:top w:w="0" w:type="dxa"/>
          <w:left w:w="0" w:type="dxa"/>
          <w:bottom w:w="0" w:type="dxa"/>
          <w:right w:w="0" w:type="dxa"/>
        </w:tblCellMar>
      </w:tblPr>
      <w:tr>
        <w:trPr>
          <w:trHeight w:val="205"/>
        </w:trPr>
        <w:tc>
          <w:tcPr>
            <w:tcW w:w="2920" w:type="dxa"/>
            <w:vAlign w:val="bottom"/>
            <w:tcBorders>
              <w:top w:val="single" w:sz="8" w:color="auto"/>
              <w:left w:val="single" w:sz="8" w:color="auto"/>
              <w:right w:val="single" w:sz="8" w:color="auto"/>
            </w:tcBorders>
            <w:shd w:val="clear" w:color="auto" w:fill="ACACAC"/>
          </w:tcPr>
          <w:p>
            <w:pPr>
              <w:ind w:left="20"/>
              <w:spacing w:after="0"/>
              <w:rPr>
                <w:sz w:val="20"/>
                <w:szCs w:val="20"/>
                <w:color w:val="auto"/>
              </w:rPr>
            </w:pPr>
            <w:r>
              <w:rPr>
                <w:rFonts w:ascii="Arial" w:cs="Arial" w:eastAsia="Arial" w:hAnsi="Arial"/>
                <w:sz w:val="14"/>
                <w:szCs w:val="14"/>
                <w:b w:val="1"/>
                <w:bCs w:val="1"/>
                <w:color w:val="auto"/>
              </w:rPr>
              <w:t>2024 Metrics</w:t>
            </w:r>
          </w:p>
        </w:tc>
        <w:tc>
          <w:tcPr>
            <w:tcW w:w="520" w:type="dxa"/>
            <w:vAlign w:val="bottom"/>
            <w:tcBorders>
              <w:right w:val="single" w:sz="8" w:color="auto"/>
            </w:tcBorders>
          </w:tcPr>
          <w:p>
            <w:pPr>
              <w:spacing w:after="0"/>
              <w:rPr>
                <w:sz w:val="17"/>
                <w:szCs w:val="17"/>
                <w:color w:val="auto"/>
              </w:rPr>
            </w:pPr>
          </w:p>
        </w:tc>
        <w:tc>
          <w:tcPr>
            <w:tcW w:w="2920" w:type="dxa"/>
            <w:vAlign w:val="bottom"/>
            <w:tcBorders>
              <w:top w:val="single" w:sz="8" w:color="auto"/>
              <w:bottom w:val="single" w:sz="8" w:color="auto"/>
              <w:right w:val="single" w:sz="8" w:color="ACACAC"/>
            </w:tcBorders>
            <w:shd w:val="clear" w:color="auto" w:fill="ACACAC"/>
          </w:tcPr>
          <w:p>
            <w:pPr>
              <w:ind w:left="20"/>
              <w:spacing w:after="0"/>
              <w:rPr>
                <w:sz w:val="20"/>
                <w:szCs w:val="20"/>
                <w:color w:val="auto"/>
              </w:rPr>
            </w:pPr>
            <w:r>
              <w:rPr>
                <w:rFonts w:ascii="Arial" w:cs="Arial" w:eastAsia="Arial" w:hAnsi="Arial"/>
                <w:sz w:val="14"/>
                <w:szCs w:val="14"/>
                <w:b w:val="1"/>
                <w:bCs w:val="1"/>
                <w:color w:val="auto"/>
              </w:rPr>
              <w:t>2025 Metrics</w:t>
            </w:r>
          </w:p>
        </w:tc>
        <w:tc>
          <w:tcPr>
            <w:tcW w:w="4040" w:type="dxa"/>
            <w:vAlign w:val="bottom"/>
            <w:tcBorders>
              <w:top w:val="single" w:sz="8" w:color="auto"/>
              <w:bottom w:val="single" w:sz="8" w:color="auto"/>
              <w:right w:val="single" w:sz="8" w:color="auto"/>
            </w:tcBorders>
            <w:shd w:val="clear" w:color="auto" w:fill="ACACAC"/>
          </w:tcPr>
          <w:p>
            <w:pPr>
              <w:spacing w:after="0"/>
              <w:rPr>
                <w:sz w:val="20"/>
                <w:szCs w:val="20"/>
                <w:color w:val="auto"/>
              </w:rPr>
            </w:pPr>
            <w:r>
              <w:rPr>
                <w:rFonts w:ascii="Arial" w:cs="Arial" w:eastAsia="Arial" w:hAnsi="Arial"/>
                <w:sz w:val="14"/>
                <w:szCs w:val="14"/>
                <w:b w:val="1"/>
                <w:bCs w:val="1"/>
                <w:color w:val="auto"/>
              </w:rPr>
              <w:t>Reasons</w:t>
            </w:r>
          </w:p>
        </w:tc>
        <w:tc>
          <w:tcPr>
            <w:tcW w:w="0" w:type="dxa"/>
            <w:vAlign w:val="bottom"/>
          </w:tcPr>
          <w:p>
            <w:pPr>
              <w:spacing w:after="0"/>
              <w:rPr>
                <w:sz w:val="1"/>
                <w:szCs w:val="1"/>
                <w:color w:val="auto"/>
              </w:rPr>
            </w:pPr>
          </w:p>
        </w:tc>
      </w:tr>
      <w:tr>
        <w:trPr>
          <w:trHeight w:val="241"/>
        </w:trPr>
        <w:tc>
          <w:tcPr>
            <w:tcW w:w="2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Revenue</w:t>
            </w:r>
          </w:p>
        </w:tc>
        <w:tc>
          <w:tcPr>
            <w:tcW w:w="5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8"/>
                <w:szCs w:val="38"/>
                <w:b w:val="1"/>
                <w:bCs w:val="1"/>
                <w:color w:val="auto"/>
              </w:rPr>
              <w:t>ð</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Revenue</w:t>
            </w:r>
          </w:p>
        </w:tc>
        <w:tc>
          <w:tcPr>
            <w:tcW w:w="4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9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7"/>
                <w:szCs w:val="17"/>
                <w:color w:val="auto"/>
              </w:rPr>
              <w:t>Operating Income</w:t>
            </w:r>
          </w:p>
        </w:tc>
        <w:tc>
          <w:tcPr>
            <w:tcW w:w="520" w:type="dxa"/>
            <w:vAlign w:val="bottom"/>
            <w:tcBorders>
              <w:right w:val="single" w:sz="8" w:color="auto"/>
            </w:tcBorders>
            <w:vMerge w:val="continue"/>
          </w:tcPr>
          <w:p>
            <w:pPr>
              <w:spacing w:after="0"/>
              <w:rPr>
                <w:sz w:val="15"/>
                <w:szCs w:val="15"/>
                <w:color w:val="auto"/>
              </w:rPr>
            </w:pPr>
          </w:p>
        </w:tc>
        <w:tc>
          <w:tcPr>
            <w:tcW w:w="2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Operating Income</w:t>
            </w:r>
          </w:p>
        </w:tc>
        <w:tc>
          <w:tcPr>
            <w:tcW w:w="4040" w:type="dxa"/>
            <w:vAlign w:val="bottom"/>
            <w:tcBorders>
              <w:right w:val="single" w:sz="8" w:color="auto"/>
            </w:tcBorders>
          </w:tcPr>
          <w:p>
            <w:pPr>
              <w:ind w:left="400"/>
              <w:spacing w:after="0" w:line="178" w:lineRule="exact"/>
              <w:rPr>
                <w:sz w:val="20"/>
                <w:szCs w:val="20"/>
                <w:color w:val="auto"/>
              </w:rPr>
            </w:pPr>
            <w:r>
              <w:rPr>
                <w:rFonts w:ascii="Arial" w:cs="Arial" w:eastAsia="Arial" w:hAnsi="Arial"/>
                <w:sz w:val="17"/>
                <w:szCs w:val="17"/>
                <w:color w:val="auto"/>
              </w:rPr>
              <w:t>Aligns short-term officer incentive pay with</w:t>
            </w:r>
          </w:p>
        </w:tc>
        <w:tc>
          <w:tcPr>
            <w:tcW w:w="0" w:type="dxa"/>
            <w:vAlign w:val="bottom"/>
          </w:tcPr>
          <w:p>
            <w:pPr>
              <w:spacing w:after="0"/>
              <w:rPr>
                <w:sz w:val="1"/>
                <w:szCs w:val="1"/>
                <w:color w:val="auto"/>
              </w:rPr>
            </w:pPr>
          </w:p>
        </w:tc>
      </w:tr>
      <w:tr>
        <w:trPr>
          <w:trHeight w:val="233"/>
        </w:trPr>
        <w:tc>
          <w:tcPr>
            <w:tcW w:w="2920" w:type="dxa"/>
            <w:vAlign w:val="bottom"/>
            <w:tcBorders>
              <w:left w:val="single" w:sz="8" w:color="auto"/>
              <w:right w:val="single" w:sz="8" w:color="auto"/>
            </w:tcBorders>
            <w:vMerge w:val="continue"/>
          </w:tcPr>
          <w:p>
            <w:pPr>
              <w:spacing w:after="0"/>
              <w:rPr>
                <w:sz w:val="20"/>
                <w:szCs w:val="20"/>
                <w:color w:val="auto"/>
              </w:rPr>
            </w:pPr>
          </w:p>
        </w:tc>
        <w:tc>
          <w:tcPr>
            <w:tcW w:w="520" w:type="dxa"/>
            <w:vAlign w:val="bottom"/>
            <w:tcBorders>
              <w:right w:val="single" w:sz="8" w:color="auto"/>
            </w:tcBorders>
            <w:vMerge w:val="continue"/>
          </w:tcPr>
          <w:p>
            <w:pPr>
              <w:spacing w:after="0"/>
              <w:rPr>
                <w:sz w:val="20"/>
                <w:szCs w:val="20"/>
                <w:color w:val="auto"/>
              </w:rPr>
            </w:pPr>
          </w:p>
        </w:tc>
        <w:tc>
          <w:tcPr>
            <w:tcW w:w="2920" w:type="dxa"/>
            <w:vAlign w:val="bottom"/>
            <w:tcBorders>
              <w:right w:val="single" w:sz="8" w:color="auto"/>
            </w:tcBorders>
            <w:vMerge w:val="continue"/>
          </w:tcPr>
          <w:p>
            <w:pPr>
              <w:spacing w:after="0"/>
              <w:rPr>
                <w:sz w:val="20"/>
                <w:szCs w:val="20"/>
                <w:color w:val="auto"/>
              </w:rPr>
            </w:pPr>
          </w:p>
        </w:tc>
        <w:tc>
          <w:tcPr>
            <w:tcW w:w="404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appropriate objective performance targets.</w:t>
            </w:r>
          </w:p>
        </w:tc>
        <w:tc>
          <w:tcPr>
            <w:tcW w:w="0" w:type="dxa"/>
            <w:vAlign w:val="bottom"/>
          </w:tcPr>
          <w:p>
            <w:pPr>
              <w:spacing w:after="0"/>
              <w:rPr>
                <w:sz w:val="1"/>
                <w:szCs w:val="1"/>
                <w:color w:val="auto"/>
              </w:rPr>
            </w:pPr>
          </w:p>
        </w:tc>
      </w:tr>
      <w:tr>
        <w:trPr>
          <w:trHeight w:val="270"/>
        </w:trPr>
        <w:tc>
          <w:tcPr>
            <w:tcW w:w="29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Earnings per Diluted Share</w:t>
            </w:r>
          </w:p>
        </w:tc>
        <w:tc>
          <w:tcPr>
            <w:tcW w:w="520" w:type="dxa"/>
            <w:vAlign w:val="bottom"/>
            <w:tcBorders>
              <w:right w:val="single" w:sz="8" w:color="auto"/>
            </w:tcBorders>
          </w:tcPr>
          <w:p>
            <w:pPr>
              <w:spacing w:after="0"/>
              <w:rPr>
                <w:sz w:val="23"/>
                <w:szCs w:val="23"/>
                <w:color w:val="auto"/>
              </w:rPr>
            </w:pPr>
          </w:p>
        </w:tc>
        <w:tc>
          <w:tcPr>
            <w:tcW w:w="2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Earnings per Diluted Share</w:t>
            </w:r>
          </w:p>
        </w:tc>
        <w:tc>
          <w:tcPr>
            <w:tcW w:w="40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73660</wp:posOffset>
            </wp:positionV>
            <wp:extent cx="6885305" cy="1555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85305" cy="155575"/>
                    </a:xfrm>
                    <a:prstGeom prst="rect">
                      <a:avLst/>
                    </a:prstGeom>
                    <a:noFill/>
                  </pic:spPr>
                </pic:pic>
              </a:graphicData>
            </a:graphic>
          </wp:anchor>
        </w:drawing>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149225</wp:posOffset>
            </wp:positionV>
            <wp:extent cx="1872615" cy="9156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72615" cy="91567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p>
      <w:pPr>
        <w:spacing w:after="0" w:line="252"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2024-2026 Metrics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3-year cumulative EBITDA</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3-year cumulative ROIC</w:t>
      </w:r>
    </w:p>
    <w:p>
      <w:pPr>
        <w:spacing w:after="0" w:line="30" w:lineRule="exact"/>
        <w:rPr>
          <w:sz w:val="20"/>
          <w:szCs w:val="20"/>
          <w:color w:val="auto"/>
        </w:rPr>
      </w:pPr>
    </w:p>
    <w:p>
      <w:pPr>
        <w:ind w:left="240"/>
        <w:spacing w:after="0" w:line="237" w:lineRule="auto"/>
        <w:rPr>
          <w:sz w:val="20"/>
          <w:szCs w:val="20"/>
          <w:color w:val="auto"/>
        </w:rPr>
      </w:pPr>
      <w:r>
        <w:rPr>
          <w:rFonts w:ascii="Arial" w:cs="Arial" w:eastAsia="Arial" w:hAnsi="Arial"/>
          <w:sz w:val="17"/>
          <w:szCs w:val="17"/>
          <w:color w:val="auto"/>
        </w:rPr>
        <w:t>(using performance shares and restricted stock)</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460" w:type="dxa"/>
            <w:vAlign w:val="bottom"/>
            <w:tcBorders>
              <w:right w:val="single" w:sz="8" w:color="auto"/>
            </w:tcBorders>
          </w:tcPr>
          <w:p>
            <w:pPr>
              <w:spacing w:after="0"/>
              <w:rPr>
                <w:sz w:val="17"/>
                <w:szCs w:val="17"/>
                <w:color w:val="auto"/>
              </w:rPr>
            </w:pPr>
          </w:p>
        </w:tc>
        <w:tc>
          <w:tcPr>
            <w:tcW w:w="2960" w:type="dxa"/>
            <w:vAlign w:val="bottom"/>
            <w:tcBorders>
              <w:top w:val="single" w:sz="8" w:color="auto"/>
              <w:bottom w:val="single" w:sz="8" w:color="auto"/>
              <w:right w:val="single" w:sz="8" w:color="ACACAC"/>
            </w:tcBorders>
            <w:shd w:val="clear" w:color="auto" w:fill="ACACAC"/>
          </w:tcPr>
          <w:p>
            <w:pPr>
              <w:spacing w:after="0"/>
              <w:rPr>
                <w:sz w:val="20"/>
                <w:szCs w:val="20"/>
                <w:color w:val="auto"/>
              </w:rPr>
            </w:pPr>
            <w:r>
              <w:rPr>
                <w:rFonts w:ascii="Arial" w:cs="Arial" w:eastAsia="Arial" w:hAnsi="Arial"/>
                <w:sz w:val="14"/>
                <w:szCs w:val="14"/>
                <w:b w:val="1"/>
                <w:bCs w:val="1"/>
                <w:color w:val="auto"/>
              </w:rPr>
              <w:t>2025-2027 Metrics</w:t>
            </w:r>
          </w:p>
        </w:tc>
        <w:tc>
          <w:tcPr>
            <w:tcW w:w="4120" w:type="dxa"/>
            <w:vAlign w:val="bottom"/>
            <w:tcBorders>
              <w:top w:val="single" w:sz="8" w:color="auto"/>
              <w:bottom w:val="single" w:sz="8" w:color="auto"/>
              <w:right w:val="single" w:sz="8" w:color="auto"/>
            </w:tcBorders>
            <w:shd w:val="clear" w:color="auto" w:fill="ACACAC"/>
          </w:tcPr>
          <w:p>
            <w:pPr>
              <w:spacing w:after="0"/>
              <w:rPr>
                <w:sz w:val="20"/>
                <w:szCs w:val="20"/>
                <w:color w:val="auto"/>
              </w:rPr>
            </w:pPr>
            <w:r>
              <w:rPr>
                <w:rFonts w:ascii="Arial" w:cs="Arial" w:eastAsia="Arial" w:hAnsi="Arial"/>
                <w:sz w:val="14"/>
                <w:szCs w:val="14"/>
                <w:b w:val="1"/>
                <w:bCs w:val="1"/>
                <w:color w:val="auto"/>
              </w:rPr>
              <w:t>Reasons</w:t>
            </w:r>
          </w:p>
        </w:tc>
        <w:tc>
          <w:tcPr>
            <w:tcW w:w="0" w:type="dxa"/>
            <w:vAlign w:val="bottom"/>
          </w:tcPr>
          <w:p>
            <w:pPr>
              <w:spacing w:after="0"/>
              <w:rPr>
                <w:sz w:val="1"/>
                <w:szCs w:val="1"/>
                <w:color w:val="auto"/>
              </w:rPr>
            </w:pPr>
          </w:p>
        </w:tc>
      </w:tr>
      <w:tr>
        <w:trPr>
          <w:trHeight w:val="328"/>
        </w:trPr>
        <w:tc>
          <w:tcPr>
            <w:tcW w:w="460" w:type="dxa"/>
            <w:vAlign w:val="bottom"/>
            <w:tcBorders>
              <w:right w:val="single" w:sz="8" w:color="auto"/>
            </w:tcBorders>
          </w:tcPr>
          <w:p>
            <w:pPr>
              <w:spacing w:after="0"/>
              <w:rPr>
                <w:sz w:val="24"/>
                <w:szCs w:val="24"/>
                <w:color w:val="auto"/>
              </w:rPr>
            </w:pPr>
          </w:p>
        </w:tc>
        <w:tc>
          <w:tcPr>
            <w:tcW w:w="29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3-year cumulative EBITDA</w:t>
            </w: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EBITDA and ROIC have been identified by the</w:t>
            </w:r>
          </w:p>
        </w:tc>
        <w:tc>
          <w:tcPr>
            <w:tcW w:w="0" w:type="dxa"/>
            <w:vAlign w:val="bottom"/>
          </w:tcPr>
          <w:p>
            <w:pPr>
              <w:spacing w:after="0"/>
              <w:rPr>
                <w:sz w:val="1"/>
                <w:szCs w:val="1"/>
                <w:color w:val="auto"/>
              </w:rPr>
            </w:pPr>
          </w:p>
        </w:tc>
      </w:tr>
      <w:tr>
        <w:trPr>
          <w:trHeight w:val="142"/>
        </w:trPr>
        <w:tc>
          <w:tcPr>
            <w:tcW w:w="460" w:type="dxa"/>
            <w:vAlign w:val="bottom"/>
            <w:tcBorders>
              <w:right w:val="single" w:sz="8" w:color="auto"/>
            </w:tcBorders>
            <w:vMerge w:val="restart"/>
          </w:tcPr>
          <w:p>
            <w:pPr>
              <w:jc w:val="right"/>
              <w:spacing w:after="0"/>
              <w:rPr>
                <w:sz w:val="20"/>
                <w:szCs w:val="20"/>
                <w:color w:val="auto"/>
              </w:rPr>
            </w:pPr>
            <w:r>
              <w:rPr>
                <w:rFonts w:ascii="Arial" w:cs="Arial" w:eastAsia="Arial" w:hAnsi="Arial"/>
                <w:sz w:val="38"/>
                <w:szCs w:val="38"/>
                <w:b w:val="1"/>
                <w:bCs w:val="1"/>
                <w:color w:val="auto"/>
              </w:rPr>
              <w:t>ð</w:t>
            </w:r>
          </w:p>
        </w:tc>
        <w:tc>
          <w:tcPr>
            <w:tcW w:w="2960" w:type="dxa"/>
            <w:vAlign w:val="bottom"/>
            <w:tcBorders>
              <w:right w:val="single" w:sz="8" w:color="auto"/>
            </w:tcBorders>
          </w:tcPr>
          <w:p>
            <w:pPr>
              <w:spacing w:after="0"/>
              <w:rPr>
                <w:sz w:val="12"/>
                <w:szCs w:val="12"/>
                <w:color w:val="auto"/>
              </w:rPr>
            </w:pPr>
          </w:p>
        </w:tc>
        <w:tc>
          <w:tcPr>
            <w:tcW w:w="412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6"/>
                <w:szCs w:val="16"/>
                <w:color w:val="auto"/>
              </w:rPr>
              <w:t>Compensation Committee as key measures for</w:t>
            </w:r>
          </w:p>
        </w:tc>
        <w:tc>
          <w:tcPr>
            <w:tcW w:w="0" w:type="dxa"/>
            <w:vAlign w:val="bottom"/>
          </w:tcPr>
          <w:p>
            <w:pPr>
              <w:spacing w:after="0"/>
              <w:rPr>
                <w:sz w:val="1"/>
                <w:szCs w:val="1"/>
                <w:color w:val="auto"/>
              </w:rPr>
            </w:pPr>
          </w:p>
        </w:tc>
      </w:tr>
      <w:tr>
        <w:trPr>
          <w:trHeight w:val="176"/>
        </w:trPr>
        <w:tc>
          <w:tcPr>
            <w:tcW w:w="460" w:type="dxa"/>
            <w:vAlign w:val="bottom"/>
            <w:tcBorders>
              <w:right w:val="single" w:sz="8" w:color="auto"/>
            </w:tcBorders>
            <w:vMerge w:val="continue"/>
          </w:tcPr>
          <w:p>
            <w:pPr>
              <w:spacing w:after="0"/>
              <w:rPr>
                <w:sz w:val="15"/>
                <w:szCs w:val="15"/>
                <w:color w:val="auto"/>
              </w:rPr>
            </w:pPr>
          </w:p>
        </w:tc>
        <w:tc>
          <w:tcPr>
            <w:tcW w:w="296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3 year cumulative ROIC</w:t>
            </w:r>
          </w:p>
        </w:tc>
        <w:tc>
          <w:tcPr>
            <w:tcW w:w="41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management to drive growth and create shareholder</w:t>
            </w:r>
          </w:p>
        </w:tc>
        <w:tc>
          <w:tcPr>
            <w:tcW w:w="0" w:type="dxa"/>
            <w:vAlign w:val="bottom"/>
          </w:tcPr>
          <w:p>
            <w:pPr>
              <w:spacing w:after="0"/>
              <w:rPr>
                <w:sz w:val="1"/>
                <w:szCs w:val="1"/>
                <w:color w:val="auto"/>
              </w:rPr>
            </w:pPr>
          </w:p>
        </w:tc>
      </w:tr>
      <w:tr>
        <w:trPr>
          <w:trHeight w:val="171"/>
        </w:trPr>
        <w:tc>
          <w:tcPr>
            <w:tcW w:w="460" w:type="dxa"/>
            <w:vAlign w:val="bottom"/>
            <w:tcBorders>
              <w:right w:val="single" w:sz="8" w:color="auto"/>
            </w:tcBorders>
            <w:vMerge w:val="continue"/>
          </w:tcPr>
          <w:p>
            <w:pPr>
              <w:spacing w:after="0"/>
              <w:rPr>
                <w:sz w:val="14"/>
                <w:szCs w:val="14"/>
                <w:color w:val="auto"/>
              </w:rPr>
            </w:pPr>
          </w:p>
        </w:tc>
        <w:tc>
          <w:tcPr>
            <w:tcW w:w="2960" w:type="dxa"/>
            <w:vAlign w:val="bottom"/>
            <w:tcBorders>
              <w:right w:val="single" w:sz="8" w:color="auto"/>
            </w:tcBorders>
            <w:vMerge w:val="continue"/>
          </w:tcPr>
          <w:p>
            <w:pPr>
              <w:spacing w:after="0"/>
              <w:rPr>
                <w:sz w:val="14"/>
                <w:szCs w:val="14"/>
                <w:color w:val="auto"/>
              </w:rPr>
            </w:pPr>
          </w:p>
        </w:tc>
        <w:tc>
          <w:tcPr>
            <w:tcW w:w="412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7"/>
                <w:szCs w:val="17"/>
                <w:color w:val="auto"/>
              </w:rPr>
              <w:t>value. These metrics provide clear measures of our</w:t>
            </w:r>
          </w:p>
        </w:tc>
        <w:tc>
          <w:tcPr>
            <w:tcW w:w="0" w:type="dxa"/>
            <w:vAlign w:val="bottom"/>
          </w:tcPr>
          <w:p>
            <w:pPr>
              <w:spacing w:after="0"/>
              <w:rPr>
                <w:sz w:val="1"/>
                <w:szCs w:val="1"/>
                <w:color w:val="auto"/>
              </w:rPr>
            </w:pPr>
          </w:p>
        </w:tc>
      </w:tr>
      <w:tr>
        <w:trPr>
          <w:trHeight w:val="167"/>
        </w:trPr>
        <w:tc>
          <w:tcPr>
            <w:tcW w:w="460" w:type="dxa"/>
            <w:vAlign w:val="bottom"/>
            <w:tcBorders>
              <w:right w:val="single" w:sz="8" w:color="auto"/>
            </w:tcBorders>
          </w:tcPr>
          <w:p>
            <w:pPr>
              <w:spacing w:after="0"/>
              <w:rPr>
                <w:sz w:val="14"/>
                <w:szCs w:val="14"/>
                <w:color w:val="auto"/>
              </w:rPr>
            </w:pPr>
          </w:p>
        </w:tc>
        <w:tc>
          <w:tcPr>
            <w:tcW w:w="2960" w:type="dxa"/>
            <w:vAlign w:val="bottom"/>
            <w:tcBorders>
              <w:right w:val="single" w:sz="8" w:color="auto"/>
            </w:tcBorders>
          </w:tcPr>
          <w:p>
            <w:pPr>
              <w:spacing w:after="0" w:line="167" w:lineRule="exact"/>
              <w:rPr>
                <w:sz w:val="20"/>
                <w:szCs w:val="20"/>
                <w:color w:val="auto"/>
              </w:rPr>
            </w:pPr>
            <w:r>
              <w:rPr>
                <w:rFonts w:ascii="Arial" w:cs="Arial" w:eastAsia="Arial" w:hAnsi="Arial"/>
                <w:sz w:val="17"/>
                <w:szCs w:val="17"/>
                <w:color w:val="auto"/>
              </w:rPr>
              <w:t>(using performance shares and</w:t>
            </w:r>
          </w:p>
        </w:tc>
        <w:tc>
          <w:tcPr>
            <w:tcW w:w="4120" w:type="dxa"/>
            <w:vAlign w:val="bottom"/>
            <w:tcBorders>
              <w:right w:val="single" w:sz="8" w:color="auto"/>
            </w:tcBorders>
          </w:tcPr>
          <w:p>
            <w:pPr>
              <w:jc w:val="center"/>
              <w:spacing w:after="0" w:line="167" w:lineRule="exact"/>
              <w:rPr>
                <w:sz w:val="20"/>
                <w:szCs w:val="20"/>
                <w:color w:val="auto"/>
              </w:rPr>
            </w:pPr>
            <w:r>
              <w:rPr>
                <w:rFonts w:ascii="Arial" w:cs="Arial" w:eastAsia="Arial" w:hAnsi="Arial"/>
                <w:sz w:val="17"/>
                <w:szCs w:val="17"/>
                <w:color w:val="auto"/>
              </w:rPr>
              <w:t>long-term performance.</w:t>
            </w:r>
          </w:p>
        </w:tc>
        <w:tc>
          <w:tcPr>
            <w:tcW w:w="0" w:type="dxa"/>
            <w:vAlign w:val="bottom"/>
          </w:tcPr>
          <w:p>
            <w:pPr>
              <w:spacing w:after="0"/>
              <w:rPr>
                <w:sz w:val="1"/>
                <w:szCs w:val="1"/>
                <w:color w:val="auto"/>
              </w:rPr>
            </w:pPr>
          </w:p>
        </w:tc>
      </w:tr>
      <w:tr>
        <w:trPr>
          <w:trHeight w:val="219"/>
        </w:trPr>
        <w:tc>
          <w:tcPr>
            <w:tcW w:w="460" w:type="dxa"/>
            <w:vAlign w:val="bottom"/>
            <w:tcBorders>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restricted stock)</w:t>
            </w:r>
          </w:p>
        </w:tc>
        <w:tc>
          <w:tcPr>
            <w:tcW w:w="4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620" w:space="620"/>
            <w:col w:w="8000"/>
          </w:cols>
          <w:pgMar w:left="320" w:top="1086" w:right="339" w:bottom="1440" w:gutter="0" w:footer="0" w:header="0"/>
          <w:type w:val="continuous"/>
        </w:sectPr>
      </w:pP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Base Salaries</w:t>
      </w:r>
    </w:p>
    <w:p>
      <w:pPr>
        <w:spacing w:after="0" w:line="24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Compensation Committee continues to consider market median of an appropriately selected peer group ("Peer Group") in determining base salaries of our officers.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See below for additional information on 2024 NEO compensation.</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BETWEEN PAY &amp; PERFORMANCE</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Comparator Compensation Data</w:t>
      </w:r>
    </w:p>
    <w:p>
      <w:pPr>
        <w:spacing w:after="0" w:line="244" w:lineRule="exact"/>
        <w:rPr>
          <w:sz w:val="20"/>
          <w:szCs w:val="20"/>
          <w:color w:val="auto"/>
        </w:rPr>
      </w:pPr>
    </w:p>
    <w:p>
      <w:pPr>
        <w:jc w:val="both"/>
        <w:ind w:firstLine="618"/>
        <w:spacing w:after="0" w:line="262" w:lineRule="auto"/>
        <w:rPr>
          <w:sz w:val="20"/>
          <w:szCs w:val="20"/>
          <w:color w:val="auto"/>
        </w:rPr>
      </w:pPr>
      <w:r>
        <w:rPr>
          <w:rFonts w:ascii="Arial" w:cs="Arial" w:eastAsia="Arial" w:hAnsi="Arial"/>
          <w:sz w:val="17"/>
          <w:szCs w:val="17"/>
          <w:color w:val="auto"/>
        </w:rPr>
        <w:t>One of the factors our Compensation Committee uses in setting officer compensation is an evaluation of how our target compensation and benefit levels compare to those of similarly-situated executives at companies that comprise our officer compensation Peer Group. Our philosophy for officer pay, including NEO pay, is to target the 50th percentile of our Peer Group and to use general industry market data as provided by the Compensation Committee’s independent compensation consultant as appropriate. In addition to market data, other factors such as an individual’s experience, responsibilities, and long-term strategic value are also considered when making recommendations and decisions on compensation.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type w:val="continuous"/>
        </w:sectPr>
      </w:pPr>
    </w:p>
    <w:bookmarkStart w:id="24" w:name="page25"/>
    <w:bookmarkEnd w:id="24"/>
    <w:p>
      <w:pPr>
        <w:ind w:left="620"/>
        <w:spacing w:after="0"/>
        <w:rPr>
          <w:sz w:val="20"/>
          <w:szCs w:val="20"/>
          <w:color w:val="auto"/>
        </w:rPr>
      </w:pPr>
      <w:r>
        <w:rPr>
          <w:rFonts w:ascii="Arial" w:cs="Arial" w:eastAsia="Arial" w:hAnsi="Arial"/>
          <w:sz w:val="17"/>
          <w:szCs w:val="17"/>
          <w:color w:val="auto"/>
        </w:rPr>
        <w:t>The Peer Group used for benchmarking officer pay, including for NEO's, is made up of companies that are:</w:t>
      </w:r>
    </w:p>
    <w:p>
      <w:pPr>
        <w:spacing w:after="0" w:line="242" w:lineRule="exact"/>
        <w:rPr>
          <w:sz w:val="20"/>
          <w:szCs w:val="20"/>
          <w:color w:val="auto"/>
        </w:rPr>
      </w:pPr>
    </w:p>
    <w:p>
      <w:pPr>
        <w:ind w:left="1240" w:hanging="310"/>
        <w:spacing w:after="0"/>
        <w:tabs>
          <w:tab w:leader="none" w:pos="124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in similar industries where we compete for talent, customers and capital;</w:t>
      </w:r>
    </w:p>
    <w:p>
      <w:pPr>
        <w:spacing w:after="0" w:line="241" w:lineRule="exact"/>
        <w:rPr>
          <w:rFonts w:ascii="Times New Roman" w:cs="Times New Roman" w:eastAsia="Times New Roman" w:hAnsi="Times New Roman"/>
          <w:sz w:val="17"/>
          <w:szCs w:val="17"/>
          <w:color w:val="auto"/>
        </w:rPr>
      </w:pPr>
    </w:p>
    <w:p>
      <w:pPr>
        <w:ind w:left="1240" w:hanging="310"/>
        <w:spacing w:after="0"/>
        <w:tabs>
          <w:tab w:leader="none" w:pos="124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of similar size (as measured by annual revenue, profitability and market capitalization); and</w:t>
      </w:r>
    </w:p>
    <w:p>
      <w:pPr>
        <w:spacing w:after="0" w:line="241" w:lineRule="exact"/>
        <w:rPr>
          <w:rFonts w:ascii="Times New Roman" w:cs="Times New Roman" w:eastAsia="Times New Roman" w:hAnsi="Times New Roman"/>
          <w:sz w:val="17"/>
          <w:szCs w:val="17"/>
          <w:color w:val="auto"/>
        </w:rPr>
      </w:pPr>
    </w:p>
    <w:p>
      <w:pPr>
        <w:ind w:left="1240" w:hanging="310"/>
        <w:spacing w:after="0"/>
        <w:tabs>
          <w:tab w:leader="none" w:pos="124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of similar complexity.</w:t>
      </w:r>
    </w:p>
    <w:p>
      <w:pPr>
        <w:spacing w:after="0" w:line="242" w:lineRule="exact"/>
        <w:rPr>
          <w:sz w:val="20"/>
          <w:szCs w:val="20"/>
          <w:color w:val="auto"/>
        </w:rPr>
      </w:pPr>
    </w:p>
    <w:p>
      <w:pPr>
        <w:jc w:val="both"/>
        <w:ind w:right="100" w:firstLine="309"/>
        <w:spacing w:after="0" w:line="289" w:lineRule="auto"/>
        <w:rPr>
          <w:sz w:val="20"/>
          <w:szCs w:val="20"/>
          <w:color w:val="auto"/>
        </w:rPr>
      </w:pPr>
      <w:r>
        <w:rPr>
          <w:rFonts w:ascii="Arial" w:cs="Arial" w:eastAsia="Arial" w:hAnsi="Arial"/>
          <w:sz w:val="17"/>
          <w:szCs w:val="17"/>
          <w:color w:val="auto"/>
        </w:rPr>
        <w:t>The Peer Group is reviewed by the Compensation Committee every year and modifications are made to ensure each company in the group meets the above comparison criteria. The companies shown in the table below comprise our Peer Group:</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19"/>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Allison Transmission Holdings, Inc.</w:t>
            </w:r>
          </w:p>
        </w:tc>
        <w:tc>
          <w:tcPr>
            <w:tcW w:w="6740" w:type="dxa"/>
            <w:vAlign w:val="bottom"/>
            <w:shd w:val="clear" w:color="auto" w:fill="CCEEFF"/>
          </w:tcPr>
          <w:p>
            <w:pPr>
              <w:ind w:left="1620"/>
              <w:spacing w:after="0"/>
              <w:rPr>
                <w:sz w:val="20"/>
                <w:szCs w:val="20"/>
                <w:color w:val="auto"/>
              </w:rPr>
            </w:pPr>
            <w:r>
              <w:rPr>
                <w:rFonts w:ascii="Arial" w:cs="Arial" w:eastAsia="Arial" w:hAnsi="Arial"/>
                <w:sz w:val="17"/>
                <w:szCs w:val="17"/>
                <w:color w:val="auto"/>
              </w:rPr>
              <w:t>ITT Incorporated</w:t>
            </w:r>
          </w:p>
        </w:tc>
      </w:tr>
      <w:tr>
        <w:trPr>
          <w:trHeight w:val="219"/>
        </w:trPr>
        <w:tc>
          <w:tcPr>
            <w:tcW w:w="4280" w:type="dxa"/>
            <w:vAlign w:val="bottom"/>
          </w:tcPr>
          <w:p>
            <w:pPr>
              <w:spacing w:after="0"/>
              <w:rPr>
                <w:sz w:val="20"/>
                <w:szCs w:val="20"/>
                <w:color w:val="auto"/>
              </w:rPr>
            </w:pPr>
            <w:r>
              <w:rPr>
                <w:rFonts w:ascii="Arial" w:cs="Arial" w:eastAsia="Arial" w:hAnsi="Arial"/>
                <w:sz w:val="17"/>
                <w:szCs w:val="17"/>
                <w:color w:val="auto"/>
              </w:rPr>
              <w:t>Barnes Group Inc.</w:t>
            </w:r>
          </w:p>
        </w:tc>
        <w:tc>
          <w:tcPr>
            <w:tcW w:w="6740" w:type="dxa"/>
            <w:vAlign w:val="bottom"/>
          </w:tcPr>
          <w:p>
            <w:pPr>
              <w:ind w:left="1620"/>
              <w:spacing w:after="0"/>
              <w:rPr>
                <w:sz w:val="20"/>
                <w:szCs w:val="20"/>
                <w:color w:val="auto"/>
              </w:rPr>
            </w:pPr>
            <w:r>
              <w:rPr>
                <w:rFonts w:ascii="Arial" w:cs="Arial" w:eastAsia="Arial" w:hAnsi="Arial"/>
                <w:sz w:val="17"/>
                <w:szCs w:val="17"/>
                <w:color w:val="auto"/>
              </w:rPr>
              <w:t>LCI Industries</w:t>
            </w:r>
          </w:p>
        </w:tc>
      </w:tr>
      <w:tr>
        <w:trPr>
          <w:trHeight w:val="219"/>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Cooper-Standard Holdings</w:t>
            </w:r>
          </w:p>
        </w:tc>
        <w:tc>
          <w:tcPr>
            <w:tcW w:w="6740" w:type="dxa"/>
            <w:vAlign w:val="bottom"/>
            <w:shd w:val="clear" w:color="auto" w:fill="CCEEFF"/>
          </w:tcPr>
          <w:p>
            <w:pPr>
              <w:ind w:left="1620"/>
              <w:spacing w:after="0"/>
              <w:rPr>
                <w:sz w:val="20"/>
                <w:szCs w:val="20"/>
                <w:color w:val="auto"/>
              </w:rPr>
            </w:pPr>
            <w:r>
              <w:rPr>
                <w:rFonts w:ascii="Arial" w:cs="Arial" w:eastAsia="Arial" w:hAnsi="Arial"/>
                <w:sz w:val="17"/>
                <w:szCs w:val="17"/>
                <w:color w:val="auto"/>
              </w:rPr>
              <w:t>Littelfuse, Inc.</w:t>
            </w:r>
          </w:p>
        </w:tc>
      </w:tr>
      <w:tr>
        <w:trPr>
          <w:trHeight w:val="219"/>
        </w:trPr>
        <w:tc>
          <w:tcPr>
            <w:tcW w:w="4280" w:type="dxa"/>
            <w:vAlign w:val="bottom"/>
          </w:tcPr>
          <w:p>
            <w:pPr>
              <w:spacing w:after="0"/>
              <w:rPr>
                <w:sz w:val="20"/>
                <w:szCs w:val="20"/>
                <w:color w:val="auto"/>
              </w:rPr>
            </w:pPr>
            <w:r>
              <w:rPr>
                <w:rFonts w:ascii="Arial" w:cs="Arial" w:eastAsia="Arial" w:hAnsi="Arial"/>
                <w:sz w:val="17"/>
                <w:szCs w:val="17"/>
                <w:color w:val="auto"/>
              </w:rPr>
              <w:t>Donaldson Company, Inc.</w:t>
            </w:r>
          </w:p>
        </w:tc>
        <w:tc>
          <w:tcPr>
            <w:tcW w:w="6740" w:type="dxa"/>
            <w:vAlign w:val="bottom"/>
          </w:tcPr>
          <w:p>
            <w:pPr>
              <w:ind w:left="1620"/>
              <w:spacing w:after="0"/>
              <w:rPr>
                <w:sz w:val="20"/>
                <w:szCs w:val="20"/>
                <w:color w:val="auto"/>
              </w:rPr>
            </w:pPr>
            <w:r>
              <w:rPr>
                <w:rFonts w:ascii="Arial" w:cs="Arial" w:eastAsia="Arial" w:hAnsi="Arial"/>
                <w:sz w:val="17"/>
                <w:szCs w:val="17"/>
                <w:color w:val="auto"/>
              </w:rPr>
              <w:t>Methode Electronics, Inc.</w:t>
            </w:r>
          </w:p>
        </w:tc>
      </w:tr>
      <w:tr>
        <w:trPr>
          <w:trHeight w:val="219"/>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Dorman Products, Inc.</w:t>
            </w:r>
          </w:p>
        </w:tc>
        <w:tc>
          <w:tcPr>
            <w:tcW w:w="6740" w:type="dxa"/>
            <w:vAlign w:val="bottom"/>
            <w:shd w:val="clear" w:color="auto" w:fill="CCEEFF"/>
          </w:tcPr>
          <w:p>
            <w:pPr>
              <w:ind w:left="1620"/>
              <w:spacing w:after="0"/>
              <w:rPr>
                <w:sz w:val="20"/>
                <w:szCs w:val="20"/>
                <w:color w:val="auto"/>
              </w:rPr>
            </w:pPr>
            <w:r>
              <w:rPr>
                <w:rFonts w:ascii="Arial" w:cs="Arial" w:eastAsia="Arial" w:hAnsi="Arial"/>
                <w:sz w:val="17"/>
                <w:szCs w:val="17"/>
                <w:color w:val="auto"/>
              </w:rPr>
              <w:t>Modine Manufacturing Company</w:t>
            </w:r>
          </w:p>
        </w:tc>
      </w:tr>
      <w:tr>
        <w:trPr>
          <w:trHeight w:val="219"/>
        </w:trPr>
        <w:tc>
          <w:tcPr>
            <w:tcW w:w="4280" w:type="dxa"/>
            <w:vAlign w:val="bottom"/>
          </w:tcPr>
          <w:p>
            <w:pPr>
              <w:spacing w:after="0"/>
              <w:rPr>
                <w:sz w:val="20"/>
                <w:szCs w:val="20"/>
                <w:color w:val="auto"/>
              </w:rPr>
            </w:pPr>
            <w:r>
              <w:rPr>
                <w:rFonts w:ascii="Arial" w:cs="Arial" w:eastAsia="Arial" w:hAnsi="Arial"/>
                <w:sz w:val="17"/>
                <w:szCs w:val="17"/>
                <w:color w:val="auto"/>
              </w:rPr>
              <w:t>Federal Signal Corporation</w:t>
            </w:r>
          </w:p>
        </w:tc>
        <w:tc>
          <w:tcPr>
            <w:tcW w:w="6740" w:type="dxa"/>
            <w:vAlign w:val="bottom"/>
          </w:tcPr>
          <w:p>
            <w:pPr>
              <w:ind w:left="1620"/>
              <w:spacing w:after="0"/>
              <w:rPr>
                <w:sz w:val="20"/>
                <w:szCs w:val="20"/>
                <w:color w:val="auto"/>
              </w:rPr>
            </w:pPr>
            <w:r>
              <w:rPr>
                <w:rFonts w:ascii="Arial" w:cs="Arial" w:eastAsia="Arial" w:hAnsi="Arial"/>
                <w:sz w:val="17"/>
                <w:szCs w:val="17"/>
                <w:color w:val="auto"/>
              </w:rPr>
              <w:t>Nordson Corporation</w:t>
            </w:r>
          </w:p>
        </w:tc>
      </w:tr>
      <w:tr>
        <w:trPr>
          <w:trHeight w:val="219"/>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Franklin Electric Company, Inc.</w:t>
            </w:r>
          </w:p>
        </w:tc>
        <w:tc>
          <w:tcPr>
            <w:tcW w:w="6740" w:type="dxa"/>
            <w:vAlign w:val="bottom"/>
            <w:shd w:val="clear" w:color="auto" w:fill="CCEEFF"/>
          </w:tcPr>
          <w:p>
            <w:pPr>
              <w:ind w:left="1620"/>
              <w:spacing w:after="0"/>
              <w:rPr>
                <w:sz w:val="20"/>
                <w:szCs w:val="20"/>
                <w:color w:val="auto"/>
              </w:rPr>
            </w:pPr>
            <w:r>
              <w:rPr>
                <w:rFonts w:ascii="Arial" w:cs="Arial" w:eastAsia="Arial" w:hAnsi="Arial"/>
                <w:sz w:val="17"/>
                <w:szCs w:val="17"/>
                <w:color w:val="auto"/>
              </w:rPr>
              <w:t>SPX Technologies, Inc.</w:t>
            </w:r>
          </w:p>
        </w:tc>
      </w:tr>
      <w:tr>
        <w:trPr>
          <w:trHeight w:val="219"/>
        </w:trPr>
        <w:tc>
          <w:tcPr>
            <w:tcW w:w="4280" w:type="dxa"/>
            <w:vAlign w:val="bottom"/>
          </w:tcPr>
          <w:p>
            <w:pPr>
              <w:spacing w:after="0"/>
              <w:rPr>
                <w:sz w:val="20"/>
                <w:szCs w:val="20"/>
                <w:color w:val="auto"/>
              </w:rPr>
            </w:pPr>
            <w:r>
              <w:rPr>
                <w:rFonts w:ascii="Arial" w:cs="Arial" w:eastAsia="Arial" w:hAnsi="Arial"/>
                <w:sz w:val="17"/>
                <w:szCs w:val="17"/>
                <w:color w:val="auto"/>
              </w:rPr>
              <w:t>Gentherm Incorporated</w:t>
            </w:r>
          </w:p>
        </w:tc>
        <w:tc>
          <w:tcPr>
            <w:tcW w:w="6740" w:type="dxa"/>
            <w:vAlign w:val="bottom"/>
          </w:tcPr>
          <w:p>
            <w:pPr>
              <w:ind w:left="1620"/>
              <w:spacing w:after="0"/>
              <w:rPr>
                <w:sz w:val="20"/>
                <w:szCs w:val="20"/>
                <w:color w:val="auto"/>
              </w:rPr>
            </w:pPr>
            <w:r>
              <w:rPr>
                <w:rFonts w:ascii="Arial" w:cs="Arial" w:eastAsia="Arial" w:hAnsi="Arial"/>
                <w:sz w:val="17"/>
                <w:szCs w:val="17"/>
                <w:color w:val="auto"/>
              </w:rPr>
              <w:t>Standard Motor Products, Inc.</w:t>
            </w:r>
          </w:p>
        </w:tc>
      </w:tr>
      <w:tr>
        <w:trPr>
          <w:trHeight w:val="219"/>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Graco Inc.</w:t>
            </w:r>
          </w:p>
        </w:tc>
        <w:tc>
          <w:tcPr>
            <w:tcW w:w="6740" w:type="dxa"/>
            <w:vAlign w:val="bottom"/>
            <w:shd w:val="clear" w:color="auto" w:fill="CCEEFF"/>
          </w:tcPr>
          <w:p>
            <w:pPr>
              <w:ind w:left="1620"/>
              <w:spacing w:after="0"/>
              <w:rPr>
                <w:sz w:val="20"/>
                <w:szCs w:val="20"/>
                <w:color w:val="auto"/>
              </w:rPr>
            </w:pPr>
            <w:r>
              <w:rPr>
                <w:rFonts w:ascii="Arial" w:cs="Arial" w:eastAsia="Arial" w:hAnsi="Arial"/>
                <w:sz w:val="17"/>
                <w:szCs w:val="17"/>
                <w:color w:val="auto"/>
              </w:rPr>
              <w:t>Visteon Corporation</w:t>
            </w:r>
          </w:p>
        </w:tc>
      </w:tr>
      <w:tr>
        <w:trPr>
          <w:trHeight w:val="225"/>
        </w:trPr>
        <w:tc>
          <w:tcPr>
            <w:tcW w:w="4280" w:type="dxa"/>
            <w:vAlign w:val="bottom"/>
          </w:tcPr>
          <w:p>
            <w:pPr>
              <w:spacing w:after="0"/>
              <w:rPr>
                <w:sz w:val="20"/>
                <w:szCs w:val="20"/>
                <w:color w:val="auto"/>
              </w:rPr>
            </w:pPr>
            <w:r>
              <w:rPr>
                <w:rFonts w:ascii="Arial" w:cs="Arial" w:eastAsia="Arial" w:hAnsi="Arial"/>
                <w:sz w:val="17"/>
                <w:szCs w:val="17"/>
                <w:color w:val="auto"/>
              </w:rPr>
              <w:t>IDEX Corporation</w:t>
            </w:r>
          </w:p>
        </w:tc>
        <w:tc>
          <w:tcPr>
            <w:tcW w:w="6740" w:type="dxa"/>
            <w:vAlign w:val="bottom"/>
          </w:tcPr>
          <w:p>
            <w:pPr>
              <w:spacing w:after="0"/>
              <w:rPr>
                <w:sz w:val="19"/>
                <w:szCs w:val="19"/>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 for Performance</w:t>
      </w:r>
    </w:p>
    <w:p>
      <w:pPr>
        <w:spacing w:after="0" w:line="244" w:lineRule="exact"/>
        <w:rPr>
          <w:sz w:val="20"/>
          <w:szCs w:val="20"/>
          <w:color w:val="auto"/>
        </w:rPr>
      </w:pPr>
    </w:p>
    <w:p>
      <w:pPr>
        <w:jc w:val="both"/>
        <w:ind w:right="100" w:firstLine="618"/>
        <w:spacing w:after="0" w:line="271" w:lineRule="auto"/>
        <w:rPr>
          <w:sz w:val="20"/>
          <w:szCs w:val="20"/>
          <w:color w:val="auto"/>
        </w:rPr>
      </w:pPr>
      <w:r>
        <w:rPr>
          <w:rFonts w:ascii="Arial" w:cs="Arial" w:eastAsia="Arial" w:hAnsi="Arial"/>
          <w:sz w:val="17"/>
          <w:szCs w:val="17"/>
          <w:color w:val="auto"/>
        </w:rPr>
        <w:t>As part of adopting the Long-Term Incentive Plan, the Compensation Committee considered the correlation between NEO realizable compensation and Company performance. The Compensation Committee will continue to review the alignment between pay of our NEO's and our performance on a short and long-term basis.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NEO Pay Mix</w:t>
      </w:r>
    </w:p>
    <w:p>
      <w:pPr>
        <w:spacing w:after="0" w:line="244" w:lineRule="exact"/>
        <w:rPr>
          <w:sz w:val="20"/>
          <w:szCs w:val="20"/>
          <w:color w:val="auto"/>
        </w:rPr>
      </w:pPr>
    </w:p>
    <w:p>
      <w:pPr>
        <w:jc w:val="both"/>
        <w:ind w:right="100" w:firstLine="618"/>
        <w:spacing w:after="0" w:line="271" w:lineRule="auto"/>
        <w:rPr>
          <w:sz w:val="20"/>
          <w:szCs w:val="20"/>
          <w:color w:val="auto"/>
        </w:rPr>
      </w:pPr>
      <w:r>
        <w:rPr>
          <w:rFonts w:ascii="Arial" w:cs="Arial" w:eastAsia="Arial" w:hAnsi="Arial"/>
          <w:sz w:val="17"/>
          <w:szCs w:val="17"/>
          <w:color w:val="auto"/>
        </w:rPr>
        <w:t>To align pay levels for our NEOs with the Company's performance, the compensation program places the greatest emphasis on performance-based incentives. A significant majority (in 2024, 86% of our CEO’s target compensation awarded and 79% of the average target compensation awarded of our other NEOs) is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276860</wp:posOffset>
            </wp:positionV>
            <wp:extent cx="5560695" cy="2174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60695" cy="217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088"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ELEMENTS OF THE EXECUTIVE COMPENSATION PROGRAM</w:t>
      </w:r>
    </w:p>
    <w:p>
      <w:pPr>
        <w:spacing w:after="0" w:line="244" w:lineRule="exact"/>
        <w:rPr>
          <w:sz w:val="20"/>
          <w:szCs w:val="20"/>
          <w:color w:val="auto"/>
        </w:rPr>
      </w:pPr>
    </w:p>
    <w:p>
      <w:pPr>
        <w:jc w:val="both"/>
        <w:ind w:firstLine="618"/>
        <w:spacing w:after="0" w:line="271" w:lineRule="auto"/>
        <w:rPr>
          <w:sz w:val="20"/>
          <w:szCs w:val="20"/>
          <w:color w:val="auto"/>
        </w:rPr>
      </w:pPr>
      <w:r>
        <w:rPr>
          <w:rFonts w:ascii="Arial" w:cs="Arial" w:eastAsia="Arial" w:hAnsi="Arial"/>
          <w:sz w:val="17"/>
          <w:szCs w:val="17"/>
          <w:color w:val="auto"/>
        </w:rPr>
        <w:t>Our executive compensation program has three primary pay components: base salary; annual performance-based cash bonuses (under the Annual Incentive Plan); and long-term equity incentives (the Long-Term Incentive Plan). The Long-Term Incentive Plan was adopted in 2019, which implements the use of performance share awards.</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Cost</w:t>
            </w: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Element</w:t>
            </w:r>
          </w:p>
        </w:tc>
        <w:tc>
          <w:tcPr>
            <w:tcW w:w="23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Key Characteristic</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Why We Pay this Element</w:t>
            </w:r>
          </w:p>
        </w:tc>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How we Determine the Amount</w:t>
            </w:r>
          </w:p>
        </w:tc>
        <w:tc>
          <w:tcPr>
            <w:tcW w:w="0" w:type="dxa"/>
            <w:vAlign w:val="bottom"/>
          </w:tcPr>
          <w:p>
            <w:pPr>
              <w:spacing w:after="0"/>
              <w:rPr>
                <w:sz w:val="1"/>
                <w:szCs w:val="1"/>
                <w:color w:val="auto"/>
              </w:rPr>
            </w:pPr>
          </w:p>
        </w:tc>
      </w:tr>
      <w:tr>
        <w:trPr>
          <w:trHeight w:val="238"/>
        </w:trPr>
        <w:tc>
          <w:tcPr>
            <w:tcW w:w="980" w:type="dxa"/>
            <w:vAlign w:val="bottom"/>
            <w:tcBorders>
              <w:left w:val="single" w:sz="8" w:color="auto"/>
              <w:right w:val="single" w:sz="8" w:color="CCEEFF"/>
            </w:tcBorders>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Fixed compensation payable</w:t>
            </w:r>
          </w:p>
        </w:tc>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Provide a base level of competitive</w:t>
            </w:r>
          </w:p>
        </w:tc>
        <w:tc>
          <w:tcPr>
            <w:tcW w:w="37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Experience, job scope, individual performance,</w:t>
            </w:r>
          </w:p>
        </w:tc>
        <w:tc>
          <w:tcPr>
            <w:tcW w:w="0" w:type="dxa"/>
            <w:vAlign w:val="bottom"/>
          </w:tcPr>
          <w:p>
            <w:pPr>
              <w:spacing w:after="0"/>
              <w:rPr>
                <w:sz w:val="1"/>
                <w:szCs w:val="1"/>
                <w:color w:val="auto"/>
              </w:rPr>
            </w:pPr>
          </w:p>
        </w:tc>
      </w:tr>
      <w:tr>
        <w:trPr>
          <w:trHeight w:val="180"/>
        </w:trPr>
        <w:tc>
          <w:tcPr>
            <w:tcW w:w="980" w:type="dxa"/>
            <w:vAlign w:val="bottom"/>
            <w:tcBorders>
              <w:left w:val="single" w:sz="8" w:color="auto"/>
              <w:right w:val="single" w:sz="8" w:color="CCEEFF"/>
            </w:tcBorders>
            <w:shd w:val="clear" w:color="auto" w:fill="CCEEFF"/>
          </w:tcPr>
          <w:p>
            <w:pPr>
              <w:ind w:left="40"/>
              <w:spacing w:after="0" w:line="180" w:lineRule="exact"/>
              <w:rPr>
                <w:sz w:val="20"/>
                <w:szCs w:val="20"/>
                <w:color w:val="auto"/>
              </w:rPr>
            </w:pPr>
            <w:r>
              <w:rPr>
                <w:rFonts w:ascii="Arial" w:cs="Arial" w:eastAsia="Arial" w:hAnsi="Arial"/>
                <w:sz w:val="17"/>
                <w:szCs w:val="17"/>
                <w:color w:val="auto"/>
              </w:rPr>
              <w:t>Fixed</w:t>
            </w:r>
          </w:p>
        </w:tc>
        <w:tc>
          <w:tcPr>
            <w:tcW w:w="140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Base Salary</w:t>
            </w:r>
          </w:p>
        </w:tc>
        <w:tc>
          <w:tcPr>
            <w:tcW w:w="2340" w:type="dxa"/>
            <w:vAlign w:val="bottom"/>
            <w:shd w:val="clear" w:color="auto" w:fill="CCEEFF"/>
          </w:tcPr>
          <w:p>
            <w:pPr>
              <w:ind w:left="120"/>
              <w:spacing w:after="0" w:line="180" w:lineRule="exact"/>
              <w:rPr>
                <w:sz w:val="20"/>
                <w:szCs w:val="20"/>
                <w:color w:val="auto"/>
              </w:rPr>
            </w:pPr>
            <w:r>
              <w:rPr>
                <w:rFonts w:ascii="Arial" w:cs="Arial" w:eastAsia="Arial" w:hAnsi="Arial"/>
                <w:sz w:val="17"/>
                <w:szCs w:val="17"/>
                <w:color w:val="auto"/>
              </w:rPr>
              <w:t>in cash. Reviewed annually</w:t>
            </w:r>
          </w:p>
        </w:tc>
        <w:tc>
          <w:tcPr>
            <w:tcW w:w="282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cash compensation for attracting</w:t>
            </w:r>
          </w:p>
        </w:tc>
        <w:tc>
          <w:tcPr>
            <w:tcW w:w="3700" w:type="dxa"/>
            <w:vAlign w:val="bottom"/>
            <w:tcBorders>
              <w:right w:val="single" w:sz="8" w:color="auto"/>
            </w:tcBorders>
            <w:shd w:val="clear" w:color="auto" w:fill="CCEEFF"/>
          </w:tcPr>
          <w:p>
            <w:pPr>
              <w:ind w:left="20"/>
              <w:spacing w:after="0" w:line="180" w:lineRule="exact"/>
              <w:rPr>
                <w:sz w:val="20"/>
                <w:szCs w:val="20"/>
                <w:color w:val="auto"/>
              </w:rPr>
            </w:pPr>
            <w:r>
              <w:rPr>
                <w:rFonts w:ascii="Arial" w:cs="Arial" w:eastAsia="Arial" w:hAnsi="Arial"/>
                <w:sz w:val="17"/>
                <w:szCs w:val="17"/>
                <w:color w:val="auto"/>
              </w:rPr>
              <w:t>and market data, including market median of</w:t>
            </w:r>
          </w:p>
        </w:tc>
        <w:tc>
          <w:tcPr>
            <w:tcW w:w="0" w:type="dxa"/>
            <w:vAlign w:val="bottom"/>
          </w:tcPr>
          <w:p>
            <w:pPr>
              <w:spacing w:after="0"/>
              <w:rPr>
                <w:sz w:val="1"/>
                <w:szCs w:val="1"/>
                <w:color w:val="auto"/>
              </w:rPr>
            </w:pPr>
          </w:p>
        </w:tc>
      </w:tr>
      <w:tr>
        <w:trPr>
          <w:trHeight w:val="90"/>
        </w:trPr>
        <w:tc>
          <w:tcPr>
            <w:tcW w:w="980" w:type="dxa"/>
            <w:vAlign w:val="bottom"/>
            <w:tcBorders>
              <w:left w:val="single" w:sz="8" w:color="auto"/>
              <w:right w:val="single" w:sz="8" w:color="CCEEFF"/>
            </w:tcBorders>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2340" w:type="dxa"/>
            <w:vAlign w:val="bottom"/>
            <w:shd w:val="clear" w:color="auto" w:fill="CCEEFF"/>
          </w:tcPr>
          <w:p>
            <w:pPr>
              <w:ind w:left="120"/>
              <w:spacing w:after="0" w:line="91" w:lineRule="exact"/>
              <w:rPr>
                <w:sz w:val="20"/>
                <w:szCs w:val="20"/>
                <w:color w:val="auto"/>
              </w:rPr>
            </w:pPr>
            <w:r>
              <w:rPr>
                <w:rFonts w:ascii="Arial" w:cs="Arial" w:eastAsia="Arial" w:hAnsi="Arial"/>
                <w:sz w:val="10"/>
                <w:szCs w:val="10"/>
                <w:color w:val="auto"/>
              </w:rPr>
              <w:t>and adjusted when</w:t>
            </w:r>
          </w:p>
        </w:tc>
        <w:tc>
          <w:tcPr>
            <w:tcW w:w="282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and retaining officer talent.</w:t>
            </w:r>
          </w:p>
        </w:tc>
        <w:tc>
          <w:tcPr>
            <w:tcW w:w="370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7"/>
                <w:szCs w:val="17"/>
                <w:color w:val="auto"/>
              </w:rPr>
              <w:t>our Peer Group.</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CCEEFF"/>
            </w:tcBorders>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340" w:type="dxa"/>
            <w:vAlign w:val="bottom"/>
            <w:vMerge w:val="restart"/>
            <w:shd w:val="clear" w:color="auto" w:fill="CCEEFF"/>
          </w:tcPr>
          <w:p>
            <w:pPr>
              <w:ind w:left="120"/>
              <w:spacing w:after="0"/>
              <w:rPr>
                <w:sz w:val="20"/>
                <w:szCs w:val="20"/>
                <w:color w:val="auto"/>
              </w:rPr>
            </w:pPr>
            <w:r>
              <w:rPr>
                <w:rFonts w:ascii="Arial" w:cs="Arial" w:eastAsia="Arial" w:hAnsi="Arial"/>
                <w:sz w:val="17"/>
                <w:szCs w:val="17"/>
                <w:color w:val="auto"/>
              </w:rPr>
              <w:t>appropriate.</w:t>
            </w:r>
          </w:p>
        </w:tc>
        <w:tc>
          <w:tcPr>
            <w:tcW w:w="2820" w:type="dxa"/>
            <w:vAlign w:val="bottom"/>
            <w:vMerge w:val="continue"/>
            <w:shd w:val="clear" w:color="auto" w:fill="CCEEFF"/>
          </w:tcPr>
          <w:p>
            <w:pPr>
              <w:spacing w:after="0"/>
              <w:rPr>
                <w:sz w:val="11"/>
                <w:szCs w:val="11"/>
                <w:color w:val="auto"/>
              </w:rPr>
            </w:pPr>
          </w:p>
        </w:tc>
        <w:tc>
          <w:tcPr>
            <w:tcW w:w="370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980" w:type="dxa"/>
            <w:vAlign w:val="bottom"/>
            <w:tcBorders>
              <w:left w:val="single" w:sz="8" w:color="auto"/>
              <w:bottom w:val="single" w:sz="8" w:color="auto"/>
              <w:right w:val="single" w:sz="8" w:color="CCEEFF"/>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c>
          <w:tcPr>
            <w:tcW w:w="2340" w:type="dxa"/>
            <w:vAlign w:val="bottom"/>
            <w:tcBorders>
              <w:bottom w:val="single" w:sz="8" w:color="auto"/>
            </w:tcBorders>
            <w:vMerge w:val="continue"/>
            <w:shd w:val="clear" w:color="auto" w:fill="CCEEFF"/>
          </w:tcPr>
          <w:p>
            <w:pPr>
              <w:spacing w:after="0"/>
              <w:rPr>
                <w:sz w:val="7"/>
                <w:szCs w:val="7"/>
                <w:color w:val="auto"/>
              </w:rPr>
            </w:pPr>
          </w:p>
        </w:tc>
        <w:tc>
          <w:tcPr>
            <w:tcW w:w="2820" w:type="dxa"/>
            <w:vAlign w:val="bottom"/>
            <w:tcBorders>
              <w:bottom w:val="single" w:sz="8" w:color="auto"/>
            </w:tcBorders>
            <w:shd w:val="clear" w:color="auto" w:fill="CCEEFF"/>
          </w:tcPr>
          <w:p>
            <w:pPr>
              <w:spacing w:after="0"/>
              <w:rPr>
                <w:sz w:val="7"/>
                <w:szCs w:val="7"/>
                <w:color w:val="auto"/>
              </w:rPr>
            </w:pPr>
          </w:p>
        </w:tc>
        <w:tc>
          <w:tcPr>
            <w:tcW w:w="3700" w:type="dxa"/>
            <w:vAlign w:val="bottom"/>
            <w:tcBorders>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41"/>
        </w:trPr>
        <w:tc>
          <w:tcPr>
            <w:tcW w:w="980" w:type="dxa"/>
            <w:vAlign w:val="bottom"/>
            <w:tcBorders>
              <w:left w:val="single" w:sz="8" w:color="auto"/>
              <w:right w:val="single" w:sz="8" w:color="auto"/>
            </w:tcBorders>
          </w:tcPr>
          <w:p>
            <w:pPr>
              <w:spacing w:after="0"/>
              <w:rPr>
                <w:sz w:val="24"/>
                <w:szCs w:val="24"/>
                <w:color w:val="auto"/>
              </w:rPr>
            </w:pPr>
          </w:p>
        </w:tc>
        <w:tc>
          <w:tcPr>
            <w:tcW w:w="1400" w:type="dxa"/>
            <w:vAlign w:val="bottom"/>
            <w:vMerge w:val="restart"/>
          </w:tcPr>
          <w:p>
            <w:pPr>
              <w:ind w:left="20"/>
              <w:spacing w:after="0"/>
              <w:rPr>
                <w:sz w:val="20"/>
                <w:szCs w:val="20"/>
                <w:color w:val="auto"/>
              </w:rPr>
            </w:pPr>
            <w:r>
              <w:rPr>
                <w:rFonts w:ascii="Arial" w:cs="Arial" w:eastAsia="Arial" w:hAnsi="Arial"/>
                <w:sz w:val="17"/>
                <w:szCs w:val="17"/>
                <w:color w:val="auto"/>
              </w:rPr>
              <w:t>Annual cash</w:t>
            </w:r>
          </w:p>
        </w:tc>
        <w:tc>
          <w:tcPr>
            <w:tcW w:w="2340" w:type="dxa"/>
            <w:vAlign w:val="bottom"/>
          </w:tcPr>
          <w:p>
            <w:pPr>
              <w:ind w:left="120"/>
              <w:spacing w:after="0"/>
              <w:rPr>
                <w:sz w:val="20"/>
                <w:szCs w:val="20"/>
                <w:color w:val="auto"/>
              </w:rPr>
            </w:pPr>
            <w:r>
              <w:rPr>
                <w:rFonts w:ascii="Arial" w:cs="Arial" w:eastAsia="Arial" w:hAnsi="Arial"/>
                <w:sz w:val="17"/>
                <w:szCs w:val="17"/>
                <w:color w:val="auto"/>
              </w:rPr>
              <w:t>Variable compensation</w:t>
            </w:r>
          </w:p>
        </w:tc>
        <w:tc>
          <w:tcPr>
            <w:tcW w:w="2820" w:type="dxa"/>
            <w:vAlign w:val="bottom"/>
            <w:vMerge w:val="restart"/>
          </w:tcPr>
          <w:p>
            <w:pPr>
              <w:ind w:left="20"/>
              <w:spacing w:after="0"/>
              <w:rPr>
                <w:sz w:val="20"/>
                <w:szCs w:val="20"/>
                <w:color w:val="auto"/>
              </w:rPr>
            </w:pPr>
            <w:r>
              <w:rPr>
                <w:rFonts w:ascii="Arial" w:cs="Arial" w:eastAsia="Arial" w:hAnsi="Arial"/>
                <w:sz w:val="17"/>
                <w:szCs w:val="17"/>
                <w:color w:val="auto"/>
              </w:rPr>
              <w:t>Motivate high performance and</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Based on financial performance metrics</w:t>
            </w:r>
          </w:p>
        </w:tc>
        <w:tc>
          <w:tcPr>
            <w:tcW w:w="0" w:type="dxa"/>
            <w:vAlign w:val="bottom"/>
          </w:tcPr>
          <w:p>
            <w:pPr>
              <w:spacing w:after="0"/>
              <w:rPr>
                <w:sz w:val="1"/>
                <w:szCs w:val="1"/>
                <w:color w:val="auto"/>
              </w:rPr>
            </w:pPr>
          </w:p>
        </w:tc>
      </w:tr>
      <w:tr>
        <w:trPr>
          <w:trHeight w:val="167"/>
        </w:trPr>
        <w:tc>
          <w:tcPr>
            <w:tcW w:w="980" w:type="dxa"/>
            <w:vAlign w:val="bottom"/>
            <w:tcBorders>
              <w:left w:val="single" w:sz="8" w:color="auto"/>
              <w:right w:val="single" w:sz="8" w:color="auto"/>
            </w:tcBorders>
          </w:tcPr>
          <w:p>
            <w:pPr>
              <w:spacing w:after="0"/>
              <w:rPr>
                <w:sz w:val="14"/>
                <w:szCs w:val="14"/>
                <w:color w:val="auto"/>
              </w:rPr>
            </w:pPr>
          </w:p>
        </w:tc>
        <w:tc>
          <w:tcPr>
            <w:tcW w:w="1400" w:type="dxa"/>
            <w:vAlign w:val="bottom"/>
            <w:vMerge w:val="continue"/>
          </w:tcPr>
          <w:p>
            <w:pPr>
              <w:spacing w:after="0"/>
              <w:rPr>
                <w:sz w:val="14"/>
                <w:szCs w:val="14"/>
                <w:color w:val="auto"/>
              </w:rPr>
            </w:pPr>
          </w:p>
        </w:tc>
        <w:tc>
          <w:tcPr>
            <w:tcW w:w="2340" w:type="dxa"/>
            <w:vAlign w:val="bottom"/>
          </w:tcPr>
          <w:p>
            <w:pPr>
              <w:ind w:left="120"/>
              <w:spacing w:after="0" w:line="167" w:lineRule="exact"/>
              <w:rPr>
                <w:sz w:val="20"/>
                <w:szCs w:val="20"/>
                <w:color w:val="auto"/>
              </w:rPr>
            </w:pPr>
            <w:r>
              <w:rPr>
                <w:rFonts w:ascii="Arial" w:cs="Arial" w:eastAsia="Arial" w:hAnsi="Arial"/>
                <w:sz w:val="17"/>
                <w:szCs w:val="17"/>
                <w:color w:val="auto"/>
              </w:rPr>
              <w:t>payable in cash based on</w:t>
            </w:r>
          </w:p>
        </w:tc>
        <w:tc>
          <w:tcPr>
            <w:tcW w:w="2820" w:type="dxa"/>
            <w:vAlign w:val="bottom"/>
            <w:vMerge w:val="continue"/>
          </w:tcPr>
          <w:p>
            <w:pPr>
              <w:spacing w:after="0"/>
              <w:rPr>
                <w:sz w:val="14"/>
                <w:szCs w:val="14"/>
                <w:color w:val="auto"/>
              </w:rPr>
            </w:pPr>
          </w:p>
        </w:tc>
        <w:tc>
          <w:tcPr>
            <w:tcW w:w="3700" w:type="dxa"/>
            <w:vAlign w:val="bottom"/>
            <w:tcBorders>
              <w:right w:val="single" w:sz="8" w:color="auto"/>
            </w:tcBorders>
          </w:tcPr>
          <w:p>
            <w:pPr>
              <w:ind w:left="20"/>
              <w:spacing w:after="0" w:line="167" w:lineRule="exact"/>
              <w:rPr>
                <w:sz w:val="20"/>
                <w:szCs w:val="20"/>
                <w:color w:val="auto"/>
              </w:rPr>
            </w:pPr>
            <w:r>
              <w:rPr>
                <w:rFonts w:ascii="Arial" w:cs="Arial" w:eastAsia="Arial" w:hAnsi="Arial"/>
                <w:sz w:val="17"/>
                <w:szCs w:val="17"/>
                <w:color w:val="auto"/>
              </w:rPr>
              <w:t>(revenue, operating income, and earnings per</w:t>
            </w:r>
          </w:p>
        </w:tc>
        <w:tc>
          <w:tcPr>
            <w:tcW w:w="0" w:type="dxa"/>
            <w:vAlign w:val="bottom"/>
          </w:tcPr>
          <w:p>
            <w:pPr>
              <w:spacing w:after="0"/>
              <w:rPr>
                <w:sz w:val="1"/>
                <w:szCs w:val="1"/>
                <w:color w:val="auto"/>
              </w:rPr>
            </w:pPr>
          </w:p>
        </w:tc>
      </w:tr>
      <w:tr>
        <w:trPr>
          <w:trHeight w:val="180"/>
        </w:trPr>
        <w:tc>
          <w:tcPr>
            <w:tcW w:w="980" w:type="dxa"/>
            <w:vAlign w:val="bottom"/>
            <w:tcBorders>
              <w:left w:val="single" w:sz="8" w:color="auto"/>
              <w:right w:val="single" w:sz="8" w:color="auto"/>
            </w:tcBorders>
          </w:tcPr>
          <w:p>
            <w:pPr>
              <w:spacing w:after="0"/>
              <w:rPr>
                <w:sz w:val="15"/>
                <w:szCs w:val="15"/>
                <w:color w:val="auto"/>
              </w:rPr>
            </w:pPr>
          </w:p>
        </w:tc>
        <w:tc>
          <w:tcPr>
            <w:tcW w:w="1400" w:type="dxa"/>
            <w:vAlign w:val="bottom"/>
          </w:tcPr>
          <w:p>
            <w:pPr>
              <w:ind w:left="20"/>
              <w:spacing w:after="0" w:line="180" w:lineRule="exact"/>
              <w:rPr>
                <w:sz w:val="20"/>
                <w:szCs w:val="20"/>
                <w:color w:val="auto"/>
              </w:rPr>
            </w:pPr>
            <w:r>
              <w:rPr>
                <w:rFonts w:ascii="Arial" w:cs="Arial" w:eastAsia="Arial" w:hAnsi="Arial"/>
                <w:sz w:val="17"/>
                <w:szCs w:val="17"/>
                <w:color w:val="auto"/>
              </w:rPr>
              <w:t>incentive award</w:t>
            </w:r>
          </w:p>
        </w:tc>
        <w:tc>
          <w:tcPr>
            <w:tcW w:w="2340" w:type="dxa"/>
            <w:vAlign w:val="bottom"/>
          </w:tcPr>
          <w:p>
            <w:pPr>
              <w:ind w:left="120"/>
              <w:spacing w:after="0" w:line="180" w:lineRule="exact"/>
              <w:rPr>
                <w:sz w:val="20"/>
                <w:szCs w:val="20"/>
                <w:color w:val="auto"/>
              </w:rPr>
            </w:pPr>
            <w:r>
              <w:rPr>
                <w:rFonts w:ascii="Arial" w:cs="Arial" w:eastAsia="Arial" w:hAnsi="Arial"/>
                <w:sz w:val="17"/>
                <w:szCs w:val="17"/>
                <w:color w:val="auto"/>
              </w:rPr>
              <w:t>annual performance-related</w:t>
            </w:r>
          </w:p>
        </w:tc>
        <w:tc>
          <w:tcPr>
            <w:tcW w:w="2820" w:type="dxa"/>
            <w:vAlign w:val="bottom"/>
          </w:tcPr>
          <w:p>
            <w:pPr>
              <w:ind w:left="20"/>
              <w:spacing w:after="0" w:line="180" w:lineRule="exact"/>
              <w:rPr>
                <w:sz w:val="20"/>
                <w:szCs w:val="20"/>
                <w:color w:val="auto"/>
              </w:rPr>
            </w:pPr>
            <w:r>
              <w:rPr>
                <w:rFonts w:ascii="Arial" w:cs="Arial" w:eastAsia="Arial" w:hAnsi="Arial"/>
                <w:sz w:val="17"/>
                <w:szCs w:val="17"/>
                <w:color w:val="auto"/>
              </w:rPr>
              <w:t>award results, in the near term.</w:t>
            </w:r>
          </w:p>
        </w:tc>
        <w:tc>
          <w:tcPr>
            <w:tcW w:w="3700" w:type="dxa"/>
            <w:vAlign w:val="bottom"/>
            <w:tcBorders>
              <w:right w:val="single" w:sz="8" w:color="auto"/>
            </w:tcBorders>
          </w:tcPr>
          <w:p>
            <w:pPr>
              <w:ind w:left="20"/>
              <w:spacing w:after="0" w:line="180" w:lineRule="exact"/>
              <w:rPr>
                <w:sz w:val="20"/>
                <w:szCs w:val="20"/>
                <w:color w:val="auto"/>
              </w:rPr>
            </w:pPr>
            <w:r>
              <w:rPr>
                <w:rFonts w:ascii="Arial" w:cs="Arial" w:eastAsia="Arial" w:hAnsi="Arial"/>
                <w:sz w:val="17"/>
                <w:szCs w:val="17"/>
                <w:color w:val="auto"/>
              </w:rPr>
              <w:t>diluted share) and market data, including</w:t>
            </w:r>
          </w:p>
        </w:tc>
        <w:tc>
          <w:tcPr>
            <w:tcW w:w="0" w:type="dxa"/>
            <w:vAlign w:val="bottom"/>
          </w:tcPr>
          <w:p>
            <w:pPr>
              <w:spacing w:after="0"/>
              <w:rPr>
                <w:sz w:val="1"/>
                <w:szCs w:val="1"/>
                <w:color w:val="auto"/>
              </w:rPr>
            </w:pPr>
          </w:p>
        </w:tc>
      </w:tr>
      <w:tr>
        <w:trPr>
          <w:trHeight w:val="225"/>
        </w:trPr>
        <w:tc>
          <w:tcPr>
            <w:tcW w:w="980" w:type="dxa"/>
            <w:vAlign w:val="bottom"/>
            <w:tcBorders>
              <w:left w:val="single" w:sz="8" w:color="auto"/>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2340" w:type="dxa"/>
            <w:vAlign w:val="bottom"/>
          </w:tcPr>
          <w:p>
            <w:pPr>
              <w:ind w:left="120"/>
              <w:spacing w:after="0"/>
              <w:rPr>
                <w:sz w:val="20"/>
                <w:szCs w:val="20"/>
                <w:color w:val="auto"/>
              </w:rPr>
            </w:pPr>
            <w:r>
              <w:rPr>
                <w:rFonts w:ascii="Arial" w:cs="Arial" w:eastAsia="Arial" w:hAnsi="Arial"/>
                <w:sz w:val="17"/>
                <w:szCs w:val="17"/>
                <w:color w:val="auto"/>
              </w:rPr>
              <w:t>financial goals.</w:t>
            </w:r>
          </w:p>
        </w:tc>
        <w:tc>
          <w:tcPr>
            <w:tcW w:w="2820" w:type="dxa"/>
            <w:vAlign w:val="bottom"/>
          </w:tcPr>
          <w:p>
            <w:pPr>
              <w:spacing w:after="0"/>
              <w:rPr>
                <w:sz w:val="19"/>
                <w:szCs w:val="19"/>
                <w:color w:val="auto"/>
              </w:rPr>
            </w:pP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market median of our Peer Group.</w:t>
            </w:r>
          </w:p>
        </w:tc>
        <w:tc>
          <w:tcPr>
            <w:tcW w:w="0" w:type="dxa"/>
            <w:vAlign w:val="bottom"/>
          </w:tcPr>
          <w:p>
            <w:pPr>
              <w:spacing w:after="0"/>
              <w:rPr>
                <w:sz w:val="1"/>
                <w:szCs w:val="1"/>
                <w:color w:val="auto"/>
              </w:rPr>
            </w:pPr>
          </w:p>
        </w:tc>
      </w:tr>
      <w:tr>
        <w:trPr>
          <w:trHeight w:val="187"/>
        </w:trPr>
        <w:tc>
          <w:tcPr>
            <w:tcW w:w="980" w:type="dxa"/>
            <w:vAlign w:val="bottom"/>
            <w:tcBorders>
              <w:left w:val="single" w:sz="8" w:color="auto"/>
              <w:right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37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980" w:type="dxa"/>
            <w:vAlign w:val="bottom"/>
            <w:tcBorders>
              <w:left w:val="single" w:sz="8" w:color="auto"/>
              <w:right w:val="single" w:sz="8" w:color="auto"/>
            </w:tcBorders>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Align the interests of officers with</w:t>
            </w:r>
          </w:p>
        </w:tc>
        <w:tc>
          <w:tcPr>
            <w:tcW w:w="37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Target awards based on job scope and market</w:t>
            </w:r>
          </w:p>
        </w:tc>
        <w:tc>
          <w:tcPr>
            <w:tcW w:w="0" w:type="dxa"/>
            <w:vAlign w:val="bottom"/>
          </w:tcPr>
          <w:p>
            <w:pPr>
              <w:spacing w:after="0"/>
              <w:rPr>
                <w:sz w:val="1"/>
                <w:szCs w:val="1"/>
                <w:color w:val="auto"/>
              </w:rPr>
            </w:pPr>
          </w:p>
        </w:tc>
      </w:tr>
      <w:tr>
        <w:trPr>
          <w:trHeight w:val="176"/>
        </w:trPr>
        <w:tc>
          <w:tcPr>
            <w:tcW w:w="980" w:type="dxa"/>
            <w:vAlign w:val="bottom"/>
            <w:tcBorders>
              <w:left w:val="single" w:sz="8" w:color="auto"/>
              <w:right w:val="single" w:sz="8" w:color="auto"/>
            </w:tcBorders>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340" w:type="dxa"/>
            <w:vAlign w:val="bottom"/>
            <w:vMerge w:val="restart"/>
            <w:shd w:val="clear" w:color="auto" w:fill="CCEEFF"/>
          </w:tcPr>
          <w:p>
            <w:pPr>
              <w:ind w:left="120"/>
              <w:spacing w:after="0"/>
              <w:rPr>
                <w:sz w:val="20"/>
                <w:szCs w:val="20"/>
                <w:color w:val="auto"/>
              </w:rPr>
            </w:pPr>
            <w:r>
              <w:rPr>
                <w:rFonts w:ascii="Arial" w:cs="Arial" w:eastAsia="Arial" w:hAnsi="Arial"/>
                <w:sz w:val="17"/>
                <w:szCs w:val="17"/>
                <w:color w:val="auto"/>
              </w:rPr>
              <w:t>PSAs vest after a three-year</w:t>
            </w:r>
          </w:p>
        </w:tc>
        <w:tc>
          <w:tcPr>
            <w:tcW w:w="282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long-term shareholder value and</w:t>
            </w:r>
          </w:p>
        </w:tc>
        <w:tc>
          <w:tcPr>
            <w:tcW w:w="3700" w:type="dxa"/>
            <w:vAlign w:val="bottom"/>
            <w:tcBorders>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7"/>
                <w:szCs w:val="17"/>
                <w:color w:val="auto"/>
              </w:rPr>
              <w:t>data, including market median of our Peer</w:t>
            </w:r>
          </w:p>
        </w:tc>
        <w:tc>
          <w:tcPr>
            <w:tcW w:w="0" w:type="dxa"/>
            <w:vAlign w:val="bottom"/>
          </w:tcPr>
          <w:p>
            <w:pPr>
              <w:spacing w:after="0"/>
              <w:rPr>
                <w:sz w:val="1"/>
                <w:szCs w:val="1"/>
                <w:color w:val="auto"/>
              </w:rPr>
            </w:pPr>
          </w:p>
        </w:tc>
      </w:tr>
      <w:tr>
        <w:trPr>
          <w:trHeight w:val="171"/>
        </w:trPr>
        <w:tc>
          <w:tcPr>
            <w:tcW w:w="980" w:type="dxa"/>
            <w:vAlign w:val="bottom"/>
            <w:tcBorders>
              <w:left w:val="single" w:sz="8" w:color="auto"/>
              <w:right w:val="single" w:sz="8" w:color="auto"/>
            </w:tcBorders>
          </w:tcPr>
          <w:p>
            <w:pPr>
              <w:spacing w:after="0"/>
              <w:rPr>
                <w:sz w:val="14"/>
                <w:szCs w:val="14"/>
                <w:color w:val="auto"/>
              </w:rPr>
            </w:pPr>
          </w:p>
        </w:tc>
        <w:tc>
          <w:tcPr>
            <w:tcW w:w="140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Performance</w:t>
            </w:r>
          </w:p>
        </w:tc>
        <w:tc>
          <w:tcPr>
            <w:tcW w:w="2340" w:type="dxa"/>
            <w:vAlign w:val="bottom"/>
            <w:vMerge w:val="continue"/>
            <w:shd w:val="clear" w:color="auto" w:fill="CCEEFF"/>
          </w:tcPr>
          <w:p>
            <w:pPr>
              <w:spacing w:after="0"/>
              <w:rPr>
                <w:sz w:val="14"/>
                <w:szCs w:val="14"/>
                <w:color w:val="auto"/>
              </w:rPr>
            </w:pPr>
          </w:p>
        </w:tc>
        <w:tc>
          <w:tcPr>
            <w:tcW w:w="282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retain officer talent.</w:t>
            </w:r>
          </w:p>
        </w:tc>
        <w:tc>
          <w:tcPr>
            <w:tcW w:w="3700" w:type="dxa"/>
            <w:vAlign w:val="bottom"/>
            <w:tcBorders>
              <w:right w:val="single" w:sz="8" w:color="auto"/>
            </w:tcBorders>
            <w:shd w:val="clear" w:color="auto" w:fill="CCEEFF"/>
          </w:tcPr>
          <w:p>
            <w:pPr>
              <w:ind w:left="20"/>
              <w:spacing w:after="0" w:line="172" w:lineRule="exact"/>
              <w:rPr>
                <w:sz w:val="20"/>
                <w:szCs w:val="20"/>
                <w:color w:val="auto"/>
              </w:rPr>
            </w:pPr>
            <w:r>
              <w:rPr>
                <w:rFonts w:ascii="Arial" w:cs="Arial" w:eastAsia="Arial" w:hAnsi="Arial"/>
                <w:sz w:val="17"/>
                <w:szCs w:val="17"/>
                <w:color w:val="auto"/>
              </w:rPr>
              <w:t>Group.</w:t>
            </w:r>
          </w:p>
        </w:tc>
        <w:tc>
          <w:tcPr>
            <w:tcW w:w="0" w:type="dxa"/>
            <w:vAlign w:val="bottom"/>
          </w:tcPr>
          <w:p>
            <w:pPr>
              <w:spacing w:after="0"/>
              <w:rPr>
                <w:sz w:val="1"/>
                <w:szCs w:val="1"/>
                <w:color w:val="auto"/>
              </w:rPr>
            </w:pPr>
          </w:p>
        </w:tc>
      </w:tr>
      <w:tr>
        <w:trPr>
          <w:trHeight w:val="90"/>
        </w:trPr>
        <w:tc>
          <w:tcPr>
            <w:tcW w:w="980" w:type="dxa"/>
            <w:vAlign w:val="bottom"/>
            <w:tcBorders>
              <w:left w:val="single" w:sz="8" w:color="auto"/>
              <w:right w:val="single" w:sz="8" w:color="auto"/>
            </w:tcBorders>
          </w:tcPr>
          <w:p>
            <w:pPr>
              <w:spacing w:after="0"/>
              <w:rPr>
                <w:sz w:val="7"/>
                <w:szCs w:val="7"/>
                <w:color w:val="auto"/>
              </w:rPr>
            </w:pPr>
          </w:p>
        </w:tc>
        <w:tc>
          <w:tcPr>
            <w:tcW w:w="1400" w:type="dxa"/>
            <w:vAlign w:val="bottom"/>
            <w:vMerge w:val="continue"/>
            <w:shd w:val="clear" w:color="auto" w:fill="CCEEFF"/>
          </w:tcPr>
          <w:p>
            <w:pPr>
              <w:spacing w:after="0"/>
              <w:rPr>
                <w:sz w:val="7"/>
                <w:szCs w:val="7"/>
                <w:color w:val="auto"/>
              </w:rPr>
            </w:pPr>
          </w:p>
        </w:tc>
        <w:tc>
          <w:tcPr>
            <w:tcW w:w="2340" w:type="dxa"/>
            <w:vAlign w:val="bottom"/>
            <w:shd w:val="clear" w:color="auto" w:fill="CCEEFF"/>
          </w:tcPr>
          <w:p>
            <w:pPr>
              <w:ind w:left="120"/>
              <w:spacing w:after="0" w:line="91" w:lineRule="exact"/>
              <w:rPr>
                <w:sz w:val="20"/>
                <w:szCs w:val="20"/>
                <w:color w:val="auto"/>
              </w:rPr>
            </w:pPr>
            <w:r>
              <w:rPr>
                <w:rFonts w:ascii="Arial" w:cs="Arial" w:eastAsia="Arial" w:hAnsi="Arial"/>
                <w:sz w:val="10"/>
                <w:szCs w:val="10"/>
                <w:color w:val="auto"/>
              </w:rPr>
              <w:t>performance period based</w:t>
            </w:r>
          </w:p>
        </w:tc>
        <w:tc>
          <w:tcPr>
            <w:tcW w:w="2820" w:type="dxa"/>
            <w:vAlign w:val="bottom"/>
            <w:shd w:val="clear" w:color="auto" w:fill="CCEEFF"/>
          </w:tcPr>
          <w:p>
            <w:pPr>
              <w:spacing w:after="0"/>
              <w:rPr>
                <w:sz w:val="7"/>
                <w:szCs w:val="7"/>
                <w:color w:val="auto"/>
              </w:rPr>
            </w:pPr>
          </w:p>
        </w:tc>
        <w:tc>
          <w:tcPr>
            <w:tcW w:w="3700" w:type="dxa"/>
            <w:vAlign w:val="bottom"/>
            <w:tcBorders>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980" w:type="dxa"/>
            <w:vAlign w:val="bottom"/>
            <w:tcBorders>
              <w:left w:val="single" w:sz="8" w:color="auto"/>
              <w:right w:val="single" w:sz="8" w:color="auto"/>
            </w:tcBorders>
          </w:tcPr>
          <w:p>
            <w:pPr>
              <w:spacing w:after="0"/>
              <w:rPr>
                <w:sz w:val="15"/>
                <w:szCs w:val="15"/>
                <w:color w:val="auto"/>
              </w:rPr>
            </w:pPr>
          </w:p>
        </w:tc>
        <w:tc>
          <w:tcPr>
            <w:tcW w:w="140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Share Award</w:t>
            </w:r>
          </w:p>
        </w:tc>
        <w:tc>
          <w:tcPr>
            <w:tcW w:w="2340" w:type="dxa"/>
            <w:vAlign w:val="bottom"/>
            <w:shd w:val="clear" w:color="auto" w:fill="CCEEFF"/>
          </w:tcPr>
          <w:p>
            <w:pPr>
              <w:ind w:left="120"/>
              <w:spacing w:after="0" w:line="180" w:lineRule="exact"/>
              <w:rPr>
                <w:sz w:val="20"/>
                <w:szCs w:val="20"/>
                <w:color w:val="auto"/>
              </w:rPr>
            </w:pPr>
            <w:r>
              <w:rPr>
                <w:rFonts w:ascii="Arial" w:cs="Arial" w:eastAsia="Arial" w:hAnsi="Arial"/>
                <w:sz w:val="17"/>
                <w:szCs w:val="17"/>
                <w:color w:val="auto"/>
              </w:rPr>
              <w:t>on meeting cumulative</w:t>
            </w:r>
          </w:p>
        </w:tc>
        <w:tc>
          <w:tcPr>
            <w:tcW w:w="2820" w:type="dxa"/>
            <w:vAlign w:val="bottom"/>
            <w:shd w:val="clear" w:color="auto" w:fill="CCEEFF"/>
          </w:tcPr>
          <w:p>
            <w:pPr>
              <w:spacing w:after="0"/>
              <w:rPr>
                <w:sz w:val="15"/>
                <w:szCs w:val="15"/>
                <w:color w:val="auto"/>
              </w:rPr>
            </w:pPr>
          </w:p>
        </w:tc>
        <w:tc>
          <w:tcPr>
            <w:tcW w:w="37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980" w:type="dxa"/>
            <w:vAlign w:val="bottom"/>
            <w:tcBorders>
              <w:left w:val="single" w:sz="8" w:color="auto"/>
              <w:right w:val="single" w:sz="8" w:color="auto"/>
            </w:tcBorders>
          </w:tcPr>
          <w:p>
            <w:pPr>
              <w:spacing w:after="0"/>
              <w:rPr>
                <w:sz w:val="14"/>
                <w:szCs w:val="14"/>
                <w:color w:val="auto"/>
              </w:rPr>
            </w:pPr>
          </w:p>
        </w:tc>
        <w:tc>
          <w:tcPr>
            <w:tcW w:w="140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("PSA")</w:t>
            </w:r>
          </w:p>
        </w:tc>
        <w:tc>
          <w:tcPr>
            <w:tcW w:w="2340" w:type="dxa"/>
            <w:vAlign w:val="bottom"/>
            <w:shd w:val="clear" w:color="auto" w:fill="CCEEFF"/>
          </w:tcPr>
          <w:p>
            <w:pPr>
              <w:ind w:left="120"/>
              <w:spacing w:after="0" w:line="167" w:lineRule="exact"/>
              <w:rPr>
                <w:sz w:val="20"/>
                <w:szCs w:val="20"/>
                <w:color w:val="auto"/>
              </w:rPr>
            </w:pPr>
            <w:r>
              <w:rPr>
                <w:rFonts w:ascii="Arial" w:cs="Arial" w:eastAsia="Arial" w:hAnsi="Arial"/>
                <w:sz w:val="17"/>
                <w:szCs w:val="17"/>
                <w:color w:val="auto"/>
              </w:rPr>
              <w:t>performance related financial</w:t>
            </w:r>
          </w:p>
        </w:tc>
        <w:tc>
          <w:tcPr>
            <w:tcW w:w="2820" w:type="dxa"/>
            <w:vAlign w:val="bottom"/>
            <w:shd w:val="clear" w:color="auto" w:fill="CCEEFF"/>
          </w:tcPr>
          <w:p>
            <w:pPr>
              <w:spacing w:after="0"/>
              <w:rPr>
                <w:sz w:val="14"/>
                <w:szCs w:val="14"/>
                <w:color w:val="auto"/>
              </w:rPr>
            </w:pPr>
          </w:p>
        </w:tc>
        <w:tc>
          <w:tcPr>
            <w:tcW w:w="370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7"/>
                <w:szCs w:val="17"/>
                <w:color w:val="auto"/>
              </w:rPr>
              <w:t>Payouts are based on our performance on</w:t>
            </w:r>
          </w:p>
        </w:tc>
        <w:tc>
          <w:tcPr>
            <w:tcW w:w="0" w:type="dxa"/>
            <w:vAlign w:val="bottom"/>
          </w:tcPr>
          <w:p>
            <w:pPr>
              <w:spacing w:after="0"/>
              <w:rPr>
                <w:sz w:val="1"/>
                <w:szCs w:val="1"/>
                <w:color w:val="auto"/>
              </w:rPr>
            </w:pPr>
          </w:p>
        </w:tc>
      </w:tr>
      <w:tr>
        <w:trPr>
          <w:trHeight w:val="219"/>
        </w:trPr>
        <w:tc>
          <w:tcPr>
            <w:tcW w:w="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Variable</w:t>
            </w:r>
          </w:p>
        </w:tc>
        <w:tc>
          <w:tcPr>
            <w:tcW w:w="1400" w:type="dxa"/>
            <w:vAlign w:val="bottom"/>
            <w:shd w:val="clear" w:color="auto" w:fill="CCEEFF"/>
          </w:tcPr>
          <w:p>
            <w:pPr>
              <w:spacing w:after="0"/>
              <w:rPr>
                <w:sz w:val="19"/>
                <w:szCs w:val="19"/>
                <w:color w:val="auto"/>
              </w:rPr>
            </w:pPr>
          </w:p>
        </w:tc>
        <w:tc>
          <w:tcPr>
            <w:tcW w:w="2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objectives.</w:t>
            </w:r>
          </w:p>
        </w:tc>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Minimize risk taking behaviors for</w:t>
            </w:r>
          </w:p>
        </w:tc>
        <w:tc>
          <w:tcPr>
            <w:tcW w:w="3700" w:type="dxa"/>
            <w:vAlign w:val="bottom"/>
            <w:tcBorders>
              <w:right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980" w:type="dxa"/>
            <w:vAlign w:val="bottom"/>
            <w:tcBorders>
              <w:left w:val="single" w:sz="8" w:color="auto"/>
              <w:right w:val="single" w:sz="8" w:color="auto"/>
            </w:tcBorders>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2340" w:type="dxa"/>
            <w:vAlign w:val="bottom"/>
            <w:shd w:val="clear" w:color="auto" w:fill="CCEEFF"/>
          </w:tcPr>
          <w:p>
            <w:pPr>
              <w:spacing w:after="0"/>
              <w:rPr>
                <w:sz w:val="6"/>
                <w:szCs w:val="6"/>
                <w:color w:val="auto"/>
              </w:rPr>
            </w:pPr>
          </w:p>
        </w:tc>
        <w:tc>
          <w:tcPr>
            <w:tcW w:w="282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positive long-term results.</w:t>
            </w:r>
          </w:p>
        </w:tc>
        <w:tc>
          <w:tcPr>
            <w:tcW w:w="3700" w:type="dxa"/>
            <w:vAlign w:val="bottom"/>
            <w:tcBorders>
              <w:right w:val="single" w:sz="8" w:color="auto"/>
            </w:tcBorders>
            <w:shd w:val="clear" w:color="auto" w:fill="CCEEFF"/>
          </w:tcPr>
          <w:p>
            <w:pPr>
              <w:ind w:left="20"/>
              <w:spacing w:after="0" w:line="74" w:lineRule="exact"/>
              <w:rPr>
                <w:sz w:val="20"/>
                <w:szCs w:val="20"/>
                <w:color w:val="auto"/>
              </w:rPr>
            </w:pPr>
            <w:r>
              <w:rPr>
                <w:rFonts w:ascii="Arial" w:cs="Arial" w:eastAsia="Arial" w:hAnsi="Arial"/>
                <w:sz w:val="8"/>
                <w:szCs w:val="8"/>
                <w:color w:val="auto"/>
              </w:rPr>
              <w:t>financial metrics (EBITDA and ROIC), on a</w:t>
            </w:r>
          </w:p>
        </w:tc>
        <w:tc>
          <w:tcPr>
            <w:tcW w:w="0" w:type="dxa"/>
            <w:vAlign w:val="bottom"/>
          </w:tcPr>
          <w:p>
            <w:pPr>
              <w:spacing w:after="0"/>
              <w:rPr>
                <w:sz w:val="1"/>
                <w:szCs w:val="1"/>
                <w:color w:val="auto"/>
              </w:rPr>
            </w:pPr>
          </w:p>
        </w:tc>
      </w:tr>
      <w:tr>
        <w:trPr>
          <w:trHeight w:val="152"/>
        </w:trPr>
        <w:tc>
          <w:tcPr>
            <w:tcW w:w="980" w:type="dxa"/>
            <w:vAlign w:val="bottom"/>
            <w:tcBorders>
              <w:left w:val="single" w:sz="8" w:color="auto"/>
              <w:right w:val="single" w:sz="8" w:color="auto"/>
            </w:tcBorders>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2820" w:type="dxa"/>
            <w:vAlign w:val="bottom"/>
            <w:vMerge w:val="continue"/>
            <w:shd w:val="clear" w:color="auto" w:fill="CCEEFF"/>
          </w:tcPr>
          <w:p>
            <w:pPr>
              <w:spacing w:after="0"/>
              <w:rPr>
                <w:sz w:val="13"/>
                <w:szCs w:val="13"/>
                <w:color w:val="auto"/>
              </w:rPr>
            </w:pPr>
          </w:p>
        </w:tc>
        <w:tc>
          <w:tcPr>
            <w:tcW w:w="370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7"/>
                <w:szCs w:val="17"/>
                <w:color w:val="auto"/>
              </w:rPr>
              <w:t>cumulative basis over a three-year period.</w:t>
            </w:r>
          </w:p>
        </w:tc>
        <w:tc>
          <w:tcPr>
            <w:tcW w:w="0" w:type="dxa"/>
            <w:vAlign w:val="bottom"/>
          </w:tcPr>
          <w:p>
            <w:pPr>
              <w:spacing w:after="0"/>
              <w:rPr>
                <w:sz w:val="1"/>
                <w:szCs w:val="1"/>
                <w:color w:val="auto"/>
              </w:rPr>
            </w:pPr>
          </w:p>
        </w:tc>
      </w:tr>
      <w:tr>
        <w:trPr>
          <w:trHeight w:val="73"/>
        </w:trPr>
        <w:tc>
          <w:tcPr>
            <w:tcW w:w="980" w:type="dxa"/>
            <w:vAlign w:val="bottom"/>
            <w:tcBorders>
              <w:left w:val="single" w:sz="8" w:color="auto"/>
              <w:right w:val="single" w:sz="8" w:color="auto"/>
            </w:tcBorders>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2340" w:type="dxa"/>
            <w:vAlign w:val="bottom"/>
            <w:shd w:val="clear" w:color="auto" w:fill="CCEEFF"/>
          </w:tcPr>
          <w:p>
            <w:pPr>
              <w:spacing w:after="0"/>
              <w:rPr>
                <w:sz w:val="6"/>
                <w:szCs w:val="6"/>
                <w:color w:val="auto"/>
              </w:rPr>
            </w:pPr>
          </w:p>
        </w:tc>
        <w:tc>
          <w:tcPr>
            <w:tcW w:w="2820" w:type="dxa"/>
            <w:vAlign w:val="bottom"/>
            <w:shd w:val="clear" w:color="auto" w:fill="CCEEFF"/>
          </w:tcPr>
          <w:p>
            <w:pPr>
              <w:spacing w:after="0"/>
              <w:rPr>
                <w:sz w:val="6"/>
                <w:szCs w:val="6"/>
                <w:color w:val="auto"/>
              </w:rPr>
            </w:pPr>
          </w:p>
        </w:tc>
        <w:tc>
          <w:tcPr>
            <w:tcW w:w="370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980" w:type="dxa"/>
            <w:vAlign w:val="bottom"/>
            <w:tcBorders>
              <w:left w:val="single" w:sz="8" w:color="auto"/>
              <w:right w:val="single" w:sz="8" w:color="auto"/>
            </w:tcBorders>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2340" w:type="dxa"/>
            <w:vAlign w:val="bottom"/>
            <w:tcBorders>
              <w:bottom w:val="single" w:sz="8" w:color="auto"/>
            </w:tcBorders>
            <w:shd w:val="clear" w:color="auto" w:fill="CCEEFF"/>
          </w:tcPr>
          <w:p>
            <w:pPr>
              <w:spacing w:after="0"/>
              <w:rPr>
                <w:sz w:val="13"/>
                <w:szCs w:val="13"/>
                <w:color w:val="auto"/>
              </w:rPr>
            </w:pPr>
          </w:p>
        </w:tc>
        <w:tc>
          <w:tcPr>
            <w:tcW w:w="2820" w:type="dxa"/>
            <w:vAlign w:val="bottom"/>
            <w:tcBorders>
              <w:bottom w:val="single" w:sz="8" w:color="auto"/>
            </w:tcBorders>
            <w:shd w:val="clear" w:color="auto" w:fill="CCEEFF"/>
          </w:tcPr>
          <w:p>
            <w:pPr>
              <w:spacing w:after="0"/>
              <w:rPr>
                <w:sz w:val="13"/>
                <w:szCs w:val="13"/>
                <w:color w:val="auto"/>
              </w:rPr>
            </w:pPr>
          </w:p>
        </w:tc>
        <w:tc>
          <w:tcPr>
            <w:tcW w:w="3700" w:type="dxa"/>
            <w:vAlign w:val="bottom"/>
            <w:tcBorders>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980" w:type="dxa"/>
            <w:vAlign w:val="bottom"/>
            <w:tcBorders>
              <w:left w:val="single" w:sz="8" w:color="auto"/>
              <w:right w:val="single" w:sz="8" w:color="auto"/>
            </w:tcBorders>
          </w:tcPr>
          <w:p>
            <w:pPr>
              <w:spacing w:after="0"/>
              <w:rPr>
                <w:sz w:val="15"/>
                <w:szCs w:val="15"/>
                <w:color w:val="auto"/>
              </w:rPr>
            </w:pPr>
          </w:p>
        </w:tc>
        <w:tc>
          <w:tcPr>
            <w:tcW w:w="14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820" w:type="dxa"/>
            <w:vAlign w:val="bottom"/>
          </w:tcPr>
          <w:p>
            <w:pPr>
              <w:ind w:left="20"/>
              <w:spacing w:after="0" w:line="173" w:lineRule="exact"/>
              <w:rPr>
                <w:sz w:val="20"/>
                <w:szCs w:val="20"/>
                <w:color w:val="auto"/>
              </w:rPr>
            </w:pPr>
            <w:r>
              <w:rPr>
                <w:rFonts w:ascii="Arial" w:cs="Arial" w:eastAsia="Arial" w:hAnsi="Arial"/>
                <w:sz w:val="17"/>
                <w:szCs w:val="17"/>
                <w:color w:val="auto"/>
              </w:rPr>
              <w:t>Increase equity-ownership and</w:t>
            </w:r>
          </w:p>
        </w:tc>
        <w:tc>
          <w:tcPr>
            <w:tcW w:w="3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80" w:type="dxa"/>
            <w:vAlign w:val="bottom"/>
            <w:tcBorders>
              <w:left w:val="single" w:sz="8" w:color="auto"/>
              <w:right w:val="single" w:sz="8" w:color="auto"/>
            </w:tcBorders>
          </w:tcPr>
          <w:p>
            <w:pPr>
              <w:spacing w:after="0"/>
              <w:rPr>
                <w:sz w:val="15"/>
                <w:szCs w:val="15"/>
                <w:color w:val="auto"/>
              </w:rPr>
            </w:pPr>
          </w:p>
        </w:tc>
        <w:tc>
          <w:tcPr>
            <w:tcW w:w="14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820" w:type="dxa"/>
            <w:vAlign w:val="bottom"/>
          </w:tcPr>
          <w:p>
            <w:pPr>
              <w:ind w:left="20"/>
              <w:spacing w:after="0" w:line="176" w:lineRule="exact"/>
              <w:rPr>
                <w:sz w:val="20"/>
                <w:szCs w:val="20"/>
                <w:color w:val="auto"/>
              </w:rPr>
            </w:pPr>
            <w:r>
              <w:rPr>
                <w:rFonts w:ascii="Arial" w:cs="Arial" w:eastAsia="Arial" w:hAnsi="Arial"/>
                <w:sz w:val="17"/>
                <w:szCs w:val="17"/>
                <w:color w:val="auto"/>
              </w:rPr>
              <w:t>focus officers on providing</w:t>
            </w:r>
          </w:p>
        </w:tc>
        <w:tc>
          <w:tcPr>
            <w:tcW w:w="3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980" w:type="dxa"/>
            <w:vAlign w:val="bottom"/>
            <w:tcBorders>
              <w:left w:val="single" w:sz="8" w:color="auto"/>
              <w:right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20" w:type="dxa"/>
            <w:vAlign w:val="bottom"/>
          </w:tcPr>
          <w:p>
            <w:pPr>
              <w:ind w:left="20"/>
              <w:spacing w:after="0" w:line="172" w:lineRule="exact"/>
              <w:rPr>
                <w:sz w:val="20"/>
                <w:szCs w:val="20"/>
                <w:color w:val="auto"/>
              </w:rPr>
            </w:pPr>
            <w:r>
              <w:rPr>
                <w:rFonts w:ascii="Arial" w:cs="Arial" w:eastAsia="Arial" w:hAnsi="Arial"/>
                <w:sz w:val="17"/>
                <w:szCs w:val="17"/>
                <w:color w:val="auto"/>
              </w:rPr>
              <w:t>shareholders with appropriate</w:t>
            </w: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980" w:type="dxa"/>
            <w:vAlign w:val="bottom"/>
            <w:tcBorders>
              <w:left w:val="single" w:sz="8" w:color="auto"/>
              <w:right w:val="single" w:sz="8" w:color="auto"/>
            </w:tcBorders>
          </w:tcPr>
          <w:p>
            <w:pPr>
              <w:spacing w:after="0"/>
              <w:rPr>
                <w:sz w:val="19"/>
                <w:szCs w:val="19"/>
                <w:color w:val="auto"/>
              </w:rPr>
            </w:pPr>
          </w:p>
        </w:tc>
        <w:tc>
          <w:tcPr>
            <w:tcW w:w="1400" w:type="dxa"/>
            <w:vAlign w:val="bottom"/>
            <w:vMerge w:val="restart"/>
          </w:tcPr>
          <w:p>
            <w:pPr>
              <w:ind w:left="20"/>
              <w:spacing w:after="0"/>
              <w:rPr>
                <w:sz w:val="20"/>
                <w:szCs w:val="20"/>
                <w:color w:val="auto"/>
              </w:rPr>
            </w:pPr>
            <w:r>
              <w:rPr>
                <w:rFonts w:ascii="Arial" w:cs="Arial" w:eastAsia="Arial" w:hAnsi="Arial"/>
                <w:sz w:val="17"/>
                <w:szCs w:val="17"/>
                <w:color w:val="auto"/>
              </w:rPr>
              <w:t>Restricted Stock</w:t>
            </w:r>
          </w:p>
        </w:tc>
        <w:tc>
          <w:tcPr>
            <w:tcW w:w="2340" w:type="dxa"/>
            <w:vAlign w:val="bottom"/>
            <w:vMerge w:val="restart"/>
          </w:tcPr>
          <w:p>
            <w:pPr>
              <w:ind w:left="120"/>
              <w:spacing w:after="0"/>
              <w:rPr>
                <w:sz w:val="20"/>
                <w:szCs w:val="20"/>
                <w:color w:val="auto"/>
              </w:rPr>
            </w:pPr>
            <w:r>
              <w:rPr>
                <w:rFonts w:ascii="Arial" w:cs="Arial" w:eastAsia="Arial" w:hAnsi="Arial"/>
                <w:sz w:val="17"/>
                <w:szCs w:val="17"/>
                <w:color w:val="auto"/>
              </w:rPr>
              <w:t>RS vests on the third</w:t>
            </w:r>
          </w:p>
        </w:tc>
        <w:tc>
          <w:tcPr>
            <w:tcW w:w="2820" w:type="dxa"/>
            <w:vAlign w:val="bottom"/>
          </w:tcPr>
          <w:p>
            <w:pPr>
              <w:ind w:left="20"/>
              <w:spacing w:after="0"/>
              <w:rPr>
                <w:sz w:val="20"/>
                <w:szCs w:val="20"/>
                <w:color w:val="auto"/>
              </w:rPr>
            </w:pPr>
            <w:r>
              <w:rPr>
                <w:rFonts w:ascii="Arial" w:cs="Arial" w:eastAsia="Arial" w:hAnsi="Arial"/>
                <w:sz w:val="17"/>
                <w:szCs w:val="17"/>
                <w:color w:val="auto"/>
              </w:rPr>
              <w:t>returns.</w:t>
            </w:r>
          </w:p>
        </w:tc>
        <w:tc>
          <w:tcPr>
            <w:tcW w:w="3700" w:type="dxa"/>
            <w:vAlign w:val="bottom"/>
            <w:tcBorders>
              <w:right w:val="single" w:sz="8" w:color="auto"/>
            </w:tcBorders>
            <w:vMerge w:val="restart"/>
          </w:tcPr>
          <w:p>
            <w:pPr>
              <w:ind w:left="20"/>
              <w:spacing w:after="0"/>
              <w:rPr>
                <w:sz w:val="20"/>
                <w:szCs w:val="20"/>
                <w:color w:val="auto"/>
              </w:rPr>
            </w:pPr>
            <w:r>
              <w:rPr>
                <w:rFonts w:ascii="Arial" w:cs="Arial" w:eastAsia="Arial" w:hAnsi="Arial"/>
                <w:sz w:val="17"/>
                <w:szCs w:val="17"/>
                <w:color w:val="auto"/>
              </w:rPr>
              <w:t>Target award based on job scope and market</w:t>
            </w:r>
          </w:p>
        </w:tc>
        <w:tc>
          <w:tcPr>
            <w:tcW w:w="0" w:type="dxa"/>
            <w:vAlign w:val="bottom"/>
          </w:tcPr>
          <w:p>
            <w:pPr>
              <w:spacing w:after="0"/>
              <w:rPr>
                <w:sz w:val="1"/>
                <w:szCs w:val="1"/>
                <w:color w:val="auto"/>
              </w:rPr>
            </w:pPr>
          </w:p>
        </w:tc>
      </w:tr>
      <w:tr>
        <w:trPr>
          <w:trHeight w:val="71"/>
        </w:trPr>
        <w:tc>
          <w:tcPr>
            <w:tcW w:w="980" w:type="dxa"/>
            <w:vAlign w:val="bottom"/>
            <w:tcBorders>
              <w:left w:val="single" w:sz="8" w:color="auto"/>
              <w:right w:val="single" w:sz="8" w:color="auto"/>
            </w:tcBorders>
          </w:tcPr>
          <w:p>
            <w:pPr>
              <w:spacing w:after="0"/>
              <w:rPr>
                <w:sz w:val="6"/>
                <w:szCs w:val="6"/>
                <w:color w:val="auto"/>
              </w:rPr>
            </w:pPr>
          </w:p>
        </w:tc>
        <w:tc>
          <w:tcPr>
            <w:tcW w:w="1400" w:type="dxa"/>
            <w:vAlign w:val="bottom"/>
            <w:vMerge w:val="continue"/>
          </w:tcPr>
          <w:p>
            <w:pPr>
              <w:spacing w:after="0"/>
              <w:rPr>
                <w:sz w:val="6"/>
                <w:szCs w:val="6"/>
                <w:color w:val="auto"/>
              </w:rPr>
            </w:pPr>
          </w:p>
        </w:tc>
        <w:tc>
          <w:tcPr>
            <w:tcW w:w="2340" w:type="dxa"/>
            <w:vAlign w:val="bottom"/>
            <w:vMerge w:val="continue"/>
          </w:tcPr>
          <w:p>
            <w:pPr>
              <w:spacing w:after="0"/>
              <w:rPr>
                <w:sz w:val="6"/>
                <w:szCs w:val="6"/>
                <w:color w:val="auto"/>
              </w:rPr>
            </w:pPr>
          </w:p>
        </w:tc>
        <w:tc>
          <w:tcPr>
            <w:tcW w:w="2820" w:type="dxa"/>
            <w:vAlign w:val="bottom"/>
          </w:tcPr>
          <w:p>
            <w:pPr>
              <w:spacing w:after="0"/>
              <w:rPr>
                <w:sz w:val="6"/>
                <w:szCs w:val="6"/>
                <w:color w:val="auto"/>
              </w:rPr>
            </w:pPr>
          </w:p>
        </w:tc>
        <w:tc>
          <w:tcPr>
            <w:tcW w:w="37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980" w:type="dxa"/>
            <w:vAlign w:val="bottom"/>
            <w:tcBorders>
              <w:left w:val="single" w:sz="8" w:color="auto"/>
              <w:right w:val="single" w:sz="8" w:color="auto"/>
            </w:tcBorders>
          </w:tcPr>
          <w:p>
            <w:pPr>
              <w:spacing w:after="0"/>
              <w:rPr>
                <w:sz w:val="6"/>
                <w:szCs w:val="6"/>
                <w:color w:val="auto"/>
              </w:rPr>
            </w:pPr>
          </w:p>
        </w:tc>
        <w:tc>
          <w:tcPr>
            <w:tcW w:w="1400" w:type="dxa"/>
            <w:vAlign w:val="bottom"/>
            <w:vMerge w:val="continue"/>
          </w:tcPr>
          <w:p>
            <w:pPr>
              <w:spacing w:after="0"/>
              <w:rPr>
                <w:sz w:val="6"/>
                <w:szCs w:val="6"/>
                <w:color w:val="auto"/>
              </w:rPr>
            </w:pPr>
          </w:p>
        </w:tc>
        <w:tc>
          <w:tcPr>
            <w:tcW w:w="2340" w:type="dxa"/>
            <w:vAlign w:val="bottom"/>
            <w:vMerge w:val="restart"/>
          </w:tcPr>
          <w:p>
            <w:pPr>
              <w:ind w:left="120"/>
              <w:spacing w:after="0" w:line="176" w:lineRule="exact"/>
              <w:rPr>
                <w:sz w:val="20"/>
                <w:szCs w:val="20"/>
                <w:color w:val="auto"/>
              </w:rPr>
            </w:pPr>
            <w:r>
              <w:rPr>
                <w:rFonts w:ascii="Arial" w:cs="Arial" w:eastAsia="Arial" w:hAnsi="Arial"/>
                <w:sz w:val="17"/>
                <w:szCs w:val="17"/>
                <w:color w:val="auto"/>
              </w:rPr>
              <w:t>anniversary of the grant</w:t>
            </w:r>
          </w:p>
        </w:tc>
        <w:tc>
          <w:tcPr>
            <w:tcW w:w="2820" w:type="dxa"/>
            <w:vAlign w:val="bottom"/>
          </w:tcPr>
          <w:p>
            <w:pPr>
              <w:spacing w:after="0"/>
              <w:rPr>
                <w:sz w:val="6"/>
                <w:szCs w:val="6"/>
                <w:color w:val="auto"/>
              </w:rPr>
            </w:pPr>
          </w:p>
        </w:tc>
        <w:tc>
          <w:tcPr>
            <w:tcW w:w="370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7"/>
                <w:szCs w:val="17"/>
                <w:color w:val="auto"/>
              </w:rPr>
              <w:t>data, including market median of our Peer</w:t>
            </w:r>
          </w:p>
        </w:tc>
        <w:tc>
          <w:tcPr>
            <w:tcW w:w="0" w:type="dxa"/>
            <w:vAlign w:val="bottom"/>
          </w:tcPr>
          <w:p>
            <w:pPr>
              <w:spacing w:after="0"/>
              <w:rPr>
                <w:sz w:val="1"/>
                <w:szCs w:val="1"/>
                <w:color w:val="auto"/>
              </w:rPr>
            </w:pPr>
          </w:p>
        </w:tc>
      </w:tr>
      <w:tr>
        <w:trPr>
          <w:trHeight w:val="99"/>
        </w:trPr>
        <w:tc>
          <w:tcPr>
            <w:tcW w:w="980" w:type="dxa"/>
            <w:vAlign w:val="bottom"/>
            <w:tcBorders>
              <w:left w:val="single" w:sz="8" w:color="auto"/>
              <w:right w:val="single" w:sz="8" w:color="auto"/>
            </w:tcBorders>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7"/>
                <w:szCs w:val="17"/>
                <w:color w:val="auto"/>
              </w:rPr>
              <w:t>("RS")</w:t>
            </w:r>
          </w:p>
        </w:tc>
        <w:tc>
          <w:tcPr>
            <w:tcW w:w="2340" w:type="dxa"/>
            <w:vAlign w:val="bottom"/>
            <w:vMerge w:val="continue"/>
          </w:tcPr>
          <w:p>
            <w:pPr>
              <w:spacing w:after="0"/>
              <w:rPr>
                <w:sz w:val="8"/>
                <w:szCs w:val="8"/>
                <w:color w:val="auto"/>
              </w:rPr>
            </w:pPr>
          </w:p>
        </w:tc>
        <w:tc>
          <w:tcPr>
            <w:tcW w:w="2820" w:type="dxa"/>
            <w:vAlign w:val="bottom"/>
            <w:vMerge w:val="restart"/>
          </w:tcPr>
          <w:p>
            <w:pPr>
              <w:ind w:left="20"/>
              <w:spacing w:after="0"/>
              <w:rPr>
                <w:sz w:val="20"/>
                <w:szCs w:val="20"/>
                <w:color w:val="auto"/>
              </w:rPr>
            </w:pPr>
            <w:r>
              <w:rPr>
                <w:rFonts w:ascii="Arial" w:cs="Arial" w:eastAsia="Arial" w:hAnsi="Arial"/>
                <w:sz w:val="17"/>
                <w:szCs w:val="17"/>
                <w:color w:val="auto"/>
              </w:rPr>
              <w:t>Vesting terms and Stock Ownership</w:t>
            </w:r>
          </w:p>
        </w:tc>
        <w:tc>
          <w:tcPr>
            <w:tcW w:w="37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980" w:type="dxa"/>
            <w:vAlign w:val="bottom"/>
            <w:tcBorders>
              <w:left w:val="single" w:sz="8" w:color="auto"/>
              <w:right w:val="single" w:sz="8" w:color="auto"/>
            </w:tcBorders>
          </w:tcPr>
          <w:p>
            <w:pPr>
              <w:spacing w:after="0"/>
              <w:rPr>
                <w:sz w:val="14"/>
                <w:szCs w:val="14"/>
                <w:color w:val="auto"/>
              </w:rPr>
            </w:pPr>
          </w:p>
        </w:tc>
        <w:tc>
          <w:tcPr>
            <w:tcW w:w="1400" w:type="dxa"/>
            <w:vAlign w:val="bottom"/>
            <w:vMerge w:val="continue"/>
          </w:tcPr>
          <w:p>
            <w:pPr>
              <w:spacing w:after="0"/>
              <w:rPr>
                <w:sz w:val="14"/>
                <w:szCs w:val="14"/>
                <w:color w:val="auto"/>
              </w:rPr>
            </w:pPr>
          </w:p>
        </w:tc>
        <w:tc>
          <w:tcPr>
            <w:tcW w:w="2340" w:type="dxa"/>
            <w:vAlign w:val="bottom"/>
          </w:tcPr>
          <w:p>
            <w:pPr>
              <w:ind w:left="120"/>
              <w:spacing w:after="0" w:line="172" w:lineRule="exact"/>
              <w:rPr>
                <w:sz w:val="20"/>
                <w:szCs w:val="20"/>
                <w:color w:val="auto"/>
              </w:rPr>
            </w:pPr>
            <w:r>
              <w:rPr>
                <w:rFonts w:ascii="Arial" w:cs="Arial" w:eastAsia="Arial" w:hAnsi="Arial"/>
                <w:sz w:val="17"/>
                <w:szCs w:val="17"/>
                <w:color w:val="auto"/>
              </w:rPr>
              <w:t>date.</w:t>
            </w:r>
          </w:p>
        </w:tc>
        <w:tc>
          <w:tcPr>
            <w:tcW w:w="2820" w:type="dxa"/>
            <w:vAlign w:val="bottom"/>
            <w:vMerge w:val="continue"/>
          </w:tcPr>
          <w:p>
            <w:pPr>
              <w:spacing w:after="0"/>
              <w:rPr>
                <w:sz w:val="14"/>
                <w:szCs w:val="14"/>
                <w:color w:val="auto"/>
              </w:rPr>
            </w:pPr>
          </w:p>
        </w:tc>
        <w:tc>
          <w:tcPr>
            <w:tcW w:w="3700" w:type="dxa"/>
            <w:vAlign w:val="bottom"/>
            <w:tcBorders>
              <w:right w:val="single" w:sz="8" w:color="auto"/>
            </w:tcBorders>
          </w:tcPr>
          <w:p>
            <w:pPr>
              <w:ind w:left="20"/>
              <w:spacing w:after="0" w:line="172" w:lineRule="exact"/>
              <w:rPr>
                <w:sz w:val="20"/>
                <w:szCs w:val="20"/>
                <w:color w:val="auto"/>
              </w:rPr>
            </w:pPr>
            <w:r>
              <w:rPr>
                <w:rFonts w:ascii="Arial" w:cs="Arial" w:eastAsia="Arial" w:hAnsi="Arial"/>
                <w:sz w:val="17"/>
                <w:szCs w:val="17"/>
                <w:color w:val="auto"/>
              </w:rPr>
              <w:t>Group.</w:t>
            </w:r>
          </w:p>
        </w:tc>
        <w:tc>
          <w:tcPr>
            <w:tcW w:w="0" w:type="dxa"/>
            <w:vAlign w:val="bottom"/>
          </w:tcPr>
          <w:p>
            <w:pPr>
              <w:spacing w:after="0"/>
              <w:rPr>
                <w:sz w:val="1"/>
                <w:szCs w:val="1"/>
                <w:color w:val="auto"/>
              </w:rPr>
            </w:pPr>
          </w:p>
        </w:tc>
      </w:tr>
      <w:tr>
        <w:trPr>
          <w:trHeight w:val="125"/>
        </w:trPr>
        <w:tc>
          <w:tcPr>
            <w:tcW w:w="980" w:type="dxa"/>
            <w:vAlign w:val="bottom"/>
            <w:tcBorders>
              <w:left w:val="single" w:sz="8" w:color="auto"/>
              <w:right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820" w:type="dxa"/>
            <w:vAlign w:val="bottom"/>
          </w:tcPr>
          <w:p>
            <w:pPr>
              <w:ind w:left="20"/>
              <w:spacing w:after="0" w:line="125" w:lineRule="exact"/>
              <w:rPr>
                <w:sz w:val="20"/>
                <w:szCs w:val="20"/>
                <w:color w:val="auto"/>
              </w:rPr>
            </w:pPr>
            <w:r>
              <w:rPr>
                <w:rFonts w:ascii="Arial" w:cs="Arial" w:eastAsia="Arial" w:hAnsi="Arial"/>
                <w:sz w:val="14"/>
                <w:szCs w:val="14"/>
                <w:color w:val="auto"/>
              </w:rPr>
              <w:t>Guidelines promote retention and a</w:t>
            </w:r>
          </w:p>
        </w:tc>
        <w:tc>
          <w:tcPr>
            <w:tcW w:w="3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80" w:type="dxa"/>
            <w:vAlign w:val="bottom"/>
            <w:tcBorders>
              <w:left w:val="single" w:sz="8" w:color="auto"/>
              <w:right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20" w:type="dxa"/>
            <w:vAlign w:val="bottom"/>
          </w:tcPr>
          <w:p>
            <w:pPr>
              <w:ind w:left="20"/>
              <w:spacing w:after="0" w:line="172" w:lineRule="exact"/>
              <w:rPr>
                <w:sz w:val="20"/>
                <w:szCs w:val="20"/>
                <w:color w:val="auto"/>
              </w:rPr>
            </w:pPr>
            <w:r>
              <w:rPr>
                <w:rFonts w:ascii="Arial" w:cs="Arial" w:eastAsia="Arial" w:hAnsi="Arial"/>
                <w:sz w:val="17"/>
                <w:szCs w:val="17"/>
                <w:color w:val="auto"/>
              </w:rPr>
              <w:t>linkage to the interest of</w:t>
            </w: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980" w:type="dxa"/>
            <w:vAlign w:val="bottom"/>
            <w:tcBorders>
              <w:left w:val="single" w:sz="8" w:color="auto"/>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7"/>
                <w:szCs w:val="17"/>
                <w:color w:val="auto"/>
              </w:rPr>
              <w:t>shareholders.</w:t>
            </w:r>
          </w:p>
        </w:tc>
        <w:tc>
          <w:tcPr>
            <w:tcW w:w="3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980" w:type="dxa"/>
            <w:vAlign w:val="bottom"/>
            <w:tcBorders>
              <w:left w:val="single" w:sz="8" w:color="auto"/>
              <w:bottom w:val="single" w:sz="8" w:color="auto"/>
              <w:right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37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Base Salary</w:t>
      </w:r>
    </w:p>
    <w:p>
      <w:pPr>
        <w:spacing w:after="0" w:line="244" w:lineRule="exact"/>
        <w:rPr>
          <w:sz w:val="20"/>
          <w:szCs w:val="20"/>
          <w:color w:val="auto"/>
        </w:rPr>
      </w:pPr>
    </w:p>
    <w:p>
      <w:pPr>
        <w:jc w:val="both"/>
        <w:ind w:firstLine="618"/>
        <w:spacing w:after="0" w:line="257" w:lineRule="auto"/>
        <w:rPr>
          <w:sz w:val="20"/>
          <w:szCs w:val="20"/>
          <w:color w:val="auto"/>
        </w:rPr>
      </w:pPr>
      <w:r>
        <w:rPr>
          <w:rFonts w:ascii="Arial" w:cs="Arial" w:eastAsia="Arial" w:hAnsi="Arial"/>
          <w:sz w:val="17"/>
          <w:szCs w:val="17"/>
          <w:color w:val="auto"/>
        </w:rPr>
        <w:t>We provide base salaries to compensate our officers, including NEOs, for their primary roles and responsibilities and to provide a stable level of annual compensation. Actual NEO salary levels and adjustments thereto vary based on the NEOs role, level of responsibility, experience, individual performance, future potential and market value, and market data including market median of our Peer Group. In addition, salary increases may be warranted because of a promotion or change in responsibilities.</w:t>
      </w:r>
    </w:p>
    <w:p>
      <w:pPr>
        <w:spacing w:after="0" w:line="3" w:lineRule="exact"/>
        <w:rPr>
          <w:sz w:val="20"/>
          <w:szCs w:val="20"/>
          <w:color w:val="auto"/>
        </w:rPr>
      </w:pPr>
    </w:p>
    <w:p>
      <w:pPr>
        <w:jc w:val="both"/>
        <w:ind w:firstLine="618"/>
        <w:spacing w:after="0" w:line="270" w:lineRule="auto"/>
        <w:rPr>
          <w:sz w:val="20"/>
          <w:szCs w:val="20"/>
          <w:color w:val="auto"/>
        </w:rPr>
      </w:pPr>
      <w:r>
        <w:rPr>
          <w:rFonts w:ascii="Arial" w:cs="Arial" w:eastAsia="Arial" w:hAnsi="Arial"/>
          <w:sz w:val="17"/>
          <w:szCs w:val="17"/>
          <w:color w:val="auto"/>
        </w:rPr>
        <w:t>As previously disclosed, the Compensation Committee has a goal that base salaries for officers, including NEOs, are at or near the market median for base salaries when compared to the Company's established Peer Group.</w:t>
      </w:r>
    </w:p>
    <w:p>
      <w:pPr>
        <w:spacing w:after="0" w:line="175" w:lineRule="exact"/>
        <w:rPr>
          <w:sz w:val="20"/>
          <w:szCs w:val="20"/>
          <w:color w:val="auto"/>
        </w:rPr>
      </w:pPr>
    </w:p>
    <w:p>
      <w:pPr>
        <w:jc w:val="both"/>
        <w:ind w:firstLine="618"/>
        <w:spacing w:after="0" w:line="239" w:lineRule="auto"/>
        <w:rPr>
          <w:sz w:val="20"/>
          <w:szCs w:val="20"/>
          <w:color w:val="auto"/>
        </w:rPr>
      </w:pPr>
      <w:r>
        <w:rPr>
          <w:rFonts w:ascii="Arial" w:cs="Arial" w:eastAsia="Arial" w:hAnsi="Arial"/>
          <w:sz w:val="17"/>
          <w:szCs w:val="17"/>
          <w:color w:val="auto"/>
        </w:rPr>
        <w:t>Notwithstanding the foregoing, at the request of Mr. Downing and the other named executive officers, the Compensation Committee did not recommend, and Board of Directors did not approve any increases in named executive officer base salaries in 2025. The request and decision not</w:t>
      </w:r>
    </w:p>
    <w:p>
      <w:pPr>
        <w:jc w:val="both"/>
        <w:spacing w:after="0" w:line="239" w:lineRule="auto"/>
        <w:rPr>
          <w:sz w:val="20"/>
          <w:szCs w:val="20"/>
          <w:color w:val="auto"/>
        </w:rPr>
      </w:pPr>
      <w:r>
        <w:rPr>
          <w:rFonts w:ascii="Arial" w:cs="Arial" w:eastAsia="Arial" w:hAnsi="Arial"/>
          <w:sz w:val="17"/>
          <w:szCs w:val="17"/>
          <w:color w:val="auto"/>
        </w:rPr>
        <w:t>to change any NEO base salaries was made based on overall market conditions. As such, base salaries for the CEO and other NEOs remain the same in 2025 as follows: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26" w:name="page27"/>
    <w:bookmarkEnd w:id="26"/>
    <w:tbl>
      <w:tblPr>
        <w:tblLayout w:type="fixed"/>
        <w:tblInd w:w="640" w:type="dxa"/>
        <w:tblCellMar>
          <w:top w:w="0" w:type="dxa"/>
          <w:left w:w="0" w:type="dxa"/>
          <w:bottom w:w="0" w:type="dxa"/>
          <w:right w:w="0" w:type="dxa"/>
        </w:tblCellMar>
      </w:tblPr>
      <w:tr>
        <w:trPr>
          <w:trHeight w:val="189"/>
        </w:trPr>
        <w:tc>
          <w:tcPr>
            <w:tcW w:w="5520" w:type="dxa"/>
            <w:vAlign w:val="bottom"/>
            <w:tcBorders>
              <w:bottom w:val="single" w:sz="8" w:color="auto"/>
            </w:tcBorders>
          </w:tcPr>
          <w:p>
            <w:pPr>
              <w:ind w:left="2880"/>
              <w:spacing w:after="0"/>
              <w:rPr>
                <w:sz w:val="20"/>
                <w:szCs w:val="20"/>
                <w:color w:val="auto"/>
              </w:rPr>
            </w:pPr>
            <w:r>
              <w:rPr>
                <w:rFonts w:ascii="Arial" w:cs="Arial" w:eastAsia="Arial" w:hAnsi="Arial"/>
                <w:sz w:val="14"/>
                <w:szCs w:val="14"/>
                <w:b w:val="1"/>
                <w:bCs w:val="1"/>
                <w:color w:val="auto"/>
              </w:rPr>
              <w:t>Executive Officer</w:t>
            </w:r>
          </w:p>
        </w:tc>
        <w:tc>
          <w:tcPr>
            <w:tcW w:w="2880" w:type="dxa"/>
            <w:vAlign w:val="bottom"/>
            <w:tcBorders>
              <w:bottom w:val="single" w:sz="8" w:color="auto"/>
            </w:tcBorders>
          </w:tcPr>
          <w:p>
            <w:pPr>
              <w:jc w:val="center"/>
              <w:ind w:left="1157"/>
              <w:spacing w:after="0"/>
              <w:rPr>
                <w:sz w:val="20"/>
                <w:szCs w:val="20"/>
                <w:color w:val="auto"/>
              </w:rPr>
            </w:pPr>
            <w:r>
              <w:rPr>
                <w:rFonts w:ascii="Arial" w:cs="Arial" w:eastAsia="Arial" w:hAnsi="Arial"/>
                <w:sz w:val="14"/>
                <w:szCs w:val="14"/>
                <w:b w:val="1"/>
                <w:bCs w:val="1"/>
                <w:color w:val="auto"/>
                <w:w w:val="97"/>
              </w:rPr>
              <w:t>2025 Base Salary</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2024 Base Salary</w:t>
            </w:r>
          </w:p>
        </w:tc>
      </w:tr>
      <w:tr>
        <w:trPr>
          <w:trHeight w:val="21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2880" w:type="dxa"/>
            <w:vAlign w:val="bottom"/>
            <w:shd w:val="clear" w:color="auto" w:fill="CCEEFF"/>
          </w:tcPr>
          <w:p>
            <w:pPr>
              <w:jc w:val="center"/>
              <w:ind w:left="1157"/>
              <w:spacing w:after="0"/>
              <w:rPr>
                <w:sz w:val="20"/>
                <w:szCs w:val="20"/>
                <w:color w:val="auto"/>
              </w:rPr>
            </w:pPr>
            <w:r>
              <w:rPr>
                <w:rFonts w:ascii="Arial" w:cs="Arial" w:eastAsia="Arial" w:hAnsi="Arial"/>
                <w:sz w:val="17"/>
                <w:szCs w:val="17"/>
                <w:color w:val="auto"/>
              </w:rPr>
              <w:t>$850,000</w:t>
            </w: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$850,000</w:t>
            </w:r>
          </w:p>
        </w:tc>
      </w:tr>
      <w:tr>
        <w:trPr>
          <w:trHeight w:val="219"/>
        </w:trPr>
        <w:tc>
          <w:tcPr>
            <w:tcW w:w="552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2880" w:type="dxa"/>
            <w:vAlign w:val="bottom"/>
          </w:tcPr>
          <w:p>
            <w:pPr>
              <w:jc w:val="center"/>
              <w:ind w:left="1157"/>
              <w:spacing w:after="0"/>
              <w:rPr>
                <w:sz w:val="20"/>
                <w:szCs w:val="20"/>
                <w:color w:val="auto"/>
              </w:rPr>
            </w:pPr>
            <w:r>
              <w:rPr>
                <w:rFonts w:ascii="Arial" w:cs="Arial" w:eastAsia="Arial" w:hAnsi="Arial"/>
                <w:sz w:val="17"/>
                <w:szCs w:val="17"/>
                <w:color w:val="auto"/>
              </w:rPr>
              <w:t>$575,000</w:t>
            </w:r>
          </w:p>
        </w:tc>
        <w:tc>
          <w:tcPr>
            <w:tcW w:w="1540" w:type="dxa"/>
            <w:vAlign w:val="bottom"/>
          </w:tcPr>
          <w:p>
            <w:pPr>
              <w:jc w:val="center"/>
              <w:spacing w:after="0"/>
              <w:rPr>
                <w:sz w:val="20"/>
                <w:szCs w:val="20"/>
                <w:color w:val="auto"/>
              </w:rPr>
            </w:pPr>
            <w:r>
              <w:rPr>
                <w:rFonts w:ascii="Arial" w:cs="Arial" w:eastAsia="Arial" w:hAnsi="Arial"/>
                <w:sz w:val="17"/>
                <w:szCs w:val="17"/>
                <w:color w:val="auto"/>
              </w:rPr>
              <w:t>$575,000</w:t>
            </w: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2880" w:type="dxa"/>
            <w:vAlign w:val="bottom"/>
            <w:shd w:val="clear" w:color="auto" w:fill="CCEEFF"/>
          </w:tcPr>
          <w:p>
            <w:pPr>
              <w:jc w:val="center"/>
              <w:ind w:left="1157"/>
              <w:spacing w:after="0"/>
              <w:rPr>
                <w:sz w:val="20"/>
                <w:szCs w:val="20"/>
                <w:color w:val="auto"/>
              </w:rPr>
            </w:pPr>
            <w:r>
              <w:rPr>
                <w:rFonts w:ascii="Arial" w:cs="Arial" w:eastAsia="Arial" w:hAnsi="Arial"/>
                <w:sz w:val="17"/>
                <w:szCs w:val="17"/>
                <w:color w:val="auto"/>
              </w:rPr>
              <w:t>$555,000</w:t>
            </w: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$555,000</w:t>
            </w:r>
          </w:p>
        </w:tc>
      </w:tr>
      <w:tr>
        <w:trPr>
          <w:trHeight w:val="219"/>
        </w:trPr>
        <w:tc>
          <w:tcPr>
            <w:tcW w:w="552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2880" w:type="dxa"/>
            <w:vAlign w:val="bottom"/>
          </w:tcPr>
          <w:p>
            <w:pPr>
              <w:jc w:val="center"/>
              <w:ind w:left="1157"/>
              <w:spacing w:after="0"/>
              <w:rPr>
                <w:sz w:val="20"/>
                <w:szCs w:val="20"/>
                <w:color w:val="auto"/>
              </w:rPr>
            </w:pPr>
            <w:r>
              <w:rPr>
                <w:rFonts w:ascii="Arial" w:cs="Arial" w:eastAsia="Arial" w:hAnsi="Arial"/>
                <w:sz w:val="17"/>
                <w:szCs w:val="17"/>
                <w:color w:val="auto"/>
              </w:rPr>
              <w:t>$480,000</w:t>
            </w:r>
          </w:p>
        </w:tc>
        <w:tc>
          <w:tcPr>
            <w:tcW w:w="1540" w:type="dxa"/>
            <w:vAlign w:val="bottom"/>
          </w:tcPr>
          <w:p>
            <w:pPr>
              <w:jc w:val="center"/>
              <w:spacing w:after="0"/>
              <w:rPr>
                <w:sz w:val="20"/>
                <w:szCs w:val="20"/>
                <w:color w:val="auto"/>
              </w:rPr>
            </w:pPr>
            <w:r>
              <w:rPr>
                <w:rFonts w:ascii="Arial" w:cs="Arial" w:eastAsia="Arial" w:hAnsi="Arial"/>
                <w:sz w:val="17"/>
                <w:szCs w:val="17"/>
                <w:color w:val="auto"/>
              </w:rPr>
              <w:t>$480,000</w:t>
            </w: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2880" w:type="dxa"/>
            <w:vAlign w:val="bottom"/>
            <w:shd w:val="clear" w:color="auto" w:fill="CCEEFF"/>
          </w:tcPr>
          <w:p>
            <w:pPr>
              <w:jc w:val="center"/>
              <w:ind w:left="1157"/>
              <w:spacing w:after="0"/>
              <w:rPr>
                <w:sz w:val="20"/>
                <w:szCs w:val="20"/>
                <w:color w:val="auto"/>
              </w:rPr>
            </w:pPr>
            <w:r>
              <w:rPr>
                <w:rFonts w:ascii="Arial" w:cs="Arial" w:eastAsia="Arial" w:hAnsi="Arial"/>
                <w:sz w:val="17"/>
                <w:szCs w:val="17"/>
                <w:color w:val="auto"/>
              </w:rPr>
              <w:t>$440,000</w:t>
            </w: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$440,000</w:t>
            </w: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Incentive Plan</w:t>
      </w:r>
    </w:p>
    <w:p>
      <w:pPr>
        <w:spacing w:after="0" w:line="244" w:lineRule="exact"/>
        <w:rPr>
          <w:sz w:val="20"/>
          <w:szCs w:val="20"/>
          <w:color w:val="auto"/>
        </w:rPr>
      </w:pPr>
    </w:p>
    <w:p>
      <w:pPr>
        <w:jc w:val="both"/>
        <w:ind w:firstLine="618"/>
        <w:spacing w:after="0" w:line="289" w:lineRule="auto"/>
        <w:rPr>
          <w:sz w:val="20"/>
          <w:szCs w:val="20"/>
          <w:color w:val="auto"/>
        </w:rPr>
      </w:pPr>
      <w:r>
        <w:rPr>
          <w:rFonts w:ascii="Arial" w:cs="Arial" w:eastAsia="Arial" w:hAnsi="Arial"/>
          <w:sz w:val="17"/>
          <w:szCs w:val="17"/>
          <w:color w:val="auto"/>
        </w:rPr>
        <w:t>The Annual Incentive Plan is a cash-based plan intended to motivate and reward officers based on Company performance metrics (revenue, operating income, and earning per diluted shares) that we believe drive shareholder value.</w:t>
      </w:r>
    </w:p>
    <w:p>
      <w:pPr>
        <w:spacing w:after="0" w:line="173" w:lineRule="exact"/>
        <w:rPr>
          <w:sz w:val="20"/>
          <w:szCs w:val="20"/>
          <w:color w:val="auto"/>
        </w:rPr>
      </w:pPr>
    </w:p>
    <w:p>
      <w:pPr>
        <w:jc w:val="both"/>
        <w:ind w:firstLine="618"/>
        <w:spacing w:after="0" w:line="262" w:lineRule="auto"/>
        <w:rPr>
          <w:sz w:val="20"/>
          <w:szCs w:val="20"/>
          <w:color w:val="auto"/>
        </w:rPr>
      </w:pPr>
      <w:r>
        <w:rPr>
          <w:rFonts w:ascii="Arial" w:cs="Arial" w:eastAsia="Arial" w:hAnsi="Arial"/>
          <w:sz w:val="17"/>
          <w:szCs w:val="17"/>
          <w:color w:val="auto"/>
        </w:rPr>
        <w:t>The Annual Incentive Plan covers all officers, including our NEOs. At the beginning of each year, the Compensation Committee reviews and approves an annual cash bonus target for each NEO, as a percentage of base salary for the year, as set forth in further detail below. The CEO may earn from 0% to 220% of base salary and the non-CEO NEOs may earn from 0% to 150% of their respective base salaries. The performance-related targets for revenue, operating income, and earnings per diluted share, are set by, and achievement of targets are approved by, the Compensation Committee and/or the Board.</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our NEOs, the 2024 Annual Incentive Plan target payout opportunities and results weightings are shown in the table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00" w:type="dxa"/>
            <w:vAlign w:val="bottom"/>
            <w:tcBorders>
              <w:bottom w:val="single" w:sz="8" w:color="auto"/>
            </w:tcBorders>
          </w:tcPr>
          <w:p>
            <w:pPr>
              <w:ind w:left="3740"/>
              <w:spacing w:after="0"/>
              <w:rPr>
                <w:sz w:val="20"/>
                <w:szCs w:val="20"/>
                <w:color w:val="auto"/>
              </w:rPr>
            </w:pPr>
            <w:r>
              <w:rPr>
                <w:rFonts w:ascii="Arial" w:cs="Arial" w:eastAsia="Arial" w:hAnsi="Arial"/>
                <w:sz w:val="14"/>
                <w:szCs w:val="14"/>
                <w:b w:val="1"/>
                <w:bCs w:val="1"/>
                <w:color w:val="auto"/>
              </w:rPr>
              <w:t>Executive Officer</w:t>
            </w:r>
          </w:p>
        </w:tc>
        <w:tc>
          <w:tcPr>
            <w:tcW w:w="2760" w:type="dxa"/>
            <w:vAlign w:val="bottom"/>
            <w:tcBorders>
              <w:bottom w:val="single" w:sz="8" w:color="auto"/>
            </w:tcBorders>
          </w:tcPr>
          <w:p>
            <w:pPr>
              <w:jc w:val="center"/>
              <w:ind w:left="1737"/>
              <w:spacing w:after="0"/>
              <w:rPr>
                <w:sz w:val="20"/>
                <w:szCs w:val="20"/>
                <w:color w:val="auto"/>
              </w:rPr>
            </w:pPr>
            <w:r>
              <w:rPr>
                <w:rFonts w:ascii="Arial" w:cs="Arial" w:eastAsia="Arial" w:hAnsi="Arial"/>
                <w:sz w:val="14"/>
                <w:szCs w:val="14"/>
                <w:b w:val="1"/>
                <w:bCs w:val="1"/>
                <w:color w:val="auto"/>
                <w:w w:val="97"/>
              </w:rPr>
              <w:t>Threshold</w:t>
            </w: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Target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Maximum</w:t>
            </w:r>
          </w:p>
        </w:tc>
      </w:tr>
      <w:tr>
        <w:trPr>
          <w:trHeight w:val="213"/>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2760" w:type="dxa"/>
            <w:vAlign w:val="bottom"/>
            <w:shd w:val="clear" w:color="auto" w:fill="CCEEFF"/>
          </w:tcPr>
          <w:p>
            <w:pPr>
              <w:jc w:val="center"/>
              <w:ind w:left="1717"/>
              <w:spacing w:after="0"/>
              <w:rPr>
                <w:sz w:val="20"/>
                <w:szCs w:val="20"/>
                <w:color w:val="auto"/>
              </w:rPr>
            </w:pPr>
            <w:r>
              <w:rPr>
                <w:rFonts w:ascii="Arial" w:cs="Arial" w:eastAsia="Arial" w:hAnsi="Arial"/>
                <w:sz w:val="17"/>
                <w:szCs w:val="17"/>
                <w:color w:val="auto"/>
                <w:w w:val="99"/>
              </w:rPr>
              <w:t>55.0%</w:t>
            </w: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110%</w:t>
            </w: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220%</w:t>
            </w:r>
          </w:p>
        </w:tc>
      </w:tr>
      <w:tr>
        <w:trPr>
          <w:trHeight w:val="219"/>
        </w:trPr>
        <w:tc>
          <w:tcPr>
            <w:tcW w:w="680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2760" w:type="dxa"/>
            <w:vAlign w:val="bottom"/>
          </w:tcPr>
          <w:p>
            <w:pPr>
              <w:jc w:val="center"/>
              <w:ind w:left="1717"/>
              <w:spacing w:after="0"/>
              <w:rPr>
                <w:sz w:val="20"/>
                <w:szCs w:val="20"/>
                <w:color w:val="auto"/>
              </w:rPr>
            </w:pPr>
            <w:r>
              <w:rPr>
                <w:rFonts w:ascii="Arial" w:cs="Arial" w:eastAsia="Arial" w:hAnsi="Arial"/>
                <w:sz w:val="17"/>
                <w:szCs w:val="17"/>
                <w:color w:val="auto"/>
                <w:w w:val="99"/>
              </w:rPr>
              <w:t>37.5%</w:t>
            </w:r>
          </w:p>
        </w:tc>
        <w:tc>
          <w:tcPr>
            <w:tcW w:w="720" w:type="dxa"/>
            <w:vAlign w:val="bottom"/>
          </w:tcPr>
          <w:p>
            <w:pPr>
              <w:jc w:val="center"/>
              <w:spacing w:after="0"/>
              <w:rPr>
                <w:sz w:val="20"/>
                <w:szCs w:val="20"/>
                <w:color w:val="auto"/>
              </w:rPr>
            </w:pPr>
            <w:r>
              <w:rPr>
                <w:rFonts w:ascii="Arial" w:cs="Arial" w:eastAsia="Arial" w:hAnsi="Arial"/>
                <w:sz w:val="17"/>
                <w:szCs w:val="17"/>
                <w:color w:val="auto"/>
                <w:w w:val="99"/>
              </w:rPr>
              <w:t>75%</w:t>
            </w:r>
          </w:p>
        </w:tc>
        <w:tc>
          <w:tcPr>
            <w:tcW w:w="940" w:type="dxa"/>
            <w:vAlign w:val="bottom"/>
          </w:tcPr>
          <w:p>
            <w:pPr>
              <w:jc w:val="center"/>
              <w:spacing w:after="0"/>
              <w:rPr>
                <w:sz w:val="20"/>
                <w:szCs w:val="20"/>
                <w:color w:val="auto"/>
              </w:rPr>
            </w:pPr>
            <w:r>
              <w:rPr>
                <w:rFonts w:ascii="Arial" w:cs="Arial" w:eastAsia="Arial" w:hAnsi="Arial"/>
                <w:sz w:val="17"/>
                <w:szCs w:val="17"/>
                <w:color w:val="auto"/>
              </w:rPr>
              <w:t>150%</w:t>
            </w:r>
          </w:p>
        </w:tc>
      </w:tr>
      <w:tr>
        <w:trPr>
          <w:trHeight w:val="219"/>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2760" w:type="dxa"/>
            <w:vAlign w:val="bottom"/>
            <w:shd w:val="clear" w:color="auto" w:fill="CCEEFF"/>
          </w:tcPr>
          <w:p>
            <w:pPr>
              <w:jc w:val="center"/>
              <w:ind w:left="1717"/>
              <w:spacing w:after="0"/>
              <w:rPr>
                <w:sz w:val="20"/>
                <w:szCs w:val="20"/>
                <w:color w:val="auto"/>
              </w:rPr>
            </w:pPr>
            <w:r>
              <w:rPr>
                <w:rFonts w:ascii="Arial" w:cs="Arial" w:eastAsia="Arial" w:hAnsi="Arial"/>
                <w:sz w:val="17"/>
                <w:szCs w:val="17"/>
                <w:color w:val="auto"/>
                <w:w w:val="99"/>
              </w:rPr>
              <w:t>37.5%</w:t>
            </w: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75%</w:t>
            </w: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150%</w:t>
            </w:r>
          </w:p>
        </w:tc>
      </w:tr>
      <w:tr>
        <w:trPr>
          <w:trHeight w:val="219"/>
        </w:trPr>
        <w:tc>
          <w:tcPr>
            <w:tcW w:w="680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2760" w:type="dxa"/>
            <w:vAlign w:val="bottom"/>
          </w:tcPr>
          <w:p>
            <w:pPr>
              <w:jc w:val="center"/>
              <w:ind w:left="1717"/>
              <w:spacing w:after="0"/>
              <w:rPr>
                <w:sz w:val="20"/>
                <w:szCs w:val="20"/>
                <w:color w:val="auto"/>
              </w:rPr>
            </w:pPr>
            <w:r>
              <w:rPr>
                <w:rFonts w:ascii="Arial" w:cs="Arial" w:eastAsia="Arial" w:hAnsi="Arial"/>
                <w:sz w:val="17"/>
                <w:szCs w:val="17"/>
                <w:color w:val="auto"/>
                <w:w w:val="99"/>
              </w:rPr>
              <w:t>37.5%</w:t>
            </w:r>
          </w:p>
        </w:tc>
        <w:tc>
          <w:tcPr>
            <w:tcW w:w="720" w:type="dxa"/>
            <w:vAlign w:val="bottom"/>
          </w:tcPr>
          <w:p>
            <w:pPr>
              <w:jc w:val="center"/>
              <w:spacing w:after="0"/>
              <w:rPr>
                <w:sz w:val="20"/>
                <w:szCs w:val="20"/>
                <w:color w:val="auto"/>
              </w:rPr>
            </w:pPr>
            <w:r>
              <w:rPr>
                <w:rFonts w:ascii="Arial" w:cs="Arial" w:eastAsia="Arial" w:hAnsi="Arial"/>
                <w:sz w:val="17"/>
                <w:szCs w:val="17"/>
                <w:color w:val="auto"/>
                <w:w w:val="99"/>
              </w:rPr>
              <w:t>75%</w:t>
            </w:r>
          </w:p>
        </w:tc>
        <w:tc>
          <w:tcPr>
            <w:tcW w:w="940" w:type="dxa"/>
            <w:vAlign w:val="bottom"/>
          </w:tcPr>
          <w:p>
            <w:pPr>
              <w:jc w:val="center"/>
              <w:spacing w:after="0"/>
              <w:rPr>
                <w:sz w:val="20"/>
                <w:szCs w:val="20"/>
                <w:color w:val="auto"/>
              </w:rPr>
            </w:pPr>
            <w:r>
              <w:rPr>
                <w:rFonts w:ascii="Arial" w:cs="Arial" w:eastAsia="Arial" w:hAnsi="Arial"/>
                <w:sz w:val="17"/>
                <w:szCs w:val="17"/>
                <w:color w:val="auto"/>
              </w:rPr>
              <w:t>150%</w:t>
            </w:r>
          </w:p>
        </w:tc>
      </w:tr>
      <w:tr>
        <w:trPr>
          <w:trHeight w:val="219"/>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2760" w:type="dxa"/>
            <w:vAlign w:val="bottom"/>
            <w:shd w:val="clear" w:color="auto" w:fill="CCEEFF"/>
          </w:tcPr>
          <w:p>
            <w:pPr>
              <w:jc w:val="center"/>
              <w:ind w:left="1717"/>
              <w:spacing w:after="0"/>
              <w:rPr>
                <w:sz w:val="20"/>
                <w:szCs w:val="20"/>
                <w:color w:val="auto"/>
              </w:rPr>
            </w:pPr>
            <w:r>
              <w:rPr>
                <w:rFonts w:ascii="Arial" w:cs="Arial" w:eastAsia="Arial" w:hAnsi="Arial"/>
                <w:sz w:val="17"/>
                <w:szCs w:val="17"/>
                <w:color w:val="auto"/>
                <w:w w:val="99"/>
              </w:rPr>
              <w:t>37.5%</w:t>
            </w: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75%</w:t>
            </w: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150%</w:t>
            </w:r>
          </w:p>
        </w:tc>
      </w:tr>
    </w:tbl>
    <w:p>
      <w:pPr>
        <w:spacing w:after="0" w:line="292" w:lineRule="exact"/>
        <w:rPr>
          <w:sz w:val="20"/>
          <w:szCs w:val="20"/>
          <w:color w:val="auto"/>
        </w:rPr>
      </w:pPr>
    </w:p>
    <w:p>
      <w:pPr>
        <w:jc w:val="both"/>
        <w:ind w:firstLine="618"/>
        <w:spacing w:after="0" w:line="258" w:lineRule="auto"/>
        <w:rPr>
          <w:sz w:val="20"/>
          <w:szCs w:val="20"/>
          <w:color w:val="auto"/>
        </w:rPr>
      </w:pPr>
      <w:r>
        <w:rPr>
          <w:rFonts w:ascii="Arial" w:cs="Arial" w:eastAsia="Arial" w:hAnsi="Arial"/>
          <w:sz w:val="17"/>
          <w:szCs w:val="17"/>
          <w:color w:val="auto"/>
        </w:rPr>
        <w:t>No changes were made to the Annual Plan target opportunities for executive officers in 2025, as it is believed those threshold, target, and maximum opportunity levels remain appropriate. The foregoing payout opportunities are multiplied by the weighting factor of a particular performance metric to determine the amounts of cash bonuses payable to officers based on actual performance compared to the threshold, target, or maximum for a performance metric. When actual performance is compared to the established threshold, target, or maximum, as applicable, for any performance metric, linear interpolation is used to determine any pro rata portion of the performance bonus. The Compensation Committee and/or the Board also have discretion to increase (or decrease) such performance-based bonuses using their judgment, which can include, but is not limited to, sustainable impact, people and growth factors when evaluating a participant's performance and/or establishing performance objectives, provided that bonuses are not in any event to exceed 250% of the applicable base salary.</w:t>
      </w:r>
    </w:p>
    <w:p>
      <w:pPr>
        <w:spacing w:after="0" w:line="199" w:lineRule="exact"/>
        <w:rPr>
          <w:sz w:val="20"/>
          <w:szCs w:val="20"/>
          <w:color w:val="auto"/>
        </w:rPr>
      </w:pPr>
    </w:p>
    <w:p>
      <w:pPr>
        <w:jc w:val="both"/>
        <w:ind w:firstLine="618"/>
        <w:spacing w:after="0" w:line="271" w:lineRule="auto"/>
        <w:rPr>
          <w:sz w:val="20"/>
          <w:szCs w:val="20"/>
          <w:color w:val="auto"/>
        </w:rPr>
      </w:pPr>
      <w:r>
        <w:rPr>
          <w:rFonts w:ascii="Arial" w:cs="Arial" w:eastAsia="Arial" w:hAnsi="Arial"/>
          <w:sz w:val="17"/>
          <w:szCs w:val="17"/>
          <w:color w:val="auto"/>
        </w:rPr>
        <w:t>Since its inception in 2019, the Annual Incentive Plan uses the same three key performance metrics and weighting: Revenue (weighted 33.33%); Operating Income (weighted 33.33%); and Earnings per Diluted Share (33.33%), adjusted for tariffs as appropriate, since such metrics are not only appropriate measures of performance, but also align with the Company's overall business strategy.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2024 Annual Incentive Plan Performance</w:t>
      </w:r>
    </w:p>
    <w:p>
      <w:pPr>
        <w:spacing w:after="0" w:line="240"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17"/>
          <w:szCs w:val="17"/>
          <w:color w:val="auto"/>
        </w:rPr>
        <w:t>In determining whether annual cash bonuses are paid under the Annual Incentive Plan, actual performance for the year is measured against specified target levels for each performance metric. Generally, the target for the three performance metrics reflects a level of performance, which at the time set would be anticipated to be challenging but achievable. The threshold level is set to be reflective of performance at which the Compensation Committee believed a portion of the award opportunity should be earned. The maximum level was set well above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7" w:name="page28"/>
    <w:bookmarkEnd w:id="27"/>
    <w:p>
      <w:pPr>
        <w:jc w:val="both"/>
        <w:spacing w:after="0" w:line="262" w:lineRule="auto"/>
        <w:rPr>
          <w:sz w:val="20"/>
          <w:szCs w:val="20"/>
          <w:color w:val="auto"/>
        </w:rPr>
      </w:pPr>
      <w:r>
        <w:rPr>
          <w:rFonts w:ascii="Arial" w:cs="Arial" w:eastAsia="Arial" w:hAnsi="Arial"/>
          <w:sz w:val="17"/>
          <w:szCs w:val="17"/>
          <w:color w:val="auto"/>
        </w:rPr>
        <w:t>the target, requiring significant achievements and reflecting performance at which the Compensation Committee believed an additional 100% of the target award was warranted.</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2024, the target performance (along with the thresholds and maximums) and actual results for the performance metrics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2024 AIP Performance Metrics</w:t>
            </w:r>
          </w:p>
        </w:tc>
        <w:tc>
          <w:tcPr>
            <w:tcW w:w="14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Weight</w:t>
            </w:r>
          </w:p>
        </w:tc>
        <w:tc>
          <w:tcPr>
            <w:tcW w:w="1880" w:type="dxa"/>
            <w:vAlign w:val="bottom"/>
            <w:tcBorders>
              <w:bottom w:val="single" w:sz="8" w:color="auto"/>
            </w:tcBorders>
          </w:tcPr>
          <w:p>
            <w:pPr>
              <w:jc w:val="right"/>
              <w:ind w:right="798"/>
              <w:spacing w:after="0"/>
              <w:rPr>
                <w:sz w:val="20"/>
                <w:szCs w:val="20"/>
                <w:color w:val="auto"/>
              </w:rPr>
            </w:pPr>
            <w:r>
              <w:rPr>
                <w:rFonts w:ascii="Arial" w:cs="Arial" w:eastAsia="Arial" w:hAnsi="Arial"/>
                <w:sz w:val="14"/>
                <w:szCs w:val="14"/>
                <w:b w:val="1"/>
                <w:bCs w:val="1"/>
                <w:color w:val="auto"/>
              </w:rPr>
              <w:t>Threshold*</w:t>
            </w:r>
          </w:p>
        </w:tc>
        <w:tc>
          <w:tcPr>
            <w:tcW w:w="1780" w:type="dxa"/>
            <w:vAlign w:val="bottom"/>
            <w:tcBorders>
              <w:bottom w:val="single" w:sz="8" w:color="auto"/>
            </w:tcBorders>
          </w:tcPr>
          <w:p>
            <w:pPr>
              <w:jc w:val="right"/>
              <w:ind w:right="878"/>
              <w:spacing w:after="0"/>
              <w:rPr>
                <w:sz w:val="20"/>
                <w:szCs w:val="20"/>
                <w:color w:val="auto"/>
              </w:rPr>
            </w:pPr>
            <w:r>
              <w:rPr>
                <w:rFonts w:ascii="Arial" w:cs="Arial" w:eastAsia="Arial" w:hAnsi="Arial"/>
                <w:sz w:val="14"/>
                <w:szCs w:val="14"/>
                <w:b w:val="1"/>
                <w:bCs w:val="1"/>
                <w:color w:val="auto"/>
              </w:rPr>
              <w:t>Target*</w:t>
            </w:r>
          </w:p>
        </w:tc>
        <w:tc>
          <w:tcPr>
            <w:tcW w:w="1840" w:type="dxa"/>
            <w:vAlign w:val="bottom"/>
            <w:tcBorders>
              <w:bottom w:val="single" w:sz="8" w:color="auto"/>
            </w:tcBorders>
          </w:tcPr>
          <w:p>
            <w:pPr>
              <w:jc w:val="right"/>
              <w:ind w:right="798"/>
              <w:spacing w:after="0"/>
              <w:rPr>
                <w:sz w:val="20"/>
                <w:szCs w:val="20"/>
                <w:color w:val="auto"/>
              </w:rPr>
            </w:pPr>
            <w:r>
              <w:rPr>
                <w:rFonts w:ascii="Arial" w:cs="Arial" w:eastAsia="Arial" w:hAnsi="Arial"/>
                <w:sz w:val="14"/>
                <w:szCs w:val="14"/>
                <w:b w:val="1"/>
                <w:bCs w:val="1"/>
                <w:color w:val="auto"/>
              </w:rPr>
              <w:t>Maximum*</w:t>
            </w:r>
          </w:p>
        </w:tc>
        <w:tc>
          <w:tcPr>
            <w:tcW w:w="156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Actual*</w:t>
            </w:r>
          </w:p>
        </w:tc>
      </w:tr>
      <w:tr>
        <w:trPr>
          <w:trHeight w:val="213"/>
        </w:trPr>
        <w:tc>
          <w:tcPr>
            <w:tcW w:w="2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46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rPr>
              <w:t>33.33 %</w:t>
            </w:r>
          </w:p>
        </w:tc>
        <w:tc>
          <w:tcPr>
            <w:tcW w:w="1880" w:type="dxa"/>
            <w:vAlign w:val="bottom"/>
            <w:shd w:val="clear" w:color="auto" w:fill="CCEEFF"/>
          </w:tcPr>
          <w:p>
            <w:pPr>
              <w:jc w:val="right"/>
              <w:ind w:right="298"/>
              <w:spacing w:after="0"/>
              <w:rPr>
                <w:sz w:val="20"/>
                <w:szCs w:val="20"/>
                <w:color w:val="auto"/>
              </w:rPr>
            </w:pPr>
            <w:r>
              <w:rPr>
                <w:rFonts w:ascii="Arial" w:cs="Arial" w:eastAsia="Arial" w:hAnsi="Arial"/>
                <w:sz w:val="17"/>
                <w:szCs w:val="17"/>
                <w:color w:val="auto"/>
              </w:rPr>
              <w:t>$2,000,000</w:t>
            </w:r>
          </w:p>
        </w:tc>
        <w:tc>
          <w:tcPr>
            <w:tcW w:w="178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$2,500,000</w:t>
            </w:r>
          </w:p>
        </w:tc>
        <w:tc>
          <w:tcPr>
            <w:tcW w:w="184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$3,000,000</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$2,313,314</w:t>
            </w:r>
          </w:p>
        </w:tc>
      </w:tr>
      <w:tr>
        <w:trPr>
          <w:trHeight w:val="219"/>
        </w:trPr>
        <w:tc>
          <w:tcPr>
            <w:tcW w:w="270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1460" w:type="dxa"/>
            <w:vAlign w:val="bottom"/>
          </w:tcPr>
          <w:p>
            <w:pPr>
              <w:jc w:val="right"/>
              <w:ind w:right="198"/>
              <w:spacing w:after="0"/>
              <w:rPr>
                <w:sz w:val="20"/>
                <w:szCs w:val="20"/>
                <w:color w:val="auto"/>
              </w:rPr>
            </w:pPr>
            <w:r>
              <w:rPr>
                <w:rFonts w:ascii="Arial" w:cs="Arial" w:eastAsia="Arial" w:hAnsi="Arial"/>
                <w:sz w:val="17"/>
                <w:szCs w:val="17"/>
                <w:color w:val="auto"/>
              </w:rPr>
              <w:t>33.33 %</w:t>
            </w:r>
          </w:p>
        </w:tc>
        <w:tc>
          <w:tcPr>
            <w:tcW w:w="1880" w:type="dxa"/>
            <w:vAlign w:val="bottom"/>
          </w:tcPr>
          <w:p>
            <w:pPr>
              <w:jc w:val="right"/>
              <w:ind w:right="298"/>
              <w:spacing w:after="0"/>
              <w:rPr>
                <w:sz w:val="20"/>
                <w:szCs w:val="20"/>
                <w:color w:val="auto"/>
              </w:rPr>
            </w:pPr>
            <w:r>
              <w:rPr>
                <w:rFonts w:ascii="Arial" w:cs="Arial" w:eastAsia="Arial" w:hAnsi="Arial"/>
                <w:sz w:val="17"/>
                <w:szCs w:val="17"/>
                <w:color w:val="auto"/>
              </w:rPr>
              <w:t>$450,000</w:t>
            </w:r>
          </w:p>
        </w:tc>
        <w:tc>
          <w:tcPr>
            <w:tcW w:w="1780" w:type="dxa"/>
            <w:vAlign w:val="bottom"/>
          </w:tcPr>
          <w:p>
            <w:pPr>
              <w:jc w:val="right"/>
              <w:ind w:right="178"/>
              <w:spacing w:after="0"/>
              <w:rPr>
                <w:sz w:val="20"/>
                <w:szCs w:val="20"/>
                <w:color w:val="auto"/>
              </w:rPr>
            </w:pPr>
            <w:r>
              <w:rPr>
                <w:rFonts w:ascii="Arial" w:cs="Arial" w:eastAsia="Arial" w:hAnsi="Arial"/>
                <w:sz w:val="17"/>
                <w:szCs w:val="17"/>
                <w:color w:val="auto"/>
              </w:rPr>
              <w:t>$562,500</w:t>
            </w:r>
          </w:p>
        </w:tc>
        <w:tc>
          <w:tcPr>
            <w:tcW w:w="1840" w:type="dxa"/>
            <w:vAlign w:val="bottom"/>
          </w:tcPr>
          <w:p>
            <w:pPr>
              <w:jc w:val="right"/>
              <w:ind w:right="278"/>
              <w:spacing w:after="0"/>
              <w:rPr>
                <w:sz w:val="20"/>
                <w:szCs w:val="20"/>
                <w:color w:val="auto"/>
              </w:rPr>
            </w:pPr>
            <w:r>
              <w:rPr>
                <w:rFonts w:ascii="Arial" w:cs="Arial" w:eastAsia="Arial" w:hAnsi="Arial"/>
                <w:sz w:val="17"/>
                <w:szCs w:val="17"/>
                <w:color w:val="auto"/>
              </w:rPr>
              <w:t>$675,000</w:t>
            </w:r>
          </w:p>
        </w:tc>
        <w:tc>
          <w:tcPr>
            <w:tcW w:w="1560" w:type="dxa"/>
            <w:vAlign w:val="bottom"/>
          </w:tcPr>
          <w:p>
            <w:pPr>
              <w:jc w:val="right"/>
              <w:spacing w:after="0"/>
              <w:rPr>
                <w:sz w:val="20"/>
                <w:szCs w:val="20"/>
                <w:color w:val="auto"/>
              </w:rPr>
            </w:pPr>
            <w:r>
              <w:rPr>
                <w:rFonts w:ascii="Arial" w:cs="Arial" w:eastAsia="Arial" w:hAnsi="Arial"/>
                <w:sz w:val="17"/>
                <w:szCs w:val="17"/>
                <w:color w:val="auto"/>
              </w:rPr>
              <w:t>$459,727</w:t>
            </w:r>
          </w:p>
        </w:tc>
      </w:tr>
      <w:tr>
        <w:trPr>
          <w:trHeight w:val="219"/>
        </w:trPr>
        <w:tc>
          <w:tcPr>
            <w:tcW w:w="2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per Diluted Share</w:t>
            </w:r>
          </w:p>
        </w:tc>
        <w:tc>
          <w:tcPr>
            <w:tcW w:w="146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rPr>
              <w:t>33.33 %</w:t>
            </w:r>
          </w:p>
        </w:tc>
        <w:tc>
          <w:tcPr>
            <w:tcW w:w="1880" w:type="dxa"/>
            <w:vAlign w:val="bottom"/>
            <w:shd w:val="clear" w:color="auto" w:fill="CCEEFF"/>
          </w:tcPr>
          <w:p>
            <w:pPr>
              <w:jc w:val="right"/>
              <w:ind w:right="298"/>
              <w:spacing w:after="0"/>
              <w:rPr>
                <w:sz w:val="20"/>
                <w:szCs w:val="20"/>
                <w:color w:val="auto"/>
              </w:rPr>
            </w:pPr>
            <w:r>
              <w:rPr>
                <w:rFonts w:ascii="Arial" w:cs="Arial" w:eastAsia="Arial" w:hAnsi="Arial"/>
                <w:sz w:val="17"/>
                <w:szCs w:val="17"/>
                <w:color w:val="auto"/>
              </w:rPr>
              <w:t>$1.62</w:t>
            </w:r>
          </w:p>
        </w:tc>
        <w:tc>
          <w:tcPr>
            <w:tcW w:w="178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$2.02</w:t>
            </w:r>
          </w:p>
        </w:tc>
        <w:tc>
          <w:tcPr>
            <w:tcW w:w="184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$2.42</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 amounts in thousands (000) except for per share amounts.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2024 Annual Incentive Plan Payments</w:t>
      </w:r>
    </w:p>
    <w:p>
      <w:pPr>
        <w:spacing w:after="0" w:line="240" w:lineRule="exact"/>
        <w:rPr>
          <w:sz w:val="20"/>
          <w:szCs w:val="20"/>
          <w:color w:val="auto"/>
        </w:rPr>
      </w:pPr>
    </w:p>
    <w:p>
      <w:pPr>
        <w:jc w:val="both"/>
        <w:ind w:firstLine="618"/>
        <w:spacing w:after="0" w:line="281" w:lineRule="auto"/>
        <w:rPr>
          <w:sz w:val="20"/>
          <w:szCs w:val="20"/>
          <w:color w:val="auto"/>
        </w:rPr>
      </w:pPr>
      <w:r>
        <w:rPr>
          <w:rFonts w:ascii="Arial" w:cs="Arial" w:eastAsia="Arial" w:hAnsi="Arial"/>
          <w:sz w:val="17"/>
          <w:szCs w:val="17"/>
          <w:color w:val="auto"/>
        </w:rPr>
        <w:t>Based on actual Revenue, Operating Income, and Earnings per Diluted Share results compared to the adjusted targets and performance of the NEOs, the payments for 2024 under the Annual Incentive Plan are shown in the table below:</w:t>
      </w:r>
    </w:p>
    <w:tbl>
      <w:tblPr>
        <w:tblLayout w:type="fixed"/>
        <w:tblInd w:w="0" w:type="dxa"/>
        <w:tblCellMar>
          <w:top w:w="0" w:type="dxa"/>
          <w:left w:w="0" w:type="dxa"/>
          <w:bottom w:w="0" w:type="dxa"/>
          <w:right w:w="0" w:type="dxa"/>
        </w:tblCellMar>
      </w:tblPr>
      <w:tr>
        <w:trPr>
          <w:trHeight w:val="142"/>
        </w:trPr>
        <w:tc>
          <w:tcPr>
            <w:tcW w:w="3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Executive Officer</w:t>
            </w:r>
          </w:p>
        </w:tc>
        <w:tc>
          <w:tcPr>
            <w:tcW w:w="5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2024 Annual Incentive Plan Performance</w:t>
            </w:r>
          </w:p>
        </w:tc>
        <w:tc>
          <w:tcPr>
            <w:tcW w:w="200" w:type="dxa"/>
            <w:vAlign w:val="bottom"/>
          </w:tcPr>
          <w:p>
            <w:pPr>
              <w:spacing w:after="0"/>
              <w:rPr>
                <w:sz w:val="12"/>
                <w:szCs w:val="12"/>
                <w:color w:val="auto"/>
              </w:rPr>
            </w:pPr>
          </w:p>
        </w:tc>
        <w:tc>
          <w:tcPr>
            <w:tcW w:w="19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2024 Discretionary Bonus</w:t>
            </w:r>
          </w:p>
        </w:tc>
        <w:tc>
          <w:tcPr>
            <w:tcW w:w="0" w:type="dxa"/>
            <w:vAlign w:val="bottom"/>
          </w:tcPr>
          <w:p>
            <w:pPr>
              <w:spacing w:after="0"/>
              <w:rPr>
                <w:sz w:val="1"/>
                <w:szCs w:val="1"/>
                <w:color w:val="auto"/>
              </w:rPr>
            </w:pPr>
          </w:p>
        </w:tc>
      </w:tr>
      <w:tr>
        <w:trPr>
          <w:trHeight w:val="177"/>
        </w:trPr>
        <w:tc>
          <w:tcPr>
            <w:tcW w:w="3740" w:type="dxa"/>
            <w:vAlign w:val="bottom"/>
            <w:tcBorders>
              <w:bottom w:val="single" w:sz="8" w:color="auto"/>
            </w:tcBorders>
            <w:vMerge w:val="continue"/>
          </w:tcPr>
          <w:p>
            <w:pPr>
              <w:spacing w:after="0"/>
              <w:rPr>
                <w:sz w:val="15"/>
                <w:szCs w:val="15"/>
                <w:color w:val="auto"/>
              </w:rPr>
            </w:pPr>
          </w:p>
        </w:tc>
        <w:tc>
          <w:tcPr>
            <w:tcW w:w="32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1097"/>
              <w:spacing w:after="0"/>
              <w:rPr>
                <w:sz w:val="20"/>
                <w:szCs w:val="20"/>
                <w:color w:val="auto"/>
              </w:rPr>
            </w:pPr>
            <w:r>
              <w:rPr>
                <w:rFonts w:ascii="Arial" w:cs="Arial" w:eastAsia="Arial" w:hAnsi="Arial"/>
                <w:sz w:val="14"/>
                <w:szCs w:val="14"/>
                <w:b w:val="1"/>
                <w:bCs w:val="1"/>
                <w:color w:val="auto"/>
              </w:rPr>
              <w:t>Bonus</w:t>
            </w:r>
          </w:p>
        </w:tc>
        <w:tc>
          <w:tcPr>
            <w:tcW w:w="2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3200" w:type="dxa"/>
            <w:vAlign w:val="bottom"/>
            <w:shd w:val="clear" w:color="auto" w:fill="CCEEFF"/>
          </w:tcPr>
          <w:p>
            <w:pPr>
              <w:jc w:val="right"/>
              <w:ind w:right="477"/>
              <w:spacing w:after="0"/>
              <w:rPr>
                <w:sz w:val="20"/>
                <w:szCs w:val="20"/>
                <w:color w:val="auto"/>
              </w:rPr>
            </w:pPr>
            <w:r>
              <w:rPr>
                <w:rFonts w:ascii="Arial" w:cs="Arial" w:eastAsia="Arial" w:hAnsi="Arial"/>
                <w:sz w:val="17"/>
                <w:szCs w:val="17"/>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634,211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17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74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3200" w:type="dxa"/>
            <w:vAlign w:val="bottom"/>
          </w:tcPr>
          <w:p>
            <w:pPr>
              <w:jc w:val="right"/>
              <w:ind w:right="477"/>
              <w:spacing w:after="0"/>
              <w:rPr>
                <w:sz w:val="20"/>
                <w:szCs w:val="20"/>
                <w:color w:val="auto"/>
              </w:rPr>
            </w:pPr>
            <w:r>
              <w:rPr>
                <w:rFonts w:ascii="Arial" w:cs="Arial" w:eastAsia="Arial" w:hAnsi="Arial"/>
                <w:sz w:val="17"/>
                <w:szCs w:val="17"/>
                <w:color w:val="auto"/>
              </w:rPr>
              <w:t>$</w:t>
            </w:r>
          </w:p>
        </w:tc>
        <w:tc>
          <w:tcPr>
            <w:tcW w:w="2140" w:type="dxa"/>
            <w:vAlign w:val="bottom"/>
          </w:tcPr>
          <w:p>
            <w:pPr>
              <w:jc w:val="right"/>
              <w:spacing w:after="0"/>
              <w:rPr>
                <w:sz w:val="20"/>
                <w:szCs w:val="20"/>
                <w:color w:val="auto"/>
              </w:rPr>
            </w:pPr>
            <w:r>
              <w:rPr>
                <w:rFonts w:ascii="Arial" w:cs="Arial" w:eastAsia="Arial" w:hAnsi="Arial"/>
                <w:sz w:val="17"/>
                <w:szCs w:val="17"/>
                <w:color w:val="auto"/>
              </w:rPr>
              <w:t>292,517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960" w:type="dxa"/>
            <w:vAlign w:val="bottom"/>
          </w:tcPr>
          <w:p>
            <w:pPr>
              <w:ind w:left="17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3200" w:type="dxa"/>
            <w:vAlign w:val="bottom"/>
            <w:shd w:val="clear" w:color="auto" w:fill="CCEEFF"/>
          </w:tcPr>
          <w:p>
            <w:pPr>
              <w:jc w:val="right"/>
              <w:ind w:right="477"/>
              <w:spacing w:after="0"/>
              <w:rPr>
                <w:sz w:val="20"/>
                <w:szCs w:val="20"/>
                <w:color w:val="auto"/>
              </w:rPr>
            </w:pPr>
            <w:r>
              <w:rPr>
                <w:rFonts w:ascii="Arial" w:cs="Arial" w:eastAsia="Arial" w:hAnsi="Arial"/>
                <w:sz w:val="17"/>
                <w:szCs w:val="17"/>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282,342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17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74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3200" w:type="dxa"/>
            <w:vAlign w:val="bottom"/>
          </w:tcPr>
          <w:p>
            <w:pPr>
              <w:jc w:val="right"/>
              <w:ind w:right="477"/>
              <w:spacing w:after="0"/>
              <w:rPr>
                <w:sz w:val="20"/>
                <w:szCs w:val="20"/>
                <w:color w:val="auto"/>
              </w:rPr>
            </w:pPr>
            <w:r>
              <w:rPr>
                <w:rFonts w:ascii="Arial" w:cs="Arial" w:eastAsia="Arial" w:hAnsi="Arial"/>
                <w:sz w:val="17"/>
                <w:szCs w:val="17"/>
                <w:color w:val="auto"/>
              </w:rPr>
              <w:t>$</w:t>
            </w:r>
          </w:p>
        </w:tc>
        <w:tc>
          <w:tcPr>
            <w:tcW w:w="2140" w:type="dxa"/>
            <w:vAlign w:val="bottom"/>
          </w:tcPr>
          <w:p>
            <w:pPr>
              <w:jc w:val="right"/>
              <w:spacing w:after="0"/>
              <w:rPr>
                <w:sz w:val="20"/>
                <w:szCs w:val="20"/>
                <w:color w:val="auto"/>
              </w:rPr>
            </w:pPr>
            <w:r>
              <w:rPr>
                <w:rFonts w:ascii="Arial" w:cs="Arial" w:eastAsia="Arial" w:hAnsi="Arial"/>
                <w:sz w:val="17"/>
                <w:szCs w:val="17"/>
                <w:color w:val="auto"/>
              </w:rPr>
              <w:t>244,188</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960" w:type="dxa"/>
            <w:vAlign w:val="bottom"/>
          </w:tcPr>
          <w:p>
            <w:pPr>
              <w:ind w:left="17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3200" w:type="dxa"/>
            <w:vAlign w:val="bottom"/>
            <w:shd w:val="clear" w:color="auto" w:fill="CCEEFF"/>
          </w:tcPr>
          <w:p>
            <w:pPr>
              <w:jc w:val="right"/>
              <w:ind w:right="477"/>
              <w:spacing w:after="0"/>
              <w:rPr>
                <w:sz w:val="20"/>
                <w:szCs w:val="20"/>
                <w:color w:val="auto"/>
              </w:rPr>
            </w:pPr>
            <w:r>
              <w:rPr>
                <w:rFonts w:ascii="Arial" w:cs="Arial" w:eastAsia="Arial" w:hAnsi="Arial"/>
                <w:sz w:val="17"/>
                <w:szCs w:val="17"/>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223,839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17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firstLine="618"/>
        <w:spacing w:after="0" w:line="259" w:lineRule="auto"/>
        <w:rPr>
          <w:sz w:val="20"/>
          <w:szCs w:val="20"/>
          <w:color w:val="auto"/>
        </w:rPr>
      </w:pPr>
      <w:r>
        <w:rPr>
          <w:rFonts w:ascii="Arial" w:cs="Arial" w:eastAsia="Arial" w:hAnsi="Arial"/>
          <w:sz w:val="17"/>
          <w:szCs w:val="17"/>
          <w:color w:val="auto"/>
        </w:rPr>
        <w:t>These Annual Incentive Plan results appropriately reflect management's work in terms of a 5% revenue outperformance versus the Company's primary underlying markets, continued improvements to the Company's gross margin profile, and business development efforts, including moving certain products and technologies closer to commercialization. For 2025, the Compensation Committee recommended, and the Board approved, targets for Revenue, Operating Income, and Earnings per Diluted Share for the Annual Incentive Plan performance metrics consistent with the past, while taking into account tariffs in certain circumstances and whether a pending acquisition closes and certain nonoperating expenses related thereto and otherwise. In 2025, the Company continues to use ± 20% of target in 2025 for determining thresholds and maximums under the Annual Incentive Plan.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Long-Term Incentive Plan</w:t>
      </w:r>
    </w:p>
    <w:p>
      <w:pPr>
        <w:spacing w:after="0" w:line="244" w:lineRule="exact"/>
        <w:rPr>
          <w:sz w:val="20"/>
          <w:szCs w:val="20"/>
          <w:color w:val="auto"/>
        </w:rPr>
      </w:pPr>
    </w:p>
    <w:p>
      <w:pPr>
        <w:jc w:val="both"/>
        <w:ind w:firstLine="618"/>
        <w:spacing w:after="0" w:line="260" w:lineRule="auto"/>
        <w:rPr>
          <w:sz w:val="20"/>
          <w:szCs w:val="20"/>
          <w:color w:val="auto"/>
        </w:rPr>
      </w:pPr>
      <w:r>
        <w:rPr>
          <w:rFonts w:ascii="Arial" w:cs="Arial" w:eastAsia="Arial" w:hAnsi="Arial"/>
          <w:sz w:val="17"/>
          <w:szCs w:val="17"/>
          <w:b w:val="1"/>
          <w:bCs w:val="1"/>
          <w:i w:val="1"/>
          <w:iCs w:val="1"/>
          <w:u w:val="single" w:color="auto"/>
          <w:color w:val="auto"/>
        </w:rPr>
        <w:t>2024</w:t>
      </w:r>
      <w:r>
        <w:rPr>
          <w:rFonts w:ascii="Arial" w:cs="Arial" w:eastAsia="Arial" w:hAnsi="Arial"/>
          <w:sz w:val="17"/>
          <w:szCs w:val="17"/>
          <w:color w:val="auto"/>
        </w:rPr>
        <w:t>. We continue to believe that our long-term performance is driven through an ownership mentality and culture that rewards officers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creating and maximizing shareholder value. That is a philosophy that permeates our organization as evidenced by the fact that the Company has in the past expanded its equity compensation program to include all hourly employees, which now means a total in excess of 5,000 employees receive stock option and/or RS awards. The Long-Term Incentive Plan provides officers, including our NEOs, with incentive awards that serve an important role by balancing other applicable short-term goals with long-term shareholder value creation while minimizing risk-taking behaviors that could negatively affect long-term results.</w:t>
      </w:r>
    </w:p>
    <w:p>
      <w:pPr>
        <w:spacing w:after="0" w:line="197" w:lineRule="exact"/>
        <w:rPr>
          <w:sz w:val="20"/>
          <w:szCs w:val="20"/>
          <w:color w:val="auto"/>
        </w:rPr>
      </w:pPr>
    </w:p>
    <w:p>
      <w:pPr>
        <w:jc w:val="both"/>
        <w:ind w:firstLine="618"/>
        <w:spacing w:after="0" w:line="259" w:lineRule="auto"/>
        <w:rPr>
          <w:sz w:val="20"/>
          <w:szCs w:val="20"/>
          <w:color w:val="auto"/>
        </w:rPr>
      </w:pPr>
      <w:r>
        <w:rPr>
          <w:rFonts w:ascii="Arial" w:cs="Arial" w:eastAsia="Arial" w:hAnsi="Arial"/>
          <w:sz w:val="17"/>
          <w:szCs w:val="17"/>
          <w:color w:val="auto"/>
        </w:rPr>
        <w:t>The Long-Term Plan uses three-year performance periods and the selected performance objectives to determine equity incentive awards so as to balance short term goals under the Annual Incentive Plan with performance objectives associated with longer term shareholder value creation under the Long-Term Plan. The Board and/or the Compensation Committee approves the amount of the long-term incentive awards, which are based on a percentage of the officers, including NEO’s, base salary. Each officer's, including NEO’s, award opportunity is based on a target dollar value (determined toward the beginning of the performance period) as a percentage of base salary assigned to his or her position based on market comparisons for similar positions, using both Peer Group and general industry market data. The following target opportunities apply for the 2024-2026 performance period under the Long-Term Incentive Plan:</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28" w:name="page29"/>
    <w:bookmarkEnd w:id="28"/>
    <w:tbl>
      <w:tblPr>
        <w:tblLayout w:type="fixed"/>
        <w:tblInd w:w="620" w:type="dxa"/>
        <w:tblCellMar>
          <w:top w:w="0" w:type="dxa"/>
          <w:left w:w="0" w:type="dxa"/>
          <w:bottom w:w="0" w:type="dxa"/>
          <w:right w:w="0" w:type="dxa"/>
        </w:tblCellMar>
      </w:tblPr>
      <w:tr>
        <w:trPr>
          <w:trHeight w:val="161"/>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Executive Officer</w:t>
            </w:r>
          </w:p>
        </w:tc>
        <w:tc>
          <w:tcPr>
            <w:tcW w:w="6680" w:type="dxa"/>
            <w:vAlign w:val="bottom"/>
          </w:tcPr>
          <w:p>
            <w:pPr>
              <w:ind w:left="2860"/>
              <w:spacing w:after="0"/>
              <w:rPr>
                <w:sz w:val="20"/>
                <w:szCs w:val="20"/>
                <w:color w:val="auto"/>
              </w:rPr>
            </w:pPr>
            <w:r>
              <w:rPr>
                <w:rFonts w:ascii="Arial" w:cs="Arial" w:eastAsia="Arial" w:hAnsi="Arial"/>
                <w:sz w:val="14"/>
                <w:szCs w:val="14"/>
                <w:b w:val="1"/>
                <w:bCs w:val="1"/>
                <w:color w:val="auto"/>
                <w:w w:val="96"/>
              </w:rPr>
              <w:t>Long-Term Plan Target Opportunity Percentage of Base Sa</w:t>
            </w:r>
          </w:p>
        </w:tc>
        <w:tc>
          <w:tcPr>
            <w:tcW w:w="0" w:type="dxa"/>
            <w:vAlign w:val="bottom"/>
          </w:tcPr>
          <w:p>
            <w:pPr>
              <w:spacing w:after="0"/>
              <w:rPr>
                <w:sz w:val="1"/>
                <w:szCs w:val="1"/>
                <w:color w:val="auto"/>
              </w:rPr>
            </w:pPr>
          </w:p>
        </w:tc>
      </w:tr>
      <w:tr>
        <w:trPr>
          <w:trHeight w:val="177"/>
        </w:trPr>
        <w:tc>
          <w:tcPr>
            <w:tcW w:w="4040" w:type="dxa"/>
            <w:vAlign w:val="bottom"/>
            <w:tcBorders>
              <w:bottom w:val="single" w:sz="8" w:color="auto"/>
            </w:tcBorders>
            <w:vMerge w:val="continue"/>
          </w:tcPr>
          <w:p>
            <w:pPr>
              <w:spacing w:after="0"/>
              <w:rPr>
                <w:sz w:val="15"/>
                <w:szCs w:val="15"/>
                <w:color w:val="auto"/>
              </w:rPr>
            </w:pPr>
          </w:p>
        </w:tc>
        <w:tc>
          <w:tcPr>
            <w:tcW w:w="6680" w:type="dxa"/>
            <w:vAlign w:val="bottom"/>
            <w:tcBorders>
              <w:bottom w:val="single" w:sz="8" w:color="auto"/>
            </w:tcBorders>
          </w:tcPr>
          <w:p>
            <w:pPr>
              <w:jc w:val="center"/>
              <w:ind w:left="3239"/>
              <w:spacing w:after="0"/>
              <w:rPr>
                <w:sz w:val="20"/>
                <w:szCs w:val="20"/>
                <w:color w:val="auto"/>
              </w:rPr>
            </w:pPr>
            <w:r>
              <w:rPr>
                <w:rFonts w:ascii="Arial" w:cs="Arial" w:eastAsia="Arial" w:hAnsi="Arial"/>
                <w:sz w:val="14"/>
                <w:szCs w:val="14"/>
                <w:b w:val="1"/>
                <w:bCs w:val="1"/>
                <w:color w:val="auto"/>
                <w:w w:val="95"/>
              </w:rPr>
              <w:t>2024-2026</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6680" w:type="dxa"/>
            <w:vAlign w:val="bottom"/>
            <w:shd w:val="clear" w:color="auto" w:fill="CCEEFF"/>
          </w:tcPr>
          <w:p>
            <w:pPr>
              <w:jc w:val="center"/>
              <w:ind w:left="3239"/>
              <w:spacing w:after="0"/>
              <w:rPr>
                <w:sz w:val="20"/>
                <w:szCs w:val="20"/>
                <w:color w:val="auto"/>
              </w:rPr>
            </w:pPr>
            <w:r>
              <w:rPr>
                <w:rFonts w:ascii="Arial" w:cs="Arial" w:eastAsia="Arial" w:hAnsi="Arial"/>
                <w:sz w:val="17"/>
                <w:szCs w:val="17"/>
                <w:color w:val="auto"/>
              </w:rPr>
              <w:t>385%</w:t>
            </w:r>
          </w:p>
        </w:tc>
        <w:tc>
          <w:tcPr>
            <w:tcW w:w="0" w:type="dxa"/>
            <w:vAlign w:val="bottom"/>
          </w:tcPr>
          <w:p>
            <w:pPr>
              <w:spacing w:after="0"/>
              <w:rPr>
                <w:sz w:val="1"/>
                <w:szCs w:val="1"/>
                <w:color w:val="auto"/>
              </w:rPr>
            </w:pPr>
          </w:p>
        </w:tc>
      </w:tr>
      <w:tr>
        <w:trPr>
          <w:trHeight w:val="219"/>
        </w:trPr>
        <w:tc>
          <w:tcPr>
            <w:tcW w:w="404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6680" w:type="dxa"/>
            <w:vAlign w:val="bottom"/>
          </w:tcPr>
          <w:p>
            <w:pPr>
              <w:jc w:val="center"/>
              <w:ind w:left="3239"/>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6680" w:type="dxa"/>
            <w:vAlign w:val="bottom"/>
            <w:shd w:val="clear" w:color="auto" w:fill="CCEEFF"/>
          </w:tcPr>
          <w:p>
            <w:pPr>
              <w:jc w:val="center"/>
              <w:ind w:left="3239"/>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19"/>
        </w:trPr>
        <w:tc>
          <w:tcPr>
            <w:tcW w:w="404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6680" w:type="dxa"/>
            <w:vAlign w:val="bottom"/>
          </w:tcPr>
          <w:p>
            <w:pPr>
              <w:jc w:val="center"/>
              <w:ind w:left="3239"/>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6680" w:type="dxa"/>
            <w:vAlign w:val="bottom"/>
            <w:shd w:val="clear" w:color="auto" w:fill="CCEEFF"/>
          </w:tcPr>
          <w:p>
            <w:pPr>
              <w:jc w:val="center"/>
              <w:ind w:left="3239"/>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right="100" w:firstLine="618"/>
        <w:spacing w:after="0" w:line="265" w:lineRule="auto"/>
        <w:rPr>
          <w:sz w:val="20"/>
          <w:szCs w:val="20"/>
          <w:color w:val="auto"/>
        </w:rPr>
      </w:pPr>
      <w:r>
        <w:rPr>
          <w:rFonts w:ascii="Arial" w:cs="Arial" w:eastAsia="Arial" w:hAnsi="Arial"/>
          <w:sz w:val="17"/>
          <w:szCs w:val="17"/>
          <w:b w:val="1"/>
          <w:bCs w:val="1"/>
          <w:i w:val="1"/>
          <w:iCs w:val="1"/>
          <w:u w:val="single" w:color="auto"/>
          <w:color w:val="auto"/>
        </w:rPr>
        <w:t>2025</w:t>
      </w:r>
      <w:r>
        <w:rPr>
          <w:rFonts w:ascii="Arial" w:cs="Arial" w:eastAsia="Arial" w:hAnsi="Arial"/>
          <w:sz w:val="17"/>
          <w:szCs w:val="17"/>
          <w:color w:val="auto"/>
        </w:rPr>
        <w:t>. These Long-Term Plan Target Opportunity Percentages of Base Salary for 2025 - 2027 for Mr. Chiodo and Mr. Ryan have changed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those applicable for 2024 - 2026. The Compensation Committee recommended, and the Board approved, such increases to Mr. Chiodo's and Mr. Ryan's Long-Term Plan target opportunity in 2025 as set forth, in each case due to performance and increasing responsibilities. All Long-Term Plan target opportunities remain within the market median for long-term incentives for the officers' respective job responsibilities.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Executive Officer</w:t>
            </w:r>
          </w:p>
        </w:tc>
        <w:tc>
          <w:tcPr>
            <w:tcW w:w="7200" w:type="dxa"/>
            <w:vAlign w:val="bottom"/>
          </w:tcPr>
          <w:p>
            <w:pPr>
              <w:ind w:left="2860"/>
              <w:spacing w:after="0"/>
              <w:rPr>
                <w:sz w:val="20"/>
                <w:szCs w:val="20"/>
                <w:color w:val="auto"/>
              </w:rPr>
            </w:pPr>
            <w:r>
              <w:rPr>
                <w:rFonts w:ascii="Arial" w:cs="Arial" w:eastAsia="Arial" w:hAnsi="Arial"/>
                <w:sz w:val="14"/>
                <w:szCs w:val="14"/>
                <w:b w:val="1"/>
                <w:bCs w:val="1"/>
                <w:color w:val="auto"/>
                <w:w w:val="98"/>
              </w:rPr>
              <w:t>Long-Term Plan Target Opportunity Percentage of Base Salary for</w:t>
            </w:r>
          </w:p>
        </w:tc>
        <w:tc>
          <w:tcPr>
            <w:tcW w:w="0" w:type="dxa"/>
            <w:vAlign w:val="bottom"/>
          </w:tcPr>
          <w:p>
            <w:pPr>
              <w:spacing w:after="0"/>
              <w:rPr>
                <w:sz w:val="1"/>
                <w:szCs w:val="1"/>
                <w:color w:val="auto"/>
              </w:rPr>
            </w:pPr>
          </w:p>
        </w:tc>
      </w:tr>
      <w:tr>
        <w:trPr>
          <w:trHeight w:val="180"/>
        </w:trPr>
        <w:tc>
          <w:tcPr>
            <w:tcW w:w="4040" w:type="dxa"/>
            <w:vAlign w:val="bottom"/>
            <w:tcBorders>
              <w:bottom w:val="single" w:sz="8" w:color="auto"/>
            </w:tcBorders>
            <w:vMerge w:val="continue"/>
          </w:tcPr>
          <w:p>
            <w:pPr>
              <w:spacing w:after="0"/>
              <w:rPr>
                <w:sz w:val="15"/>
                <w:szCs w:val="15"/>
                <w:color w:val="auto"/>
              </w:rPr>
            </w:pPr>
          </w:p>
        </w:tc>
        <w:tc>
          <w:tcPr>
            <w:tcW w:w="7200" w:type="dxa"/>
            <w:vAlign w:val="bottom"/>
            <w:tcBorders>
              <w:bottom w:val="single" w:sz="8" w:color="auto"/>
            </w:tcBorders>
          </w:tcPr>
          <w:p>
            <w:pPr>
              <w:jc w:val="center"/>
              <w:ind w:left="2739"/>
              <w:spacing w:after="0"/>
              <w:rPr>
                <w:sz w:val="20"/>
                <w:szCs w:val="20"/>
                <w:color w:val="auto"/>
              </w:rPr>
            </w:pPr>
            <w:r>
              <w:rPr>
                <w:rFonts w:ascii="Arial" w:cs="Arial" w:eastAsia="Arial" w:hAnsi="Arial"/>
                <w:sz w:val="14"/>
                <w:szCs w:val="14"/>
                <w:b w:val="1"/>
                <w:bCs w:val="1"/>
                <w:color w:val="auto"/>
                <w:w w:val="98"/>
              </w:rPr>
              <w:t>2025-2027</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7200" w:type="dxa"/>
            <w:vAlign w:val="bottom"/>
            <w:shd w:val="clear" w:color="auto" w:fill="CCEEFF"/>
          </w:tcPr>
          <w:p>
            <w:pPr>
              <w:jc w:val="center"/>
              <w:ind w:left="2719"/>
              <w:spacing w:after="0"/>
              <w:rPr>
                <w:sz w:val="20"/>
                <w:szCs w:val="20"/>
                <w:color w:val="auto"/>
              </w:rPr>
            </w:pPr>
            <w:r>
              <w:rPr>
                <w:rFonts w:ascii="Arial" w:cs="Arial" w:eastAsia="Arial" w:hAnsi="Arial"/>
                <w:sz w:val="17"/>
                <w:szCs w:val="17"/>
                <w:color w:val="auto"/>
              </w:rPr>
              <w:t>385%</w:t>
            </w:r>
          </w:p>
        </w:tc>
        <w:tc>
          <w:tcPr>
            <w:tcW w:w="0" w:type="dxa"/>
            <w:vAlign w:val="bottom"/>
          </w:tcPr>
          <w:p>
            <w:pPr>
              <w:spacing w:after="0"/>
              <w:rPr>
                <w:sz w:val="1"/>
                <w:szCs w:val="1"/>
                <w:color w:val="auto"/>
              </w:rPr>
            </w:pPr>
          </w:p>
        </w:tc>
      </w:tr>
      <w:tr>
        <w:trPr>
          <w:trHeight w:val="219"/>
        </w:trPr>
        <w:tc>
          <w:tcPr>
            <w:tcW w:w="404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7200" w:type="dxa"/>
            <w:vAlign w:val="bottom"/>
          </w:tcPr>
          <w:p>
            <w:pPr>
              <w:jc w:val="center"/>
              <w:ind w:left="2719"/>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7200" w:type="dxa"/>
            <w:vAlign w:val="bottom"/>
            <w:shd w:val="clear" w:color="auto" w:fill="CCEEFF"/>
          </w:tcPr>
          <w:p>
            <w:pPr>
              <w:jc w:val="center"/>
              <w:ind w:left="2719"/>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19"/>
        </w:trPr>
        <w:tc>
          <w:tcPr>
            <w:tcW w:w="404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7200" w:type="dxa"/>
            <w:vAlign w:val="bottom"/>
          </w:tcPr>
          <w:p>
            <w:pPr>
              <w:jc w:val="center"/>
              <w:ind w:left="2719"/>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7200" w:type="dxa"/>
            <w:vAlign w:val="bottom"/>
            <w:shd w:val="clear" w:color="auto" w:fill="CCEEFF"/>
          </w:tcPr>
          <w:p>
            <w:pPr>
              <w:jc w:val="center"/>
              <w:ind w:left="2719"/>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100" w:firstLine="618"/>
        <w:spacing w:after="0" w:line="271" w:lineRule="auto"/>
        <w:rPr>
          <w:sz w:val="20"/>
          <w:szCs w:val="20"/>
          <w:color w:val="auto"/>
        </w:rPr>
      </w:pPr>
      <w:r>
        <w:rPr>
          <w:rFonts w:ascii="Arial" w:cs="Arial" w:eastAsia="Arial" w:hAnsi="Arial"/>
          <w:sz w:val="17"/>
          <w:szCs w:val="17"/>
          <w:color w:val="auto"/>
        </w:rPr>
        <w:t>For the 2025-2027 performance period, the Compensation Committee recommended, and the Board approved, targets for EBITDA and ROIC for the Long-Term Plan performance metrics as it has done in the past, while taking into account tariffs in certain circumstances and whether a pending acquisition closes and certain nonoperating expenses related thereto and otherwise.</w:t>
      </w:r>
    </w:p>
    <w:p>
      <w:pPr>
        <w:spacing w:after="0" w:line="188" w:lineRule="exact"/>
        <w:rPr>
          <w:sz w:val="20"/>
          <w:szCs w:val="20"/>
          <w:color w:val="auto"/>
        </w:rPr>
      </w:pPr>
    </w:p>
    <w:p>
      <w:pPr>
        <w:jc w:val="both"/>
        <w:ind w:right="100" w:firstLine="618"/>
        <w:spacing w:after="0" w:line="265" w:lineRule="auto"/>
        <w:rPr>
          <w:sz w:val="20"/>
          <w:szCs w:val="20"/>
          <w:color w:val="auto"/>
        </w:rPr>
      </w:pPr>
      <w:r>
        <w:rPr>
          <w:rFonts w:ascii="Arial" w:cs="Arial" w:eastAsia="Arial" w:hAnsi="Arial"/>
          <w:sz w:val="17"/>
          <w:szCs w:val="17"/>
          <w:color w:val="auto"/>
        </w:rPr>
        <w:t>Achievement at threshold performance yields 50% of the target award and achievement of the maximum performance yields another 100% of the target award. Actual performance is compared to the established threshold, target, or maximum, as applicable, for an applicable performance objective, to the extent actual performance does not meet or exceed the established threshold, target, or maximum, as applicable, linear interpolation is used to determine the pro rata portion of such award.</w:t>
      </w:r>
    </w:p>
    <w:p>
      <w:pPr>
        <w:spacing w:after="0" w:line="193" w:lineRule="exact"/>
        <w:rPr>
          <w:sz w:val="20"/>
          <w:szCs w:val="20"/>
          <w:color w:val="auto"/>
        </w:rPr>
      </w:pPr>
    </w:p>
    <w:p>
      <w:pPr>
        <w:jc w:val="both"/>
        <w:ind w:right="100" w:firstLine="618"/>
        <w:spacing w:after="0" w:line="265" w:lineRule="auto"/>
        <w:rPr>
          <w:sz w:val="20"/>
          <w:szCs w:val="20"/>
          <w:color w:val="auto"/>
        </w:rPr>
      </w:pPr>
      <w:r>
        <w:rPr>
          <w:rFonts w:ascii="Arial" w:cs="Arial" w:eastAsia="Arial" w:hAnsi="Arial"/>
          <w:sz w:val="17"/>
          <w:szCs w:val="17"/>
          <w:color w:val="auto"/>
        </w:rPr>
        <w:t>Seventy percent (70%) of the total value of the target long-term incentive opportunity is delivered through performance share awards (PSAs) and the other thirty percent (30%) through restricted stock (RS). Both PSAs and RS are forms of performance-based incentive compensation because PSAs involve performance objectives that provide direct alignment with shareholder interests and the value of RS fluctuates based on stock price performance.</w:t>
      </w:r>
    </w:p>
    <w:p>
      <w:pPr>
        <w:spacing w:after="0" w:line="193" w:lineRule="exact"/>
        <w:rPr>
          <w:sz w:val="20"/>
          <w:szCs w:val="20"/>
          <w:color w:val="auto"/>
        </w:rPr>
      </w:pPr>
    </w:p>
    <w:p>
      <w:pPr>
        <w:jc w:val="both"/>
        <w:ind w:right="100" w:firstLine="618"/>
        <w:spacing w:after="0" w:line="271" w:lineRule="auto"/>
        <w:rPr>
          <w:sz w:val="20"/>
          <w:szCs w:val="20"/>
          <w:color w:val="auto"/>
        </w:rPr>
      </w:pPr>
      <w:r>
        <w:rPr>
          <w:rFonts w:ascii="Arial" w:cs="Arial" w:eastAsia="Arial" w:hAnsi="Arial"/>
          <w:sz w:val="17"/>
          <w:szCs w:val="17"/>
          <w:color w:val="auto"/>
        </w:rPr>
        <w:t>In addition to requiring achievement of performance objectives in respect of PSAs, PSAs and RS require the executive officers to remain employed with the Company for three years from the grant date (unless the executive officer attains retirement age, departs for good reason, dies, or becomes disabled or a change in control occurs whereby an award may be paid or partially paid).</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u w:val="single" w:color="auto"/>
          <w:color w:val="auto"/>
        </w:rPr>
        <w:t>Performance Shares</w:t>
      </w:r>
    </w:p>
    <w:p>
      <w:pPr>
        <w:spacing w:after="0" w:line="242" w:lineRule="exact"/>
        <w:rPr>
          <w:sz w:val="20"/>
          <w:szCs w:val="20"/>
          <w:color w:val="auto"/>
        </w:rPr>
      </w:pPr>
    </w:p>
    <w:p>
      <w:pPr>
        <w:jc w:val="both"/>
        <w:ind w:right="100" w:firstLine="618"/>
        <w:spacing w:after="0" w:line="265" w:lineRule="auto"/>
        <w:rPr>
          <w:sz w:val="20"/>
          <w:szCs w:val="20"/>
          <w:color w:val="auto"/>
        </w:rPr>
      </w:pPr>
      <w:r>
        <w:rPr>
          <w:rFonts w:ascii="Arial" w:cs="Arial" w:eastAsia="Arial" w:hAnsi="Arial"/>
          <w:sz w:val="17"/>
          <w:szCs w:val="17"/>
          <w:color w:val="auto"/>
        </w:rPr>
        <w:t>The Long-Term Plan is designed to provide PSAs for officers, including our named executive officers. PSAs are tied to the achievement of two performance objectives, each weighted equally: EBITDA and ROIC. Each performance objective is based on a three-year performance period (2024-2026) with a performance range that can result in PSAs of 0% for failure to achieve threshold, 50% of target for achieving threshold, to 200% of the target opportunity for achieving maximum.</w:t>
      </w:r>
    </w:p>
    <w:p>
      <w:pPr>
        <w:spacing w:after="0" w:line="193" w:lineRule="exact"/>
        <w:rPr>
          <w:sz w:val="20"/>
          <w:szCs w:val="20"/>
          <w:color w:val="auto"/>
        </w:rPr>
      </w:pPr>
    </w:p>
    <w:p>
      <w:pPr>
        <w:jc w:val="both"/>
        <w:ind w:right="100" w:firstLine="618"/>
        <w:spacing w:after="0" w:line="289" w:lineRule="auto"/>
        <w:rPr>
          <w:sz w:val="20"/>
          <w:szCs w:val="20"/>
          <w:color w:val="auto"/>
        </w:rPr>
      </w:pPr>
      <w:r>
        <w:rPr>
          <w:rFonts w:ascii="Arial" w:cs="Arial" w:eastAsia="Arial" w:hAnsi="Arial"/>
          <w:sz w:val="17"/>
          <w:szCs w:val="17"/>
          <w:color w:val="auto"/>
        </w:rPr>
        <w:t>EBITDA drives the ability to commit resources to continued growth, but is also a measure of ability to provide shareholder return. It also drives profitable sales growth and helps optimize the Company's cost structure.</w:t>
      </w:r>
    </w:p>
    <w:p>
      <w:pPr>
        <w:spacing w:after="0" w:line="200" w:lineRule="exact"/>
        <w:rPr>
          <w:sz w:val="20"/>
          <w:szCs w:val="20"/>
          <w:color w:val="auto"/>
        </w:rPr>
      </w:pPr>
    </w:p>
    <w:p>
      <w:pPr>
        <w:spacing w:after="0" w:line="26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83" w:right="239" w:bottom="1440" w:gutter="0" w:footer="0" w:header="0"/>
        </w:sectPr>
      </w:pPr>
    </w:p>
    <w:bookmarkStart w:id="29" w:name="page30"/>
    <w:bookmarkEnd w:id="29"/>
    <w:p>
      <w:pPr>
        <w:jc w:val="both"/>
        <w:ind w:right="100"/>
        <w:spacing w:after="0" w:line="271" w:lineRule="auto"/>
        <w:rPr>
          <w:sz w:val="20"/>
          <w:szCs w:val="20"/>
          <w:color w:val="auto"/>
        </w:rPr>
      </w:pPr>
      <w:r>
        <w:rPr>
          <w:rFonts w:ascii="Arial" w:cs="Arial" w:eastAsia="Arial" w:hAnsi="Arial"/>
          <w:sz w:val="17"/>
          <w:szCs w:val="17"/>
          <w:color w:val="auto"/>
        </w:rPr>
        <w:t>ROIC ensures management uses the Company's capital in an effective manner that drives shareholder value. Since the value of PSAs is tied to the Company's actual performance in financial objectives, it aligns the officers' interests with those of shareholders. The target opportunities of PSAs awarded in 2024 for the NEOs are shown in the table below:</w:t>
      </w:r>
    </w:p>
    <w:p>
      <w:pPr>
        <w:spacing w:after="0" w:line="214"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Executive Officer</w:t>
            </w:r>
          </w:p>
        </w:tc>
        <w:tc>
          <w:tcPr>
            <w:tcW w:w="5920" w:type="dxa"/>
            <w:vAlign w:val="bottom"/>
          </w:tcPr>
          <w:p>
            <w:pPr>
              <w:jc w:val="right"/>
              <w:spacing w:after="0"/>
              <w:rPr>
                <w:sz w:val="20"/>
                <w:szCs w:val="20"/>
                <w:color w:val="auto"/>
              </w:rPr>
            </w:pPr>
            <w:r>
              <w:rPr>
                <w:rFonts w:ascii="Arial" w:cs="Arial" w:eastAsia="Arial" w:hAnsi="Arial"/>
                <w:sz w:val="14"/>
                <w:szCs w:val="14"/>
                <w:b w:val="1"/>
                <w:bCs w:val="1"/>
                <w:color w:val="auto"/>
              </w:rPr>
              <w:t>Number of PSAs awarded in 2024 (</w:t>
            </w:r>
          </w:p>
        </w:tc>
        <w:tc>
          <w:tcPr>
            <w:tcW w:w="0" w:type="dxa"/>
            <w:vAlign w:val="bottom"/>
          </w:tcPr>
          <w:p>
            <w:pPr>
              <w:spacing w:after="0"/>
              <w:rPr>
                <w:sz w:val="1"/>
                <w:szCs w:val="1"/>
                <w:color w:val="auto"/>
              </w:rPr>
            </w:pPr>
          </w:p>
        </w:tc>
      </w:tr>
      <w:tr>
        <w:trPr>
          <w:trHeight w:val="177"/>
        </w:trPr>
        <w:tc>
          <w:tcPr>
            <w:tcW w:w="4800" w:type="dxa"/>
            <w:vAlign w:val="bottom"/>
            <w:tcBorders>
              <w:bottom w:val="single" w:sz="8" w:color="auto"/>
            </w:tcBorders>
            <w:vMerge w:val="continue"/>
          </w:tcPr>
          <w:p>
            <w:pPr>
              <w:spacing w:after="0"/>
              <w:rPr>
                <w:sz w:val="15"/>
                <w:szCs w:val="15"/>
                <w:color w:val="auto"/>
              </w:rPr>
            </w:pPr>
          </w:p>
        </w:tc>
        <w:tc>
          <w:tcPr>
            <w:tcW w:w="59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for 2024-2026</w:t>
            </w: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5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9"/>
        </w:trPr>
        <w:tc>
          <w:tcPr>
            <w:tcW w:w="480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592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5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9"/>
        </w:trPr>
        <w:tc>
          <w:tcPr>
            <w:tcW w:w="480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59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5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u w:val="single" w:color="auto"/>
          <w:color w:val="auto"/>
        </w:rPr>
        <w:t>Restricted Stock Awards</w:t>
      </w:r>
    </w:p>
    <w:p>
      <w:pPr>
        <w:spacing w:after="0" w:line="242" w:lineRule="exact"/>
        <w:rPr>
          <w:sz w:val="20"/>
          <w:szCs w:val="20"/>
          <w:color w:val="auto"/>
        </w:rPr>
      </w:pPr>
    </w:p>
    <w:p>
      <w:pPr>
        <w:jc w:val="both"/>
        <w:ind w:right="100" w:firstLine="618"/>
        <w:spacing w:after="0" w:line="265" w:lineRule="auto"/>
        <w:rPr>
          <w:sz w:val="20"/>
          <w:szCs w:val="20"/>
          <w:color w:val="auto"/>
        </w:rPr>
      </w:pPr>
      <w:r>
        <w:rPr>
          <w:rFonts w:ascii="Arial" w:cs="Arial" w:eastAsia="Arial" w:hAnsi="Arial"/>
          <w:sz w:val="17"/>
          <w:szCs w:val="17"/>
          <w:color w:val="auto"/>
        </w:rPr>
        <w:t>The other 30% of the total value of the long-term incentive opportunity consists of RS awards. RS incentivizes and rewards executives for improving long-term stock value and serves as a retention tool. Under the Long-Term Plan, RS will generally be granted in February to officers, including our NEOs, and cliff vest on the third anniversary of the grant. The RS awarded in 2024, based on the target opportunities, for the executive officers are shown in the table below:</w:t>
      </w:r>
    </w:p>
    <w:tbl>
      <w:tblPr>
        <w:tblLayout w:type="fixed"/>
        <w:tblInd w:w="0" w:type="dxa"/>
        <w:tblCellMar>
          <w:top w:w="0" w:type="dxa"/>
          <w:left w:w="0" w:type="dxa"/>
          <w:bottom w:w="0" w:type="dxa"/>
          <w:right w:w="0" w:type="dxa"/>
        </w:tblCellMar>
      </w:tblPr>
      <w:tr>
        <w:trPr>
          <w:trHeight w:val="145"/>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Executive Officer</w:t>
            </w:r>
          </w:p>
        </w:tc>
        <w:tc>
          <w:tcPr>
            <w:tcW w:w="6420" w:type="dxa"/>
            <w:vAlign w:val="bottom"/>
          </w:tcPr>
          <w:p>
            <w:pPr>
              <w:jc w:val="right"/>
              <w:ind w:right="59"/>
              <w:spacing w:after="0" w:line="145" w:lineRule="exact"/>
              <w:rPr>
                <w:sz w:val="20"/>
                <w:szCs w:val="20"/>
                <w:color w:val="auto"/>
              </w:rPr>
            </w:pPr>
            <w:r>
              <w:rPr>
                <w:rFonts w:ascii="Arial" w:cs="Arial" w:eastAsia="Arial" w:hAnsi="Arial"/>
                <w:sz w:val="14"/>
                <w:szCs w:val="14"/>
                <w:b w:val="1"/>
                <w:bCs w:val="1"/>
                <w:color w:val="auto"/>
              </w:rPr>
              <w:t>Number of RS Awarded in 2024 for 2024-</w:t>
            </w:r>
          </w:p>
        </w:tc>
        <w:tc>
          <w:tcPr>
            <w:tcW w:w="0" w:type="dxa"/>
            <w:vAlign w:val="bottom"/>
          </w:tcPr>
          <w:p>
            <w:pPr>
              <w:spacing w:after="0"/>
              <w:rPr>
                <w:sz w:val="1"/>
                <w:szCs w:val="1"/>
                <w:color w:val="auto"/>
              </w:rPr>
            </w:pPr>
          </w:p>
        </w:tc>
      </w:tr>
      <w:tr>
        <w:trPr>
          <w:trHeight w:val="180"/>
        </w:trPr>
        <w:tc>
          <w:tcPr>
            <w:tcW w:w="4820" w:type="dxa"/>
            <w:vAlign w:val="bottom"/>
            <w:tcBorders>
              <w:bottom w:val="single" w:sz="8" w:color="auto"/>
            </w:tcBorders>
            <w:vMerge w:val="continue"/>
          </w:tcPr>
          <w:p>
            <w:pPr>
              <w:spacing w:after="0"/>
              <w:rPr>
                <w:sz w:val="15"/>
                <w:szCs w:val="15"/>
                <w:color w:val="auto"/>
              </w:rPr>
            </w:pPr>
          </w:p>
        </w:tc>
        <w:tc>
          <w:tcPr>
            <w:tcW w:w="6420" w:type="dxa"/>
            <w:vAlign w:val="bottom"/>
            <w:tcBorders>
              <w:bottom w:val="single" w:sz="8" w:color="auto"/>
            </w:tcBorders>
          </w:tcPr>
          <w:p>
            <w:pPr>
              <w:jc w:val="right"/>
              <w:ind w:right="1239"/>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6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29,150</w:t>
            </w:r>
          </w:p>
        </w:tc>
        <w:tc>
          <w:tcPr>
            <w:tcW w:w="0" w:type="dxa"/>
            <w:vAlign w:val="bottom"/>
          </w:tcPr>
          <w:p>
            <w:pPr>
              <w:spacing w:after="0"/>
              <w:rPr>
                <w:sz w:val="1"/>
                <w:szCs w:val="1"/>
                <w:color w:val="auto"/>
              </w:rPr>
            </w:pPr>
          </w:p>
        </w:tc>
      </w:tr>
      <w:tr>
        <w:trPr>
          <w:trHeight w:val="219"/>
        </w:trPr>
        <w:tc>
          <w:tcPr>
            <w:tcW w:w="482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6420" w:type="dxa"/>
            <w:vAlign w:val="bottom"/>
          </w:tcPr>
          <w:p>
            <w:pPr>
              <w:jc w:val="right"/>
              <w:spacing w:after="0"/>
              <w:rPr>
                <w:sz w:val="20"/>
                <w:szCs w:val="20"/>
                <w:color w:val="auto"/>
              </w:rPr>
            </w:pPr>
            <w:r>
              <w:rPr>
                <w:rFonts w:ascii="Arial" w:cs="Arial" w:eastAsia="Arial" w:hAnsi="Arial"/>
                <w:sz w:val="17"/>
                <w:szCs w:val="17"/>
                <w:color w:val="auto"/>
              </w:rPr>
              <w:t>9,476</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6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9,146</w:t>
            </w:r>
          </w:p>
        </w:tc>
        <w:tc>
          <w:tcPr>
            <w:tcW w:w="0" w:type="dxa"/>
            <w:vAlign w:val="bottom"/>
          </w:tcPr>
          <w:p>
            <w:pPr>
              <w:spacing w:after="0"/>
              <w:rPr>
                <w:sz w:val="1"/>
                <w:szCs w:val="1"/>
                <w:color w:val="auto"/>
              </w:rPr>
            </w:pPr>
          </w:p>
        </w:tc>
      </w:tr>
      <w:tr>
        <w:trPr>
          <w:trHeight w:val="219"/>
        </w:trPr>
        <w:tc>
          <w:tcPr>
            <w:tcW w:w="482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6420" w:type="dxa"/>
            <w:vAlign w:val="bottom"/>
          </w:tcPr>
          <w:p>
            <w:pPr>
              <w:jc w:val="right"/>
              <w:spacing w:after="0"/>
              <w:rPr>
                <w:sz w:val="20"/>
                <w:szCs w:val="20"/>
                <w:color w:val="auto"/>
              </w:rPr>
            </w:pPr>
            <w:r>
              <w:rPr>
                <w:rFonts w:ascii="Arial" w:cs="Arial" w:eastAsia="Arial" w:hAnsi="Arial"/>
                <w:sz w:val="17"/>
                <w:szCs w:val="17"/>
                <w:color w:val="auto"/>
              </w:rPr>
              <w:t>6,628</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6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6,075</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2022-2024 Long-Term Plan Performance (three-year performance period ending December 31, 2024)</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December 31, 2024, marked the end of the three-year performance period for PSA and RS Long-Term Plan awards made in February</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2022.</w:t>
      </w:r>
    </w:p>
    <w:p>
      <w:pPr>
        <w:spacing w:after="0" w:line="22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u w:val="single" w:color="auto"/>
          <w:color w:val="auto"/>
        </w:rPr>
        <w:t>Performance Share Awards</w:t>
      </w:r>
    </w:p>
    <w:p>
      <w:pPr>
        <w:spacing w:after="0" w:line="242" w:lineRule="exact"/>
        <w:rPr>
          <w:sz w:val="20"/>
          <w:szCs w:val="20"/>
          <w:color w:val="auto"/>
        </w:rPr>
      </w:pPr>
    </w:p>
    <w:p>
      <w:pPr>
        <w:jc w:val="both"/>
        <w:ind w:right="100" w:firstLine="618"/>
        <w:spacing w:after="0" w:line="260" w:lineRule="auto"/>
        <w:rPr>
          <w:sz w:val="20"/>
          <w:szCs w:val="20"/>
          <w:color w:val="auto"/>
        </w:rPr>
      </w:pPr>
      <w:r>
        <w:rPr>
          <w:rFonts w:ascii="Arial" w:cs="Arial" w:eastAsia="Arial" w:hAnsi="Arial"/>
          <w:sz w:val="17"/>
          <w:szCs w:val="17"/>
          <w:color w:val="auto"/>
        </w:rPr>
        <w:t>The performance metrics, targets and performance payout ranges for these awards were set and approved by the Compensation Committee and the Board in February 2022. Consistent with the Long-Term Plan, incentive could be earned by the officers based on performance associated with two equally weighted metrics, EBITDA and ROIC, in each case adjusted as recommended by the Compensation Committee, and approved by the Board, both measured cumulatively over the three-year performance period. The target levels of achievement for the EBITDA and the ROIC were established to align with financial goals set at the beginning of the three-year performance period for the years 2022 through 2024. The table below summarizes the results of the 2022-2024 performance period relative to target and the achievement level of the 2022-2024 PSAs: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Performance Metric</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Weight</w:t>
            </w:r>
          </w:p>
        </w:tc>
        <w:tc>
          <w:tcPr>
            <w:tcW w:w="158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rPr>
              <w:t>Threshold*</w:t>
            </w:r>
          </w:p>
        </w:tc>
        <w:tc>
          <w:tcPr>
            <w:tcW w:w="1300" w:type="dxa"/>
            <w:vAlign w:val="bottom"/>
            <w:vMerge w:val="restart"/>
          </w:tcPr>
          <w:p>
            <w:pPr>
              <w:jc w:val="right"/>
              <w:ind w:right="520"/>
              <w:spacing w:after="0"/>
              <w:rPr>
                <w:sz w:val="20"/>
                <w:szCs w:val="20"/>
                <w:color w:val="auto"/>
              </w:rPr>
            </w:pPr>
            <w:r>
              <w:rPr>
                <w:rFonts w:ascii="Arial" w:cs="Arial" w:eastAsia="Arial" w:hAnsi="Arial"/>
                <w:sz w:val="14"/>
                <w:szCs w:val="14"/>
                <w:b w:val="1"/>
                <w:bCs w:val="1"/>
                <w:color w:val="auto"/>
              </w:rPr>
              <w:t>Target*</w:t>
            </w:r>
          </w:p>
        </w:tc>
        <w:tc>
          <w:tcPr>
            <w:tcW w:w="132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Maximum*</w:t>
            </w:r>
          </w:p>
        </w:tc>
        <w:tc>
          <w:tcPr>
            <w:tcW w:w="1340" w:type="dxa"/>
            <w:vAlign w:val="bottom"/>
          </w:tcPr>
          <w:p>
            <w:pPr>
              <w:jc w:val="right"/>
              <w:ind w:right="483"/>
              <w:spacing w:after="0"/>
              <w:rPr>
                <w:sz w:val="20"/>
                <w:szCs w:val="20"/>
                <w:color w:val="auto"/>
              </w:rPr>
            </w:pPr>
            <w:r>
              <w:rPr>
                <w:rFonts w:ascii="Arial" w:cs="Arial" w:eastAsia="Arial" w:hAnsi="Arial"/>
                <w:sz w:val="14"/>
                <w:szCs w:val="14"/>
                <w:b w:val="1"/>
                <w:bCs w:val="1"/>
                <w:color w:val="auto"/>
              </w:rPr>
              <w:t>Actual</w:t>
            </w:r>
          </w:p>
        </w:tc>
        <w:tc>
          <w:tcPr>
            <w:tcW w:w="1400" w:type="dxa"/>
            <w:vAlign w:val="bottom"/>
          </w:tcPr>
          <w:p>
            <w:pPr>
              <w:jc w:val="right"/>
              <w:ind w:right="223"/>
              <w:spacing w:after="0"/>
              <w:rPr>
                <w:sz w:val="20"/>
                <w:szCs w:val="20"/>
                <w:color w:val="auto"/>
              </w:rPr>
            </w:pPr>
            <w:r>
              <w:rPr>
                <w:rFonts w:ascii="Arial" w:cs="Arial" w:eastAsia="Arial" w:hAnsi="Arial"/>
                <w:sz w:val="14"/>
                <w:szCs w:val="14"/>
                <w:b w:val="1"/>
                <w:bCs w:val="1"/>
                <w:color w:val="auto"/>
              </w:rPr>
              <w:t>Performance to</w:t>
            </w:r>
          </w:p>
        </w:tc>
        <w:tc>
          <w:tcPr>
            <w:tcW w:w="1240" w:type="dxa"/>
            <w:vAlign w:val="bottom"/>
          </w:tcPr>
          <w:p>
            <w:pPr>
              <w:jc w:val="right"/>
              <w:ind w:right="283"/>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7"/>
        </w:trPr>
        <w:tc>
          <w:tcPr>
            <w:tcW w:w="192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3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Performance*</w:t>
            </w:r>
          </w:p>
        </w:tc>
        <w:tc>
          <w:tcPr>
            <w:tcW w:w="14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Target</w:t>
            </w:r>
          </w:p>
        </w:tc>
        <w:tc>
          <w:tcPr>
            <w:tcW w:w="12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212"/>
        </w:trPr>
        <w:tc>
          <w:tcPr>
            <w:tcW w:w="1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EBITDA</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50%</w:t>
            </w:r>
          </w:p>
        </w:tc>
        <w:tc>
          <w:tcPr>
            <w:tcW w:w="158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rPr>
              <w:t>$1,310,720</w:t>
            </w: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$1,747,627</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$2,184,534</w:t>
            </w: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$1,610,066</w:t>
            </w:r>
          </w:p>
        </w:tc>
        <w:tc>
          <w:tcPr>
            <w:tcW w:w="1400" w:type="dxa"/>
            <w:vAlign w:val="bottom"/>
            <w:shd w:val="clear" w:color="auto" w:fill="CCEEFF"/>
          </w:tcPr>
          <w:p>
            <w:pPr>
              <w:jc w:val="right"/>
              <w:ind w:right="63"/>
              <w:spacing w:after="0"/>
              <w:rPr>
                <w:sz w:val="20"/>
                <w:szCs w:val="20"/>
                <w:color w:val="auto"/>
              </w:rPr>
            </w:pPr>
            <w:r>
              <w:rPr>
                <w:rFonts w:ascii="Arial" w:cs="Arial" w:eastAsia="Arial" w:hAnsi="Arial"/>
                <w:sz w:val="17"/>
                <w:szCs w:val="17"/>
                <w:color w:val="auto"/>
              </w:rPr>
              <w:t>84.26 %</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42.13 %</w:t>
            </w:r>
          </w:p>
        </w:tc>
        <w:tc>
          <w:tcPr>
            <w:tcW w:w="0" w:type="dxa"/>
            <w:vAlign w:val="bottom"/>
          </w:tcPr>
          <w:p>
            <w:pPr>
              <w:spacing w:after="0"/>
              <w:rPr>
                <w:sz w:val="1"/>
                <w:szCs w:val="1"/>
                <w:color w:val="auto"/>
              </w:rPr>
            </w:pPr>
          </w:p>
        </w:tc>
      </w:tr>
      <w:tr>
        <w:trPr>
          <w:trHeight w:val="225"/>
        </w:trPr>
        <w:tc>
          <w:tcPr>
            <w:tcW w:w="1920" w:type="dxa"/>
            <w:vAlign w:val="bottom"/>
          </w:tcPr>
          <w:p>
            <w:pPr>
              <w:ind w:left="20"/>
              <w:spacing w:after="0"/>
              <w:rPr>
                <w:sz w:val="20"/>
                <w:szCs w:val="20"/>
                <w:color w:val="auto"/>
              </w:rPr>
            </w:pPr>
            <w:r>
              <w:rPr>
                <w:rFonts w:ascii="Arial" w:cs="Arial" w:eastAsia="Arial" w:hAnsi="Arial"/>
                <w:sz w:val="17"/>
                <w:szCs w:val="17"/>
                <w:color w:val="auto"/>
              </w:rPr>
              <w:t>ROIC</w:t>
            </w:r>
          </w:p>
        </w:tc>
        <w:tc>
          <w:tcPr>
            <w:tcW w:w="1100" w:type="dxa"/>
            <w:vAlign w:val="bottom"/>
          </w:tcPr>
          <w:p>
            <w:pPr>
              <w:jc w:val="center"/>
              <w:spacing w:after="0"/>
              <w:rPr>
                <w:sz w:val="20"/>
                <w:szCs w:val="20"/>
                <w:color w:val="auto"/>
              </w:rPr>
            </w:pPr>
            <w:r>
              <w:rPr>
                <w:rFonts w:ascii="Arial" w:cs="Arial" w:eastAsia="Arial" w:hAnsi="Arial"/>
                <w:sz w:val="17"/>
                <w:szCs w:val="17"/>
                <w:color w:val="auto"/>
                <w:w w:val="99"/>
              </w:rPr>
              <w:t>50%</w:t>
            </w:r>
          </w:p>
        </w:tc>
        <w:tc>
          <w:tcPr>
            <w:tcW w:w="1580" w:type="dxa"/>
            <w:vAlign w:val="bottom"/>
          </w:tcPr>
          <w:p>
            <w:pPr>
              <w:jc w:val="right"/>
              <w:ind w:right="160"/>
              <w:spacing w:after="0"/>
              <w:rPr>
                <w:sz w:val="20"/>
                <w:szCs w:val="20"/>
                <w:color w:val="auto"/>
              </w:rPr>
            </w:pPr>
            <w:r>
              <w:rPr>
                <w:rFonts w:ascii="Arial" w:cs="Arial" w:eastAsia="Arial" w:hAnsi="Arial"/>
                <w:sz w:val="17"/>
                <w:szCs w:val="17"/>
                <w:color w:val="auto"/>
              </w:rPr>
              <w:t>33.08 %</w:t>
            </w:r>
          </w:p>
        </w:tc>
        <w:tc>
          <w:tcPr>
            <w:tcW w:w="1300" w:type="dxa"/>
            <w:vAlign w:val="bottom"/>
          </w:tcPr>
          <w:p>
            <w:pPr>
              <w:jc w:val="right"/>
              <w:ind w:right="100"/>
              <w:spacing w:after="0"/>
              <w:rPr>
                <w:sz w:val="20"/>
                <w:szCs w:val="20"/>
                <w:color w:val="auto"/>
              </w:rPr>
            </w:pPr>
            <w:r>
              <w:rPr>
                <w:rFonts w:ascii="Arial" w:cs="Arial" w:eastAsia="Arial" w:hAnsi="Arial"/>
                <w:sz w:val="17"/>
                <w:szCs w:val="17"/>
                <w:color w:val="auto"/>
              </w:rPr>
              <w:t>44.10 %</w:t>
            </w:r>
          </w:p>
        </w:tc>
        <w:tc>
          <w:tcPr>
            <w:tcW w:w="1320" w:type="dxa"/>
            <w:vAlign w:val="bottom"/>
          </w:tcPr>
          <w:p>
            <w:pPr>
              <w:jc w:val="right"/>
              <w:ind w:right="40"/>
              <w:spacing w:after="0"/>
              <w:rPr>
                <w:sz w:val="20"/>
                <w:szCs w:val="20"/>
                <w:color w:val="auto"/>
              </w:rPr>
            </w:pPr>
            <w:r>
              <w:rPr>
                <w:rFonts w:ascii="Arial" w:cs="Arial" w:eastAsia="Arial" w:hAnsi="Arial"/>
                <w:sz w:val="17"/>
                <w:szCs w:val="17"/>
                <w:color w:val="auto"/>
              </w:rPr>
              <w:t>55.13 %</w:t>
            </w:r>
          </w:p>
        </w:tc>
        <w:tc>
          <w:tcPr>
            <w:tcW w:w="1340" w:type="dxa"/>
            <w:vAlign w:val="bottom"/>
          </w:tcPr>
          <w:p>
            <w:pPr>
              <w:jc w:val="right"/>
              <w:ind w:right="23"/>
              <w:spacing w:after="0"/>
              <w:rPr>
                <w:sz w:val="20"/>
                <w:szCs w:val="20"/>
                <w:color w:val="auto"/>
              </w:rPr>
            </w:pPr>
            <w:r>
              <w:rPr>
                <w:rFonts w:ascii="Arial" w:cs="Arial" w:eastAsia="Arial" w:hAnsi="Arial"/>
                <w:sz w:val="17"/>
                <w:szCs w:val="17"/>
                <w:color w:val="auto"/>
              </w:rPr>
              <w:t>37.02 %</w:t>
            </w:r>
          </w:p>
        </w:tc>
        <w:tc>
          <w:tcPr>
            <w:tcW w:w="1400" w:type="dxa"/>
            <w:vAlign w:val="bottom"/>
          </w:tcPr>
          <w:p>
            <w:pPr>
              <w:jc w:val="right"/>
              <w:ind w:right="63"/>
              <w:spacing w:after="0"/>
              <w:rPr>
                <w:sz w:val="20"/>
                <w:szCs w:val="20"/>
                <w:color w:val="auto"/>
              </w:rPr>
            </w:pPr>
            <w:r>
              <w:rPr>
                <w:rFonts w:ascii="Arial" w:cs="Arial" w:eastAsia="Arial" w:hAnsi="Arial"/>
                <w:sz w:val="17"/>
                <w:szCs w:val="17"/>
                <w:color w:val="auto"/>
              </w:rPr>
              <w:t>67.90 %</w:t>
            </w:r>
          </w:p>
        </w:tc>
        <w:tc>
          <w:tcPr>
            <w:tcW w:w="1240" w:type="dxa"/>
            <w:vAlign w:val="bottom"/>
          </w:tcPr>
          <w:p>
            <w:pPr>
              <w:jc w:val="right"/>
              <w:spacing w:after="0"/>
              <w:rPr>
                <w:sz w:val="20"/>
                <w:szCs w:val="20"/>
                <w:color w:val="auto"/>
              </w:rPr>
            </w:pPr>
            <w:r>
              <w:rPr>
                <w:rFonts w:ascii="Arial" w:cs="Arial" w:eastAsia="Arial" w:hAnsi="Arial"/>
                <w:sz w:val="17"/>
                <w:szCs w:val="17"/>
                <w:color w:val="auto"/>
              </w:rPr>
              <w:t>33.95 %</w:t>
            </w: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right="100" w:firstLine="618"/>
        <w:spacing w:after="0" w:line="289" w:lineRule="auto"/>
        <w:rPr>
          <w:sz w:val="20"/>
          <w:szCs w:val="20"/>
          <w:color w:val="auto"/>
        </w:rPr>
      </w:pPr>
      <w:r>
        <w:rPr>
          <w:rFonts w:ascii="Arial" w:cs="Arial" w:eastAsia="Arial" w:hAnsi="Arial"/>
          <w:sz w:val="17"/>
          <w:szCs w:val="17"/>
          <w:color w:val="auto"/>
        </w:rPr>
        <w:t>The PSAs awarded in February 2022, based on target opportunity, along with the actual payout of PSAs to the executive officers, for the 2022-2024 performance period are reflected in the table below and include dividend equivalents assuming reinvestment of dividends.</w:t>
      </w:r>
    </w:p>
    <w:p>
      <w:pPr>
        <w:spacing w:after="0" w:line="200" w:lineRule="exact"/>
        <w:rPr>
          <w:sz w:val="20"/>
          <w:szCs w:val="20"/>
          <w:color w:val="auto"/>
        </w:rPr>
      </w:pPr>
    </w:p>
    <w:p>
      <w:pPr>
        <w:spacing w:after="0" w:line="26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57"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Executive Officer</w:t>
            </w:r>
          </w:p>
        </w:tc>
        <w:tc>
          <w:tcPr>
            <w:tcW w:w="5180" w:type="dxa"/>
            <w:vAlign w:val="bottom"/>
          </w:tcPr>
          <w:p>
            <w:pPr>
              <w:jc w:val="right"/>
              <w:ind w:right="199"/>
              <w:spacing w:after="0"/>
              <w:rPr>
                <w:sz w:val="20"/>
                <w:szCs w:val="20"/>
                <w:color w:val="auto"/>
              </w:rPr>
            </w:pPr>
            <w:r>
              <w:rPr>
                <w:rFonts w:ascii="Arial" w:cs="Arial" w:eastAsia="Arial" w:hAnsi="Arial"/>
                <w:sz w:val="14"/>
                <w:szCs w:val="14"/>
                <w:b w:val="1"/>
                <w:bCs w:val="1"/>
                <w:color w:val="auto"/>
              </w:rPr>
              <w:t>Number of PSAs Awarded in 2022 (Target)</w:t>
            </w:r>
          </w:p>
        </w:tc>
        <w:tc>
          <w:tcPr>
            <w:tcW w:w="274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2022-2024 PSAs Actual Payout</w:t>
            </w:r>
          </w:p>
        </w:tc>
        <w:tc>
          <w:tcPr>
            <w:tcW w:w="0" w:type="dxa"/>
            <w:vAlign w:val="bottom"/>
          </w:tcPr>
          <w:p>
            <w:pPr>
              <w:spacing w:after="0"/>
              <w:rPr>
                <w:sz w:val="1"/>
                <w:szCs w:val="1"/>
                <w:color w:val="auto"/>
              </w:rPr>
            </w:pPr>
          </w:p>
        </w:tc>
      </w:tr>
      <w:tr>
        <w:trPr>
          <w:trHeight w:val="177"/>
        </w:trPr>
        <w:tc>
          <w:tcPr>
            <w:tcW w:w="3320" w:type="dxa"/>
            <w:vAlign w:val="bottom"/>
            <w:tcBorders>
              <w:bottom w:val="single" w:sz="8" w:color="auto"/>
            </w:tcBorders>
            <w:vMerge w:val="continue"/>
          </w:tcPr>
          <w:p>
            <w:pPr>
              <w:spacing w:after="0"/>
              <w:rPr>
                <w:sz w:val="15"/>
                <w:szCs w:val="15"/>
                <w:color w:val="auto"/>
              </w:rPr>
            </w:pPr>
          </w:p>
        </w:tc>
        <w:tc>
          <w:tcPr>
            <w:tcW w:w="5180" w:type="dxa"/>
            <w:vAlign w:val="bottom"/>
            <w:tcBorders>
              <w:bottom w:val="single" w:sz="8" w:color="auto"/>
            </w:tcBorders>
          </w:tcPr>
          <w:p>
            <w:pPr>
              <w:jc w:val="right"/>
              <w:ind w:right="1139"/>
              <w:spacing w:after="0"/>
              <w:rPr>
                <w:sz w:val="20"/>
                <w:szCs w:val="20"/>
                <w:color w:val="auto"/>
              </w:rPr>
            </w:pPr>
            <w:r>
              <w:rPr>
                <w:rFonts w:ascii="Arial" w:cs="Arial" w:eastAsia="Arial" w:hAnsi="Arial"/>
                <w:sz w:val="14"/>
                <w:szCs w:val="14"/>
                <w:b w:val="1"/>
                <w:bCs w:val="1"/>
                <w:color w:val="auto"/>
              </w:rPr>
              <w:t>for 2022-2024</w:t>
            </w:r>
          </w:p>
        </w:tc>
        <w:tc>
          <w:tcPr>
            <w:tcW w:w="2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5180" w:type="dxa"/>
            <w:vAlign w:val="bottom"/>
            <w:shd w:val="clear" w:color="auto" w:fill="CCEEFF"/>
          </w:tcPr>
          <w:p>
            <w:pPr>
              <w:jc w:val="right"/>
              <w:ind w:right="179"/>
              <w:spacing w:after="0"/>
              <w:rPr>
                <w:sz w:val="20"/>
                <w:szCs w:val="20"/>
                <w:color w:val="auto"/>
              </w:rPr>
            </w:pPr>
            <w:r>
              <w:rPr>
                <w:rFonts w:ascii="Arial" w:cs="Arial" w:eastAsia="Arial" w:hAnsi="Arial"/>
                <w:sz w:val="17"/>
                <w:szCs w:val="17"/>
                <w:color w:val="auto"/>
              </w:rPr>
              <w:t>65,013</w:t>
            </w:r>
          </w:p>
        </w:tc>
        <w:tc>
          <w:tcPr>
            <w:tcW w:w="2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51,879</w:t>
            </w:r>
          </w:p>
        </w:tc>
        <w:tc>
          <w:tcPr>
            <w:tcW w:w="0" w:type="dxa"/>
            <w:vAlign w:val="bottom"/>
          </w:tcPr>
          <w:p>
            <w:pPr>
              <w:spacing w:after="0"/>
              <w:rPr>
                <w:sz w:val="1"/>
                <w:szCs w:val="1"/>
                <w:color w:val="auto"/>
              </w:rPr>
            </w:pPr>
          </w:p>
        </w:tc>
      </w:tr>
      <w:tr>
        <w:trPr>
          <w:trHeight w:val="219"/>
        </w:trPr>
        <w:tc>
          <w:tcPr>
            <w:tcW w:w="332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5180" w:type="dxa"/>
            <w:vAlign w:val="bottom"/>
          </w:tcPr>
          <w:p>
            <w:pPr>
              <w:jc w:val="right"/>
              <w:ind w:right="179"/>
              <w:spacing w:after="0"/>
              <w:rPr>
                <w:sz w:val="20"/>
                <w:szCs w:val="20"/>
                <w:color w:val="auto"/>
              </w:rPr>
            </w:pPr>
            <w:r>
              <w:rPr>
                <w:rFonts w:ascii="Arial" w:cs="Arial" w:eastAsia="Arial" w:hAnsi="Arial"/>
                <w:sz w:val="17"/>
                <w:szCs w:val="17"/>
                <w:color w:val="auto"/>
              </w:rPr>
              <w:t>16,393</w:t>
            </w:r>
          </w:p>
        </w:tc>
        <w:tc>
          <w:tcPr>
            <w:tcW w:w="2740" w:type="dxa"/>
            <w:vAlign w:val="bottom"/>
          </w:tcPr>
          <w:p>
            <w:pPr>
              <w:jc w:val="right"/>
              <w:spacing w:after="0"/>
              <w:rPr>
                <w:sz w:val="20"/>
                <w:szCs w:val="20"/>
                <w:color w:val="auto"/>
              </w:rPr>
            </w:pPr>
            <w:r>
              <w:rPr>
                <w:rFonts w:ascii="Arial" w:cs="Arial" w:eastAsia="Arial" w:hAnsi="Arial"/>
                <w:sz w:val="17"/>
                <w:szCs w:val="17"/>
                <w:color w:val="auto"/>
              </w:rPr>
              <w:t>13,086</w:t>
            </w:r>
          </w:p>
        </w:tc>
        <w:tc>
          <w:tcPr>
            <w:tcW w:w="0" w:type="dxa"/>
            <w:vAlign w:val="bottom"/>
          </w:tcPr>
          <w:p>
            <w:pPr>
              <w:spacing w:after="0"/>
              <w:rPr>
                <w:sz w:val="1"/>
                <w:szCs w:val="1"/>
                <w:color w:val="auto"/>
              </w:rPr>
            </w:pPr>
          </w:p>
        </w:tc>
      </w:tr>
      <w:tr>
        <w:trPr>
          <w:trHeight w:val="219"/>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5180" w:type="dxa"/>
            <w:vAlign w:val="bottom"/>
            <w:shd w:val="clear" w:color="auto" w:fill="CCEEFF"/>
          </w:tcPr>
          <w:p>
            <w:pPr>
              <w:jc w:val="right"/>
              <w:ind w:right="179"/>
              <w:spacing w:after="0"/>
              <w:rPr>
                <w:sz w:val="20"/>
                <w:szCs w:val="20"/>
                <w:color w:val="auto"/>
              </w:rPr>
            </w:pPr>
            <w:r>
              <w:rPr>
                <w:rFonts w:ascii="Arial" w:cs="Arial" w:eastAsia="Arial" w:hAnsi="Arial"/>
                <w:sz w:val="17"/>
                <w:szCs w:val="17"/>
                <w:color w:val="auto"/>
              </w:rPr>
              <w:t>19,566</w:t>
            </w:r>
          </w:p>
        </w:tc>
        <w:tc>
          <w:tcPr>
            <w:tcW w:w="2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15,618</w:t>
            </w:r>
          </w:p>
        </w:tc>
        <w:tc>
          <w:tcPr>
            <w:tcW w:w="0" w:type="dxa"/>
            <w:vAlign w:val="bottom"/>
          </w:tcPr>
          <w:p>
            <w:pPr>
              <w:spacing w:after="0"/>
              <w:rPr>
                <w:sz w:val="1"/>
                <w:szCs w:val="1"/>
                <w:color w:val="auto"/>
              </w:rPr>
            </w:pPr>
          </w:p>
        </w:tc>
      </w:tr>
      <w:tr>
        <w:trPr>
          <w:trHeight w:val="219"/>
        </w:trPr>
        <w:tc>
          <w:tcPr>
            <w:tcW w:w="332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5180" w:type="dxa"/>
            <w:vAlign w:val="bottom"/>
          </w:tcPr>
          <w:p>
            <w:pPr>
              <w:jc w:val="right"/>
              <w:ind w:right="179"/>
              <w:spacing w:after="0"/>
              <w:rPr>
                <w:sz w:val="20"/>
                <w:szCs w:val="20"/>
                <w:color w:val="auto"/>
              </w:rPr>
            </w:pPr>
            <w:r>
              <w:rPr>
                <w:rFonts w:ascii="Arial" w:cs="Arial" w:eastAsia="Arial" w:hAnsi="Arial"/>
                <w:sz w:val="17"/>
                <w:szCs w:val="17"/>
                <w:color w:val="auto"/>
              </w:rPr>
              <w:t>14,322</w:t>
            </w:r>
          </w:p>
        </w:tc>
        <w:tc>
          <w:tcPr>
            <w:tcW w:w="2740" w:type="dxa"/>
            <w:vAlign w:val="bottom"/>
          </w:tcPr>
          <w:p>
            <w:pPr>
              <w:jc w:val="right"/>
              <w:spacing w:after="0"/>
              <w:rPr>
                <w:sz w:val="20"/>
                <w:szCs w:val="20"/>
                <w:color w:val="auto"/>
              </w:rPr>
            </w:pPr>
            <w:r>
              <w:rPr>
                <w:rFonts w:ascii="Arial" w:cs="Arial" w:eastAsia="Arial" w:hAnsi="Arial"/>
                <w:sz w:val="17"/>
                <w:szCs w:val="17"/>
                <w:color w:val="auto"/>
              </w:rPr>
              <w:t>11,434</w:t>
            </w:r>
          </w:p>
        </w:tc>
        <w:tc>
          <w:tcPr>
            <w:tcW w:w="0" w:type="dxa"/>
            <w:vAlign w:val="bottom"/>
          </w:tcPr>
          <w:p>
            <w:pPr>
              <w:spacing w:after="0"/>
              <w:rPr>
                <w:sz w:val="1"/>
                <w:szCs w:val="1"/>
                <w:color w:val="auto"/>
              </w:rPr>
            </w:pPr>
          </w:p>
        </w:tc>
      </w:tr>
      <w:tr>
        <w:trPr>
          <w:trHeight w:val="219"/>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5180" w:type="dxa"/>
            <w:vAlign w:val="bottom"/>
            <w:shd w:val="clear" w:color="auto" w:fill="CCEEFF"/>
          </w:tcPr>
          <w:p>
            <w:pPr>
              <w:jc w:val="right"/>
              <w:ind w:right="179"/>
              <w:spacing w:after="0"/>
              <w:rPr>
                <w:sz w:val="20"/>
                <w:szCs w:val="20"/>
                <w:color w:val="auto"/>
              </w:rPr>
            </w:pPr>
            <w:r>
              <w:rPr>
                <w:rFonts w:ascii="Arial" w:cs="Arial" w:eastAsia="Arial" w:hAnsi="Arial"/>
                <w:sz w:val="17"/>
                <w:szCs w:val="17"/>
                <w:color w:val="auto"/>
              </w:rPr>
              <w:t>12,942</w:t>
            </w:r>
          </w:p>
        </w:tc>
        <w:tc>
          <w:tcPr>
            <w:tcW w:w="2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10,331</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u w:val="single" w:color="auto"/>
          <w:color w:val="auto"/>
        </w:rPr>
        <w:t>Restricted Stock</w:t>
      </w:r>
    </w:p>
    <w:p>
      <w:pPr>
        <w:spacing w:after="0" w:line="242" w:lineRule="exact"/>
        <w:rPr>
          <w:sz w:val="20"/>
          <w:szCs w:val="20"/>
          <w:color w:val="auto"/>
        </w:rPr>
      </w:pPr>
    </w:p>
    <w:p>
      <w:pPr>
        <w:jc w:val="both"/>
        <w:ind w:firstLine="618"/>
        <w:spacing w:after="0" w:line="289" w:lineRule="auto"/>
        <w:rPr>
          <w:sz w:val="20"/>
          <w:szCs w:val="20"/>
          <w:color w:val="auto"/>
        </w:rPr>
      </w:pPr>
      <w:r>
        <w:rPr>
          <w:rFonts w:ascii="Arial" w:cs="Arial" w:eastAsia="Arial" w:hAnsi="Arial"/>
          <w:sz w:val="17"/>
          <w:szCs w:val="17"/>
          <w:color w:val="auto"/>
        </w:rPr>
        <w:t>The RS awarded in February 2022, based on target opportunities, along with the actual payment of RS to executive officers, awarded for the 2022-2024 period are reflected in the table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Executive Officer</w:t>
            </w:r>
          </w:p>
        </w:tc>
        <w:tc>
          <w:tcPr>
            <w:tcW w:w="5240" w:type="dxa"/>
            <w:vAlign w:val="bottom"/>
          </w:tcPr>
          <w:p>
            <w:pPr>
              <w:jc w:val="right"/>
              <w:ind w:right="219"/>
              <w:spacing w:after="0"/>
              <w:rPr>
                <w:sz w:val="20"/>
                <w:szCs w:val="20"/>
                <w:color w:val="auto"/>
              </w:rPr>
            </w:pPr>
            <w:r>
              <w:rPr>
                <w:rFonts w:ascii="Arial" w:cs="Arial" w:eastAsia="Arial" w:hAnsi="Arial"/>
                <w:sz w:val="14"/>
                <w:szCs w:val="14"/>
                <w:b w:val="1"/>
                <w:bCs w:val="1"/>
                <w:color w:val="auto"/>
              </w:rPr>
              <w:t>Number of RS Awarded in 2022 (Target) for</w:t>
            </w:r>
          </w:p>
        </w:tc>
        <w:tc>
          <w:tcPr>
            <w:tcW w:w="270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2022-2024 RS Payout/Vesting</w:t>
            </w:r>
          </w:p>
        </w:tc>
        <w:tc>
          <w:tcPr>
            <w:tcW w:w="0" w:type="dxa"/>
            <w:vAlign w:val="bottom"/>
          </w:tcPr>
          <w:p>
            <w:pPr>
              <w:spacing w:after="0"/>
              <w:rPr>
                <w:sz w:val="1"/>
                <w:szCs w:val="1"/>
                <w:color w:val="auto"/>
              </w:rPr>
            </w:pPr>
          </w:p>
        </w:tc>
      </w:tr>
      <w:tr>
        <w:trPr>
          <w:trHeight w:val="180"/>
        </w:trPr>
        <w:tc>
          <w:tcPr>
            <w:tcW w:w="3300" w:type="dxa"/>
            <w:vAlign w:val="bottom"/>
            <w:tcBorders>
              <w:bottom w:val="single" w:sz="8" w:color="auto"/>
            </w:tcBorders>
            <w:vMerge w:val="continue"/>
          </w:tcPr>
          <w:p>
            <w:pPr>
              <w:spacing w:after="0"/>
              <w:rPr>
                <w:sz w:val="15"/>
                <w:szCs w:val="15"/>
                <w:color w:val="auto"/>
              </w:rPr>
            </w:pPr>
          </w:p>
        </w:tc>
        <w:tc>
          <w:tcPr>
            <w:tcW w:w="5240" w:type="dxa"/>
            <w:vAlign w:val="bottom"/>
            <w:tcBorders>
              <w:bottom w:val="single" w:sz="8" w:color="auto"/>
            </w:tcBorders>
          </w:tcPr>
          <w:p>
            <w:pPr>
              <w:jc w:val="right"/>
              <w:ind w:right="1299"/>
              <w:spacing w:after="0"/>
              <w:rPr>
                <w:sz w:val="20"/>
                <w:szCs w:val="20"/>
                <w:color w:val="auto"/>
              </w:rPr>
            </w:pPr>
            <w:r>
              <w:rPr>
                <w:rFonts w:ascii="Arial" w:cs="Arial" w:eastAsia="Arial" w:hAnsi="Arial"/>
                <w:sz w:val="14"/>
                <w:szCs w:val="14"/>
                <w:b w:val="1"/>
                <w:bCs w:val="1"/>
                <w:color w:val="auto"/>
              </w:rPr>
              <w:t>2022-2024</w:t>
            </w:r>
          </w:p>
        </w:tc>
        <w:tc>
          <w:tcPr>
            <w:tcW w:w="2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5240" w:type="dxa"/>
            <w:vAlign w:val="bottom"/>
            <w:shd w:val="clear" w:color="auto" w:fill="CCEEFF"/>
          </w:tcPr>
          <w:p>
            <w:pPr>
              <w:jc w:val="right"/>
              <w:ind w:right="219"/>
              <w:spacing w:after="0"/>
              <w:rPr>
                <w:sz w:val="20"/>
                <w:szCs w:val="20"/>
                <w:color w:val="auto"/>
              </w:rPr>
            </w:pPr>
            <w:r>
              <w:rPr>
                <w:rFonts w:ascii="Arial" w:cs="Arial" w:eastAsia="Arial" w:hAnsi="Arial"/>
                <w:sz w:val="17"/>
                <w:szCs w:val="17"/>
                <w:color w:val="auto"/>
              </w:rPr>
              <w:t>27,863</w:t>
            </w:r>
          </w:p>
        </w:tc>
        <w:tc>
          <w:tcPr>
            <w:tcW w:w="2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27,863</w:t>
            </w:r>
          </w:p>
        </w:tc>
        <w:tc>
          <w:tcPr>
            <w:tcW w:w="0" w:type="dxa"/>
            <w:vAlign w:val="bottom"/>
          </w:tcPr>
          <w:p>
            <w:pPr>
              <w:spacing w:after="0"/>
              <w:rPr>
                <w:sz w:val="1"/>
                <w:szCs w:val="1"/>
                <w:color w:val="auto"/>
              </w:rPr>
            </w:pPr>
          </w:p>
        </w:tc>
      </w:tr>
      <w:tr>
        <w:trPr>
          <w:trHeight w:val="219"/>
        </w:trPr>
        <w:tc>
          <w:tcPr>
            <w:tcW w:w="330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5240" w:type="dxa"/>
            <w:vAlign w:val="bottom"/>
          </w:tcPr>
          <w:p>
            <w:pPr>
              <w:jc w:val="right"/>
              <w:ind w:right="219"/>
              <w:spacing w:after="0"/>
              <w:rPr>
                <w:sz w:val="20"/>
                <w:szCs w:val="20"/>
                <w:color w:val="auto"/>
              </w:rPr>
            </w:pPr>
            <w:r>
              <w:rPr>
                <w:rFonts w:ascii="Arial" w:cs="Arial" w:eastAsia="Arial" w:hAnsi="Arial"/>
                <w:sz w:val="17"/>
                <w:szCs w:val="17"/>
                <w:color w:val="auto"/>
              </w:rPr>
              <w:t>7,026</w:t>
            </w:r>
          </w:p>
        </w:tc>
        <w:tc>
          <w:tcPr>
            <w:tcW w:w="2700" w:type="dxa"/>
            <w:vAlign w:val="bottom"/>
          </w:tcPr>
          <w:p>
            <w:pPr>
              <w:jc w:val="right"/>
              <w:spacing w:after="0"/>
              <w:rPr>
                <w:sz w:val="20"/>
                <w:szCs w:val="20"/>
                <w:color w:val="auto"/>
              </w:rPr>
            </w:pPr>
            <w:r>
              <w:rPr>
                <w:rFonts w:ascii="Arial" w:cs="Arial" w:eastAsia="Arial" w:hAnsi="Arial"/>
                <w:sz w:val="17"/>
                <w:szCs w:val="17"/>
                <w:color w:val="auto"/>
              </w:rPr>
              <w:t>7,026</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5240" w:type="dxa"/>
            <w:vAlign w:val="bottom"/>
            <w:shd w:val="clear" w:color="auto" w:fill="CCEEFF"/>
          </w:tcPr>
          <w:p>
            <w:pPr>
              <w:jc w:val="right"/>
              <w:ind w:right="219"/>
              <w:spacing w:after="0"/>
              <w:rPr>
                <w:sz w:val="20"/>
                <w:szCs w:val="20"/>
                <w:color w:val="auto"/>
              </w:rPr>
            </w:pPr>
            <w:r>
              <w:rPr>
                <w:rFonts w:ascii="Arial" w:cs="Arial" w:eastAsia="Arial" w:hAnsi="Arial"/>
                <w:sz w:val="17"/>
                <w:szCs w:val="17"/>
                <w:color w:val="auto"/>
              </w:rPr>
              <w:t>8,386</w:t>
            </w:r>
          </w:p>
        </w:tc>
        <w:tc>
          <w:tcPr>
            <w:tcW w:w="2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8,386</w:t>
            </w:r>
          </w:p>
        </w:tc>
        <w:tc>
          <w:tcPr>
            <w:tcW w:w="0" w:type="dxa"/>
            <w:vAlign w:val="bottom"/>
          </w:tcPr>
          <w:p>
            <w:pPr>
              <w:spacing w:after="0"/>
              <w:rPr>
                <w:sz w:val="1"/>
                <w:szCs w:val="1"/>
                <w:color w:val="auto"/>
              </w:rPr>
            </w:pPr>
          </w:p>
        </w:tc>
      </w:tr>
      <w:tr>
        <w:trPr>
          <w:trHeight w:val="219"/>
        </w:trPr>
        <w:tc>
          <w:tcPr>
            <w:tcW w:w="330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5240" w:type="dxa"/>
            <w:vAlign w:val="bottom"/>
          </w:tcPr>
          <w:p>
            <w:pPr>
              <w:jc w:val="right"/>
              <w:ind w:right="219"/>
              <w:spacing w:after="0"/>
              <w:rPr>
                <w:sz w:val="20"/>
                <w:szCs w:val="20"/>
                <w:color w:val="auto"/>
              </w:rPr>
            </w:pPr>
            <w:r>
              <w:rPr>
                <w:rFonts w:ascii="Arial" w:cs="Arial" w:eastAsia="Arial" w:hAnsi="Arial"/>
                <w:sz w:val="17"/>
                <w:szCs w:val="17"/>
                <w:color w:val="auto"/>
              </w:rPr>
              <w:t>6,138</w:t>
            </w:r>
          </w:p>
        </w:tc>
        <w:tc>
          <w:tcPr>
            <w:tcW w:w="2700" w:type="dxa"/>
            <w:vAlign w:val="bottom"/>
          </w:tcPr>
          <w:p>
            <w:pPr>
              <w:jc w:val="right"/>
              <w:spacing w:after="0"/>
              <w:rPr>
                <w:sz w:val="20"/>
                <w:szCs w:val="20"/>
                <w:color w:val="auto"/>
              </w:rPr>
            </w:pPr>
            <w:r>
              <w:rPr>
                <w:rFonts w:ascii="Arial" w:cs="Arial" w:eastAsia="Arial" w:hAnsi="Arial"/>
                <w:sz w:val="17"/>
                <w:szCs w:val="17"/>
                <w:color w:val="auto"/>
              </w:rPr>
              <w:t>6,138</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5240" w:type="dxa"/>
            <w:vAlign w:val="bottom"/>
            <w:shd w:val="clear" w:color="auto" w:fill="CCEEFF"/>
          </w:tcPr>
          <w:p>
            <w:pPr>
              <w:jc w:val="right"/>
              <w:ind w:right="219"/>
              <w:spacing w:after="0"/>
              <w:rPr>
                <w:sz w:val="20"/>
                <w:szCs w:val="20"/>
                <w:color w:val="auto"/>
              </w:rPr>
            </w:pPr>
            <w:r>
              <w:rPr>
                <w:rFonts w:ascii="Arial" w:cs="Arial" w:eastAsia="Arial" w:hAnsi="Arial"/>
                <w:sz w:val="17"/>
                <w:szCs w:val="17"/>
                <w:color w:val="auto"/>
              </w:rPr>
              <w:t>5,547</w:t>
            </w:r>
          </w:p>
        </w:tc>
        <w:tc>
          <w:tcPr>
            <w:tcW w:w="2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5,547</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18"/>
        <w:spacing w:after="0" w:line="289" w:lineRule="auto"/>
        <w:rPr>
          <w:sz w:val="20"/>
          <w:szCs w:val="20"/>
          <w:color w:val="auto"/>
        </w:rPr>
      </w:pPr>
      <w:r>
        <w:rPr>
          <w:rFonts w:ascii="Arial" w:cs="Arial" w:eastAsia="Arial" w:hAnsi="Arial"/>
          <w:sz w:val="17"/>
          <w:szCs w:val="17"/>
          <w:color w:val="auto"/>
        </w:rPr>
        <w:t>Since each executive officer awarded restricted stock in 2022 remained employed by the Company for three years from the grant date, each restricted stock awarded vested with such executive officers.</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Equity awards granted to our NEOs are shown in the "Grant of Plan-Based Awards" table and in the "Summary Compensation Table" below.</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Retirement and Deferred Compensation</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Each of the NEOs is eligible to participate in the following retirement and deferred compensation benefit plans:</w:t>
      </w:r>
    </w:p>
    <w:p>
      <w:pPr>
        <w:spacing w:after="0" w:line="242" w:lineRule="exact"/>
        <w:rPr>
          <w:sz w:val="20"/>
          <w:szCs w:val="20"/>
          <w:color w:val="auto"/>
        </w:rPr>
      </w:pPr>
    </w:p>
    <w:p>
      <w:pPr>
        <w:ind w:left="1240" w:hanging="310"/>
        <w:spacing w:after="0"/>
        <w:tabs>
          <w:tab w:leader="none" w:pos="1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Retirement Savings Plan</w:t>
      </w:r>
    </w:p>
    <w:p>
      <w:pPr>
        <w:spacing w:after="0" w:line="26" w:lineRule="exact"/>
        <w:rPr>
          <w:rFonts w:ascii="Arial" w:cs="Arial" w:eastAsia="Arial" w:hAnsi="Arial"/>
          <w:sz w:val="17"/>
          <w:szCs w:val="17"/>
          <w:color w:val="auto"/>
        </w:rPr>
      </w:pPr>
    </w:p>
    <w:p>
      <w:pPr>
        <w:ind w:left="1240" w:hanging="310"/>
        <w:spacing w:after="0"/>
        <w:tabs>
          <w:tab w:leader="none" w:pos="1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Deferred Compensation Plan</w:t>
      </w:r>
    </w:p>
    <w:p>
      <w:pPr>
        <w:spacing w:after="0" w:line="226" w:lineRule="exact"/>
        <w:rPr>
          <w:sz w:val="20"/>
          <w:szCs w:val="20"/>
          <w:color w:val="auto"/>
        </w:rPr>
      </w:pPr>
    </w:p>
    <w:p>
      <w:pPr>
        <w:jc w:val="both"/>
        <w:ind w:firstLine="618"/>
        <w:spacing w:after="0" w:line="268" w:lineRule="auto"/>
        <w:rPr>
          <w:sz w:val="20"/>
          <w:szCs w:val="20"/>
          <w:color w:val="auto"/>
        </w:rPr>
      </w:pPr>
      <w:r>
        <w:rPr>
          <w:rFonts w:ascii="Arial" w:cs="Arial" w:eastAsia="Arial" w:hAnsi="Arial"/>
          <w:sz w:val="17"/>
          <w:szCs w:val="17"/>
          <w:color w:val="auto"/>
        </w:rPr>
        <w:t>The Gentex Corporation Retirement Savings Plan is a tax-qualified, "safe harbor" 401(k) plan for our U.S.-based employees of the Company, including NEOs. Participants may elect to contribute a portion of their earnings to the plan each year. For 2024, we matched 100% on an employee's contributions up to 5% of compensation. The matching amounts for the NEOs are listed in the "Summary Compensation Table" in the Proxy Report.</w:t>
      </w:r>
    </w:p>
    <w:p>
      <w:pPr>
        <w:spacing w:after="0" w:line="200" w:lineRule="exact"/>
        <w:rPr>
          <w:sz w:val="20"/>
          <w:szCs w:val="20"/>
          <w:color w:val="auto"/>
        </w:rPr>
      </w:pPr>
    </w:p>
    <w:p>
      <w:pPr>
        <w:spacing w:after="0" w:line="201" w:lineRule="exact"/>
        <w:rPr>
          <w:sz w:val="20"/>
          <w:szCs w:val="20"/>
          <w:color w:val="auto"/>
        </w:rPr>
      </w:pPr>
    </w:p>
    <w:p>
      <w:pPr>
        <w:jc w:val="both"/>
        <w:ind w:firstLine="618"/>
        <w:spacing w:after="0" w:line="246" w:lineRule="auto"/>
        <w:rPr>
          <w:sz w:val="20"/>
          <w:szCs w:val="20"/>
          <w:color w:val="auto"/>
        </w:rPr>
      </w:pPr>
      <w:r>
        <w:rPr>
          <w:rFonts w:ascii="Arial" w:cs="Arial" w:eastAsia="Arial" w:hAnsi="Arial"/>
          <w:sz w:val="17"/>
          <w:szCs w:val="17"/>
          <w:color w:val="auto"/>
        </w:rPr>
        <w:t>The Gentex Corporation Non-Qualified Deferred Compensation Plan (the "Deferred Compensation Plan") provides a vehicle for key employees and officers to defer compensation on a tax-favored basis. The Deferred Compensation Plan is intended to enhance retirement savings among a select group of management and highly compensated employees who contribute significantly to the success of the Company. Only select management and highly compensated employees, including NEOs, are eligible to participate allowing them to elect, on a pre-tax basis, to defer receipt of certain compensation by making an election in accordance with the terms of the Deferred Compensation Plan. Participants are immediately vested in their own deferrals and related earnings. The Company may, but is not required, to match participant deferrals. Participants are generally vested in any such matching contributions 50% after two years but before three years of service and 100% after three years of service. A participant's vested credit balance will generally be paid on the earliest to occur of: a separation from service; a fixed date or event; a change of control; or a plan termination. A participant can elect in advance whether to receive his or her vested credit balance in a lump sum on the relevant payment date or in installments thereafter. The Deferred Compensation Plan maintains a "rabbi trust" to assist the Company in meeting its obligations under the Deferred Compensation Plan. The assets in such trust remain subject to the creditors of the Company and are not property of any participant. The Deferred Compensation Plan is intended to comply with Section 409A of the Internal Revenue Code.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31" w:name="page32"/>
    <w:bookmarkEnd w:id="31"/>
    <w:p>
      <w:pPr>
        <w:jc w:val="both"/>
        <w:ind w:firstLine="618"/>
        <w:spacing w:after="0" w:line="262" w:lineRule="auto"/>
        <w:rPr>
          <w:sz w:val="20"/>
          <w:szCs w:val="20"/>
          <w:color w:val="auto"/>
        </w:rPr>
      </w:pPr>
      <w:r>
        <w:rPr>
          <w:rFonts w:ascii="Arial" w:cs="Arial" w:eastAsia="Arial" w:hAnsi="Arial"/>
          <w:sz w:val="17"/>
          <w:szCs w:val="17"/>
          <w:color w:val="auto"/>
        </w:rPr>
        <w:t>In fiscal year 2024, participants were eligible to elect to defer up to 75% of their Annual Incentive Bonus and up to 50% of their base pay, any other incentive performance bonus, quarterly profit sharing bonus or look back performance bonus into the plan on a tax-deferral basis. For 2024, the Company elected to make discretionary company credit of 10% of contributions into all participants accounts. The deferral amount and the Company matching amounts for the NEOs are listed, respectively, in the "Summary Compensation Table" and the "Non-Qualified Deferred Compensation Table" each below.</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COMPENSATION DECISIONS ARE MADE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Role of the Compensation Committee and CEO</w:t>
      </w:r>
    </w:p>
    <w:p>
      <w:pPr>
        <w:spacing w:after="0" w:line="242" w:lineRule="exact"/>
        <w:rPr>
          <w:sz w:val="20"/>
          <w:szCs w:val="20"/>
          <w:color w:val="auto"/>
        </w:rPr>
      </w:pPr>
    </w:p>
    <w:p>
      <w:pPr>
        <w:jc w:val="both"/>
        <w:ind w:firstLine="618"/>
        <w:spacing w:after="0" w:line="262" w:lineRule="auto"/>
        <w:rPr>
          <w:sz w:val="20"/>
          <w:szCs w:val="20"/>
          <w:color w:val="auto"/>
        </w:rPr>
      </w:pPr>
      <w:r>
        <w:rPr>
          <w:rFonts w:ascii="Arial" w:cs="Arial" w:eastAsia="Arial" w:hAnsi="Arial"/>
          <w:sz w:val="17"/>
          <w:szCs w:val="17"/>
          <w:color w:val="auto"/>
        </w:rPr>
        <w:t>The Compensation Committee of the Board assists the Board in fulfilling its obligations related to the compensation of the Company's officers and, in general, with respect to equity compensation for all full-time employees. Our current Compensation Committee consists of a chair and other independent directors who are appointed annually by the Board. Under the Compensation Committee Charter, the Compensation Committee must have a minimum of three members who meet the requirements for independence as set forth by the SEC and the NASDAQ Listing Rules. Members of the Compensation Committee must also qualify as “non-employee directors” within the meaning of Exchange Act Rule 16b-3.</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Compensation Committee members during 2024 were: Richard Schaum (Chair), Garth Deur, and Brian Walker.</w:t>
      </w:r>
    </w:p>
    <w:p>
      <w:pPr>
        <w:spacing w:after="0" w:line="242" w:lineRule="exact"/>
        <w:rPr>
          <w:sz w:val="20"/>
          <w:szCs w:val="20"/>
          <w:color w:val="auto"/>
        </w:rPr>
      </w:pPr>
    </w:p>
    <w:p>
      <w:pPr>
        <w:jc w:val="both"/>
        <w:ind w:firstLine="618"/>
        <w:spacing w:after="0" w:line="257" w:lineRule="auto"/>
        <w:rPr>
          <w:sz w:val="20"/>
          <w:szCs w:val="20"/>
          <w:color w:val="auto"/>
        </w:rPr>
      </w:pPr>
      <w:r>
        <w:rPr>
          <w:rFonts w:ascii="Arial" w:cs="Arial" w:eastAsia="Arial" w:hAnsi="Arial"/>
          <w:sz w:val="17"/>
          <w:szCs w:val="17"/>
          <w:color w:val="auto"/>
        </w:rPr>
        <w:t>The Compensation Committee’s responsibilities include, but are not limited to, reviewing our officer compensation philosophy and strategy, participating in the performance evaluation process for our President and CEO, setting base salary and incentive opportunities for our President and CEO and other NEOs, establishing the overarching pay philosophy for our management team, establishing incentive compensation and performance goals and objectives for our NEO's and other officers and determining whether performance objectives have been achieved. Executive sessions are held by the Compensation Committee without the participation of any member of management, including for recommendations and approvals. Each year, the Compensation Committee reviews the performance and total compensation package of our NEOs. The Compensation Committee reviews and establishes each NEOs total target and actual compensation for the current year, which includes base salary, annual bonus opportunities, and long-term equity incentive awards as more fully described herein. The Compensation Committee also approves any equity compensation for all employees.</w:t>
      </w:r>
    </w:p>
    <w:p>
      <w:pPr>
        <w:spacing w:after="0" w:line="202" w:lineRule="exact"/>
        <w:rPr>
          <w:sz w:val="20"/>
          <w:szCs w:val="20"/>
          <w:color w:val="auto"/>
        </w:rPr>
      </w:pPr>
    </w:p>
    <w:p>
      <w:pPr>
        <w:jc w:val="both"/>
        <w:ind w:firstLine="618"/>
        <w:spacing w:after="0" w:line="289" w:lineRule="auto"/>
        <w:rPr>
          <w:sz w:val="20"/>
          <w:szCs w:val="20"/>
          <w:color w:val="auto"/>
        </w:rPr>
      </w:pPr>
      <w:r>
        <w:rPr>
          <w:rFonts w:ascii="Arial" w:cs="Arial" w:eastAsia="Arial" w:hAnsi="Arial"/>
          <w:sz w:val="17"/>
          <w:szCs w:val="17"/>
          <w:color w:val="auto"/>
        </w:rPr>
        <w:t>Our President and CEO is responsible for making recommendations to the Compensation Committee regarding base salary and incentive opportunities for the NEOs, other than with respect to his own compensation, but does not vote with respect thereto.</w:t>
      </w:r>
    </w:p>
    <w:p>
      <w:pPr>
        <w:spacing w:after="0" w:line="173"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17"/>
          <w:szCs w:val="17"/>
          <w:color w:val="auto"/>
        </w:rPr>
        <w:t>Compensation decisions may be made by the Compensation Committee using its judgment, but may be recommended to the full Board for approval as well. The Compensation Committee focuses on each NEO’s performance against financial and strategic objectives and the Company's overall performance, but also takes into account sustainable impact; people, and growth factors in evaluating NEO performance and/or in establishing performance objectives.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the Independent Compensation Consultant</w:t>
      </w:r>
    </w:p>
    <w:p>
      <w:pPr>
        <w:spacing w:after="0" w:line="244" w:lineRule="exact"/>
        <w:rPr>
          <w:sz w:val="20"/>
          <w:szCs w:val="20"/>
          <w:color w:val="auto"/>
        </w:rPr>
      </w:pPr>
    </w:p>
    <w:p>
      <w:pPr>
        <w:jc w:val="both"/>
        <w:ind w:firstLine="618"/>
        <w:spacing w:after="0" w:line="262" w:lineRule="auto"/>
        <w:rPr>
          <w:sz w:val="20"/>
          <w:szCs w:val="20"/>
          <w:color w:val="auto"/>
        </w:rPr>
      </w:pPr>
      <w:r>
        <w:rPr>
          <w:rFonts w:ascii="Arial" w:cs="Arial" w:eastAsia="Arial" w:hAnsi="Arial"/>
          <w:sz w:val="17"/>
          <w:szCs w:val="17"/>
          <w:color w:val="auto"/>
        </w:rPr>
        <w:t>The Compensation Committee Charter states that the Compensation Committee may retain outside compensation consultants, legal advisors, or other advisors in its discretion. The Compensation Committee has chosen to retain an independent compensation consultant, Mercer (of the Marsh &amp; McLennan Companies), to provide it with objective and expert analyses on certain compensation matters. In engaging Mercer, the Compensation Committee considered the relevant independence factors with respect to Mercer's services and determined that Mercer's work did not raise any conflict of interest.</w:t>
      </w:r>
    </w:p>
    <w:p>
      <w:pPr>
        <w:spacing w:after="0" w:line="195" w:lineRule="exact"/>
        <w:rPr>
          <w:sz w:val="20"/>
          <w:szCs w:val="20"/>
          <w:color w:val="auto"/>
        </w:rPr>
      </w:pPr>
    </w:p>
    <w:p>
      <w:pPr>
        <w:jc w:val="both"/>
        <w:ind w:firstLine="618"/>
        <w:spacing w:after="0" w:line="262" w:lineRule="auto"/>
        <w:rPr>
          <w:sz w:val="20"/>
          <w:szCs w:val="20"/>
          <w:color w:val="auto"/>
        </w:rPr>
      </w:pPr>
      <w:r>
        <w:rPr>
          <w:rFonts w:ascii="Arial" w:cs="Arial" w:eastAsia="Arial" w:hAnsi="Arial"/>
          <w:sz w:val="17"/>
          <w:szCs w:val="17"/>
          <w:color w:val="auto"/>
        </w:rPr>
        <w:t>All services provided by Mercer related to executive compensation were done pursuant to an engagement by, and under the direction and authority of, the Compensation Committee. The Compensation Committee from time to time requests Mercer's advice on a variety of topics including: assessment of the existing executive compensation program and strategy; market comparisons, including with the peer groups; plan design alternatives; pay trends; performance metrics; stock ownership guidelines; employment agreements; director compensation; best practices; and reporting and disclosures with respect to the same. Mercer also provided compensation related data</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32" w:name="page33"/>
    <w:bookmarkEnd w:id="32"/>
    <w:p>
      <w:pPr>
        <w:jc w:val="both"/>
        <w:spacing w:after="0" w:line="289" w:lineRule="auto"/>
        <w:rPr>
          <w:sz w:val="20"/>
          <w:szCs w:val="20"/>
          <w:color w:val="auto"/>
        </w:rPr>
      </w:pPr>
      <w:r>
        <w:rPr>
          <w:rFonts w:ascii="Arial" w:cs="Arial" w:eastAsia="Arial" w:hAnsi="Arial"/>
          <w:sz w:val="17"/>
          <w:szCs w:val="17"/>
          <w:color w:val="auto"/>
        </w:rPr>
        <w:t>to the Company's human resource team as an aid in recruiting, talent management and broader compensation trends in 2024. Total fees for all of the foregoing services were $90,525 in 2024.</w:t>
      </w:r>
    </w:p>
    <w:p>
      <w:pPr>
        <w:spacing w:after="0" w:line="173"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17"/>
          <w:szCs w:val="17"/>
          <w:color w:val="auto"/>
        </w:rPr>
        <w:t>We also used Marsh USA Inc. ("Marsh"), another of the Marsh &amp; McLennan Companies, to provide insurance services in 2024. We paid Marsh $567,655 in 2024. The decision of the Compensation Committee to engage Mercer was done with the knowledge that Marsh was engaged to provide insurance services. The total fees paid to Mercer and Marsh for 2024 was approximately $566,000, which is approximately 0.003% of the revenues of Marsh &amp; McLennan Companies for 2024.</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POLICIES &amp; PRACTICES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Ownership Guidelines</w:t>
      </w:r>
    </w:p>
    <w:p>
      <w:pPr>
        <w:spacing w:after="0" w:line="244"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17"/>
          <w:szCs w:val="17"/>
          <w:color w:val="auto"/>
        </w:rPr>
        <w:t>Our Stock Ownership Guidelines are intended to encourage executives to own a significant number of shares of our common stock. The Stock Ownership Guidelines are calculated based on a multiple of the NEO’s annual base salary (five times for the President and CEO and three times for the other NEOs). Further, the stock ownership guidelines also apply to non-employee directors using a multiple of their annual retainer (five times).</w:t>
      </w:r>
    </w:p>
    <w:p>
      <w:pPr>
        <w:spacing w:after="0" w:line="193" w:lineRule="exact"/>
        <w:rPr>
          <w:sz w:val="20"/>
          <w:szCs w:val="20"/>
          <w:color w:val="auto"/>
        </w:rPr>
      </w:pPr>
    </w:p>
    <w:p>
      <w:pPr>
        <w:jc w:val="both"/>
        <w:ind w:firstLine="618"/>
        <w:spacing w:after="0" w:line="271" w:lineRule="auto"/>
        <w:rPr>
          <w:sz w:val="20"/>
          <w:szCs w:val="20"/>
          <w:color w:val="auto"/>
        </w:rPr>
      </w:pPr>
      <w:r>
        <w:rPr>
          <w:rFonts w:ascii="Arial" w:cs="Arial" w:eastAsia="Arial" w:hAnsi="Arial"/>
          <w:sz w:val="17"/>
          <w:szCs w:val="17"/>
          <w:color w:val="auto"/>
        </w:rPr>
        <w:t>Such Stock Ownership Guidelines provide for the NEOs and non-employee directors to achieve the targeted equity ownership levels on a schedule within five years. In determining if our NEOs and non-employee directors have satisfied the ownership guidelines, we generally include RS and PSAs that have been granted and any shares owned outright by the NEO or non-employee directors.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Clawback Provisions</w:t>
      </w:r>
    </w:p>
    <w:p>
      <w:pPr>
        <w:spacing w:after="0" w:line="244" w:lineRule="exact"/>
        <w:rPr>
          <w:sz w:val="20"/>
          <w:szCs w:val="20"/>
          <w:color w:val="auto"/>
        </w:rPr>
      </w:pPr>
    </w:p>
    <w:p>
      <w:pPr>
        <w:jc w:val="both"/>
        <w:ind w:firstLine="618"/>
        <w:spacing w:after="0" w:line="259" w:lineRule="auto"/>
        <w:rPr>
          <w:sz w:val="20"/>
          <w:szCs w:val="20"/>
          <w:color w:val="auto"/>
        </w:rPr>
      </w:pPr>
      <w:r>
        <w:rPr>
          <w:rFonts w:ascii="Arial" w:cs="Arial" w:eastAsia="Arial" w:hAnsi="Arial"/>
          <w:sz w:val="17"/>
          <w:szCs w:val="17"/>
          <w:color w:val="auto"/>
        </w:rPr>
        <w:t>To mitigate risk of paying either annual or long-term incentives including equity incentives based on faulty financial results, we have a compliant Incentive-Based Compensation Recoupment Policy regarding adjustment of compensation in the event of a restatement of our financial results. It provides that the Compensation Committee will review all bonuses and other compensation paid or awarded to our executive officers based on the achievement of corporate performance goals during the period covered by a restatement. If the amount of such compensation paid or payable to any current or former executive officer based on the originally reported financial results differs from the amount that would have been paid or payable based on the restated financial results, the Company will seek recovery, reasonably promptly, from the executive officer of any compensation exceeding that to which he or she would have been entitled based on the restated results.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Hedging and Pledging of Stock</w:t>
      </w:r>
    </w:p>
    <w:p>
      <w:pPr>
        <w:spacing w:after="0" w:line="244" w:lineRule="exact"/>
        <w:rPr>
          <w:sz w:val="20"/>
          <w:szCs w:val="20"/>
          <w:color w:val="auto"/>
        </w:rPr>
      </w:pPr>
    </w:p>
    <w:p>
      <w:pPr>
        <w:jc w:val="both"/>
        <w:ind w:firstLine="618"/>
        <w:spacing w:after="0" w:line="262" w:lineRule="auto"/>
        <w:rPr>
          <w:sz w:val="20"/>
          <w:szCs w:val="20"/>
          <w:color w:val="auto"/>
        </w:rPr>
      </w:pPr>
      <w:r>
        <w:rPr>
          <w:rFonts w:ascii="Arial" w:cs="Arial" w:eastAsia="Arial" w:hAnsi="Arial"/>
          <w:sz w:val="17"/>
          <w:szCs w:val="17"/>
          <w:color w:val="auto"/>
        </w:rPr>
        <w:t>Under the terms of our Anti-Hedging and Anti-Pledging Policy, no officer or director is permitted to engage in securities transactions that would allow them either to insulate themselves from or profit from, a decline in the Company's stock price. Similarly, no officer or director may enter into hedging transactions in the Company's stock. Such transactions include, but are not limited to, short sales as well as any hedging transactions in derivative securities (e.g. puts, calls, options, collars, etc.) or other speculative transactions relating to the Company's stock. Pledging of our stock is prohibited as well. This policy is intended to ensure our officers and directors have full risks and rewards of ownership of our stock.</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Practices and Procedures Related to the Grant of Certain Equity Awards</w:t>
      </w:r>
    </w:p>
    <w:p>
      <w:pPr>
        <w:spacing w:after="0" w:line="244" w:lineRule="exact"/>
        <w:rPr>
          <w:sz w:val="20"/>
          <w:szCs w:val="20"/>
          <w:color w:val="auto"/>
        </w:rPr>
      </w:pPr>
    </w:p>
    <w:p>
      <w:pPr>
        <w:jc w:val="both"/>
        <w:ind w:firstLine="618"/>
        <w:spacing w:after="0" w:line="260" w:lineRule="auto"/>
        <w:rPr>
          <w:sz w:val="20"/>
          <w:szCs w:val="20"/>
          <w:color w:val="auto"/>
        </w:rPr>
      </w:pPr>
      <w:r>
        <w:rPr>
          <w:rFonts w:ascii="Arial" w:cs="Arial" w:eastAsia="Arial" w:hAnsi="Arial"/>
          <w:sz w:val="17"/>
          <w:szCs w:val="17"/>
          <w:color w:val="auto"/>
        </w:rPr>
        <w:t>We have long-standing practices with respect to the grant of equity-based awards. Under our established equity-based grant practices, we make annual equity-based grants to certain officers, including NEOs, in the first quarter of the calendar year at the first meeting of the Board each fiscal year, which follows the public release of fourth quarter and year-end financial results. The Board, taking into account recommendations of the Compensation Committee, approves any PSAs and RS granted to NEOs each year. The value in the case of PSAs or RS is the average closing price of our common stock on the NASDAQ for the twenty (20) trading days preceding the day of the grant for NEOs, officers, and non-employee directors. NEOs do not currently receive any stock option, stock appreciation rights, or option-like awards.</w:t>
      </w:r>
    </w:p>
    <w:p>
      <w:pPr>
        <w:spacing w:after="0" w:line="197" w:lineRule="exact"/>
        <w:rPr>
          <w:sz w:val="20"/>
          <w:szCs w:val="20"/>
          <w:color w:val="auto"/>
        </w:rPr>
      </w:pPr>
    </w:p>
    <w:p>
      <w:pPr>
        <w:jc w:val="both"/>
        <w:ind w:firstLine="618"/>
        <w:spacing w:after="0" w:line="271" w:lineRule="auto"/>
        <w:rPr>
          <w:sz w:val="20"/>
          <w:szCs w:val="20"/>
          <w:color w:val="auto"/>
        </w:rPr>
      </w:pPr>
      <w:r>
        <w:rPr>
          <w:rFonts w:ascii="Arial" w:cs="Arial" w:eastAsia="Arial" w:hAnsi="Arial"/>
          <w:sz w:val="17"/>
          <w:szCs w:val="17"/>
          <w:color w:val="auto"/>
        </w:rPr>
        <w:t>With respect to grants of stock options or other equity awards to others in the Company, such grants are similarly made on a predetermined schedule. That schedule is around the end of each fiscal quarter for employees whose start date aligns most closely with such quarter end. We do not take material nonpublic information into</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33" w:name="page34"/>
    <w:bookmarkEnd w:id="33"/>
    <w:p>
      <w:pPr>
        <w:jc w:val="both"/>
        <w:spacing w:after="0" w:line="260" w:lineRule="auto"/>
        <w:rPr>
          <w:sz w:val="20"/>
          <w:szCs w:val="20"/>
          <w:color w:val="auto"/>
        </w:rPr>
      </w:pPr>
      <w:r>
        <w:rPr>
          <w:rFonts w:ascii="Arial" w:cs="Arial" w:eastAsia="Arial" w:hAnsi="Arial"/>
          <w:sz w:val="17"/>
          <w:szCs w:val="17"/>
          <w:color w:val="auto"/>
        </w:rPr>
        <w:t>account when making such grants since the timing and terms of equity awards have been done in accordance with such a long-standing practice. Instead, the timing of grants is made in accordance with the established compensation cycle. We have not timed the disclosure of material nonpublic information for the purpose of affecting the value of any NEO, other officer, or other employee compensation. During fiscal year 2024, we did not grant any stock option, stock appreciation rights, or option-like rights to any NEO or any other employee during any period beginning four business days before and ending one business day after the filing of any Company periodic report on Form 10-Q or Form 10-K, or the filing or furnishing of any Company Form 8-K that disclosed any material nonpublic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Mitigation of Potential Risk in Pay Programs</w:t>
      </w:r>
    </w:p>
    <w:p>
      <w:pPr>
        <w:spacing w:after="0" w:line="244" w:lineRule="exact"/>
        <w:rPr>
          <w:sz w:val="20"/>
          <w:szCs w:val="20"/>
          <w:color w:val="auto"/>
        </w:rPr>
      </w:pPr>
    </w:p>
    <w:p>
      <w:pPr>
        <w:jc w:val="both"/>
        <w:ind w:firstLine="618"/>
        <w:spacing w:after="0" w:line="271" w:lineRule="auto"/>
        <w:rPr>
          <w:sz w:val="20"/>
          <w:szCs w:val="20"/>
          <w:color w:val="auto"/>
        </w:rPr>
      </w:pPr>
      <w:r>
        <w:rPr>
          <w:rFonts w:ascii="Arial" w:cs="Arial" w:eastAsia="Arial" w:hAnsi="Arial"/>
          <w:sz w:val="17"/>
          <w:szCs w:val="17"/>
          <w:color w:val="auto"/>
        </w:rPr>
        <w:t>The Compensation Committee has reviewed our compensation policies and practices and determined that there are no risks arising from our compensation policies and practices for our employees that are reasonably likely to have a material adverse effect on the Company. To avoid excessive risk-taking behaviors, we have put in place several mechanisms, including, but not limited to:</w:t>
      </w:r>
    </w:p>
    <w:p>
      <w:pPr>
        <w:spacing w:after="0" w:line="188" w:lineRule="exact"/>
        <w:rPr>
          <w:sz w:val="20"/>
          <w:szCs w:val="20"/>
          <w:color w:val="auto"/>
        </w:rPr>
      </w:pPr>
    </w:p>
    <w:p>
      <w:pPr>
        <w:ind w:left="620" w:hanging="308"/>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Stock Ownership Guidelines;</w:t>
      </w:r>
    </w:p>
    <w:p>
      <w:pPr>
        <w:spacing w:after="0" w:line="242" w:lineRule="exact"/>
        <w:rPr>
          <w:rFonts w:ascii="Arial" w:cs="Arial" w:eastAsia="Arial" w:hAnsi="Arial"/>
          <w:sz w:val="17"/>
          <w:szCs w:val="17"/>
          <w:color w:val="auto"/>
        </w:rPr>
      </w:pPr>
    </w:p>
    <w:p>
      <w:pPr>
        <w:ind w:left="620" w:hanging="308"/>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Caps on annual incentive payouts;</w:t>
      </w:r>
    </w:p>
    <w:p>
      <w:pPr>
        <w:spacing w:after="0" w:line="242" w:lineRule="exact"/>
        <w:rPr>
          <w:rFonts w:ascii="Arial" w:cs="Arial" w:eastAsia="Arial" w:hAnsi="Arial"/>
          <w:sz w:val="17"/>
          <w:szCs w:val="17"/>
          <w:color w:val="auto"/>
        </w:rPr>
      </w:pPr>
    </w:p>
    <w:p>
      <w:pPr>
        <w:ind w:left="620" w:hanging="308"/>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Financial performance-based annual incentive program;</w:t>
      </w:r>
    </w:p>
    <w:p>
      <w:pPr>
        <w:spacing w:after="0" w:line="242" w:lineRule="exact"/>
        <w:rPr>
          <w:rFonts w:ascii="Arial" w:cs="Arial" w:eastAsia="Arial" w:hAnsi="Arial"/>
          <w:sz w:val="17"/>
          <w:szCs w:val="17"/>
          <w:color w:val="auto"/>
        </w:rPr>
      </w:pPr>
    </w:p>
    <w:p>
      <w:pPr>
        <w:ind w:left="620" w:right="120" w:hanging="308"/>
        <w:spacing w:after="0" w:line="289" w:lineRule="auto"/>
        <w:tabs>
          <w:tab w:leader="none" w:pos="6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Long-term incentive awards (which are delivered in the form of equity) based on remaining with the Company and/or financial performance objectives;</w:t>
      </w:r>
    </w:p>
    <w:p>
      <w:pPr>
        <w:spacing w:after="0" w:line="173" w:lineRule="exact"/>
        <w:rPr>
          <w:rFonts w:ascii="Arial" w:cs="Arial" w:eastAsia="Arial" w:hAnsi="Arial"/>
          <w:sz w:val="17"/>
          <w:szCs w:val="17"/>
          <w:color w:val="auto"/>
        </w:rPr>
      </w:pPr>
    </w:p>
    <w:p>
      <w:pPr>
        <w:ind w:left="620" w:hanging="308"/>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Mix of types of awards;</w:t>
      </w:r>
    </w:p>
    <w:p>
      <w:pPr>
        <w:spacing w:after="0" w:line="242" w:lineRule="exact"/>
        <w:rPr>
          <w:rFonts w:ascii="Arial" w:cs="Arial" w:eastAsia="Arial" w:hAnsi="Arial"/>
          <w:sz w:val="17"/>
          <w:szCs w:val="17"/>
          <w:color w:val="auto"/>
        </w:rPr>
      </w:pPr>
    </w:p>
    <w:p>
      <w:pPr>
        <w:ind w:left="620" w:hanging="308"/>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Use of multiple performance objectives to determine annual and long-term incentive payouts; and</w:t>
      </w:r>
    </w:p>
    <w:p>
      <w:pPr>
        <w:spacing w:after="0" w:line="242" w:lineRule="exact"/>
        <w:rPr>
          <w:rFonts w:ascii="Arial" w:cs="Arial" w:eastAsia="Arial" w:hAnsi="Arial"/>
          <w:sz w:val="17"/>
          <w:szCs w:val="17"/>
          <w:color w:val="auto"/>
        </w:rPr>
      </w:pPr>
    </w:p>
    <w:p>
      <w:pPr>
        <w:ind w:left="620" w:hanging="308"/>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Incentive-Based Compensation Recoupment Policy and Anti-Hedging and Anti-Pledging Policy.</w:t>
      </w:r>
    </w:p>
    <w:p>
      <w:pPr>
        <w:spacing w:after="0" w:line="242" w:lineRule="exact"/>
        <w:rPr>
          <w:rFonts w:ascii="Arial" w:cs="Arial" w:eastAsia="Arial" w:hAnsi="Arial"/>
          <w:sz w:val="17"/>
          <w:szCs w:val="17"/>
          <w:color w:val="auto"/>
        </w:rPr>
      </w:pPr>
    </w:p>
    <w:p>
      <w:pPr>
        <w:ind w:left="620" w:hanging="308"/>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Policy on Insider Trading</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Accounting and Tax Treatments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Revenue Code Section 162(m)</w:t>
      </w:r>
    </w:p>
    <w:p>
      <w:pPr>
        <w:spacing w:after="0" w:line="244" w:lineRule="exact"/>
        <w:rPr>
          <w:sz w:val="20"/>
          <w:szCs w:val="20"/>
          <w:color w:val="auto"/>
        </w:rPr>
      </w:pPr>
    </w:p>
    <w:p>
      <w:pPr>
        <w:jc w:val="both"/>
        <w:ind w:firstLine="618"/>
        <w:spacing w:after="0" w:line="260" w:lineRule="auto"/>
        <w:rPr>
          <w:sz w:val="20"/>
          <w:szCs w:val="20"/>
          <w:color w:val="auto"/>
        </w:rPr>
      </w:pPr>
      <w:r>
        <w:rPr>
          <w:rFonts w:ascii="Arial" w:cs="Arial" w:eastAsia="Arial" w:hAnsi="Arial"/>
          <w:sz w:val="17"/>
          <w:szCs w:val="17"/>
          <w:color w:val="auto"/>
        </w:rPr>
        <w:t>Subject to certain exceptions, Section 162(m) of the Internal Revenue Code limits our ability to deduct compensation in excess of $1 million per year paid to certain covered employees. The exemption from Section 162(m)’s deduction limit for performance-based compensation has been repealed, effective for taxable years beginning after December 31, 2017, such that compensation paid to our covered executive officers in excess of $1 million will not be deductible unless it qualifies for transition relief applicable to certain arrangements entered into prior to November 2, 2017 and which are not materially amended thereafter. We do not believe the foregoing has had a material impact on the Company's compensation-related decision making or our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for Stock-Based Compensation</w:t>
      </w:r>
    </w:p>
    <w:p>
      <w:pPr>
        <w:spacing w:after="0" w:line="244" w:lineRule="exact"/>
        <w:rPr>
          <w:sz w:val="20"/>
          <w:szCs w:val="20"/>
          <w:color w:val="auto"/>
        </w:rPr>
      </w:pPr>
    </w:p>
    <w:p>
      <w:pPr>
        <w:jc w:val="both"/>
        <w:ind w:firstLine="618"/>
        <w:spacing w:after="0" w:line="271" w:lineRule="auto"/>
        <w:rPr>
          <w:sz w:val="20"/>
          <w:szCs w:val="20"/>
          <w:color w:val="auto"/>
        </w:rPr>
      </w:pPr>
      <w:r>
        <w:rPr>
          <w:rFonts w:ascii="Arial" w:cs="Arial" w:eastAsia="Arial" w:hAnsi="Arial"/>
          <w:sz w:val="17"/>
          <w:szCs w:val="17"/>
          <w:color w:val="auto"/>
        </w:rPr>
        <w:t>We account for stock-based payments under our equity-based plans in accordance with the requirements of FASB ASC Topic 718. Further information about this accounting treatment can be found in Notes 1 and 5 of the Consolidated Financial Statements in our Annual Report on Form 10-K for the year ended December 31, 2024.</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44" w:lineRule="exact"/>
        <w:rPr>
          <w:sz w:val="20"/>
          <w:szCs w:val="20"/>
          <w:color w:val="auto"/>
        </w:rPr>
      </w:pPr>
    </w:p>
    <w:p>
      <w:pPr>
        <w:jc w:val="both"/>
        <w:ind w:firstLine="618"/>
        <w:spacing w:after="0" w:line="289" w:lineRule="auto"/>
        <w:rPr>
          <w:sz w:val="20"/>
          <w:szCs w:val="20"/>
          <w:color w:val="auto"/>
        </w:rPr>
      </w:pPr>
      <w:r>
        <w:rPr>
          <w:rFonts w:ascii="Arial" w:cs="Arial" w:eastAsia="Arial" w:hAnsi="Arial"/>
          <w:sz w:val="17"/>
          <w:szCs w:val="17"/>
          <w:color w:val="auto"/>
        </w:rPr>
        <w:t>Our Compensation Committee has responsibility for periodically assessing our director compensation program and making recommendations with respect thereto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34" w:name="page35"/>
    <w:bookmarkEnd w:id="34"/>
    <w:p>
      <w:pPr>
        <w:ind w:left="620"/>
        <w:spacing w:after="0"/>
        <w:rPr>
          <w:sz w:val="20"/>
          <w:szCs w:val="20"/>
          <w:color w:val="auto"/>
        </w:rPr>
      </w:pPr>
      <w:r>
        <w:rPr>
          <w:rFonts w:ascii="Arial" w:cs="Arial" w:eastAsia="Arial" w:hAnsi="Arial"/>
          <w:sz w:val="17"/>
          <w:szCs w:val="17"/>
          <w:color w:val="auto"/>
        </w:rPr>
        <w:t>For 2024, each director who was not an employee at the Company received, as applicable:</w:t>
      </w:r>
    </w:p>
    <w:p>
      <w:pPr>
        <w:spacing w:after="0" w:line="24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Annual retainer - $90,000</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Chair of the Board retainer - $100,000</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Audit Committee Chair retainer - $12,500</w:t>
      </w:r>
    </w:p>
    <w:p>
      <w:pPr>
        <w:spacing w:after="0" w:line="1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Compensation Committee Chair retainer - $10,000</w:t>
      </w:r>
    </w:p>
    <w:p>
      <w:pPr>
        <w:spacing w:after="0" w:line="1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Nominating and Corporate Governance Committee Chair retainer - $10,000</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Audit Committee Member retainer (non-chair) - $7,500</w:t>
      </w:r>
    </w:p>
    <w:p>
      <w:pPr>
        <w:spacing w:after="0" w:line="1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Compensation Committee Member retainer (non-chair) - $5,000</w:t>
      </w:r>
    </w:p>
    <w:p>
      <w:pPr>
        <w:spacing w:after="0" w:line="1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Nominating and Corporate Governance Committee Member (non-chair) - $5,000</w:t>
      </w:r>
    </w:p>
    <w:p>
      <w:pPr>
        <w:spacing w:after="0" w:line="1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Executive Committee Member (non-employee) - $5,000</w:t>
      </w:r>
    </w:p>
    <w:p>
      <w:pPr>
        <w:spacing w:after="0" w:line="226"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17"/>
          <w:szCs w:val="17"/>
          <w:color w:val="auto"/>
        </w:rPr>
        <w:t>All of the foregoing amounts are payable quarterly. As of 2023, directors elected at each Annual Meeting receive a grant of RS equal to $130,000 divided by the average closing price per share of the Company's common stock on the twenty (20) days preceding the date of the grant rounded to the nearest whole share of such RS. Each such RS grant will vest on the first anniversary of the grant. There has been no change in the foregoing, except with regard to the Executive Committee now being in place.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CONCLUSION</w:t>
      </w:r>
    </w:p>
    <w:p>
      <w:pPr>
        <w:spacing w:after="0" w:line="244" w:lineRule="exact"/>
        <w:rPr>
          <w:sz w:val="20"/>
          <w:szCs w:val="20"/>
          <w:color w:val="auto"/>
        </w:rPr>
      </w:pPr>
    </w:p>
    <w:p>
      <w:pPr>
        <w:jc w:val="both"/>
        <w:ind w:firstLine="618"/>
        <w:spacing w:after="0" w:line="260" w:lineRule="auto"/>
        <w:rPr>
          <w:sz w:val="20"/>
          <w:szCs w:val="20"/>
          <w:color w:val="auto"/>
        </w:rPr>
      </w:pPr>
      <w:r>
        <w:rPr>
          <w:rFonts w:ascii="Arial" w:cs="Arial" w:eastAsia="Arial" w:hAnsi="Arial"/>
          <w:sz w:val="17"/>
          <w:szCs w:val="17"/>
          <w:color w:val="auto"/>
        </w:rPr>
        <w:t>We have reached the conclusion that each individual element of compensation, as well as the total compensation, delivered to our NEOs and to our directors during 2024 are reasonable, appropriate, and in the best interests of the Company and our shareholders. We believe the elements of compensation for 2025 will be the same. That determination is based on a continuation of our compensation philosophy and practices which we believe align both the short-term and long-term interests of our officers with those of our shareholders. It remains the case that each element of our compensation program is important to accomplishing the Company's goals of creating an entrepreneurial environment so that our employees are motivated to remain with us, individually perform to the best of their abilities, and focus on our long-term success.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35" w:name="page36"/>
    <w:bookmarkEnd w:id="35"/>
    <w:tbl>
      <w:tblPr>
        <w:tblLayout w:type="fixed"/>
        <w:tblInd w:w="10" w:type="dxa"/>
        <w:tblCellMar>
          <w:top w:w="0" w:type="dxa"/>
          <w:left w:w="0" w:type="dxa"/>
          <w:bottom w:w="0" w:type="dxa"/>
          <w:right w:w="0" w:type="dxa"/>
        </w:tblCellMar>
      </w:tblPr>
      <w:tr>
        <w:trPr>
          <w:trHeight w:val="195"/>
        </w:trPr>
        <w:tc>
          <w:tcPr>
            <w:tcW w:w="2760" w:type="dxa"/>
            <w:vAlign w:val="bottom"/>
            <w:gridSpan w:val="6"/>
          </w:tcPr>
          <w:p>
            <w:pPr>
              <w:spacing w:after="0"/>
              <w:rPr>
                <w:sz w:val="20"/>
                <w:szCs w:val="20"/>
                <w:color w:val="auto"/>
              </w:rPr>
            </w:pPr>
            <w:r>
              <w:rPr>
                <w:rFonts w:ascii="Arial" w:cs="Arial" w:eastAsia="Arial" w:hAnsi="Arial"/>
                <w:sz w:val="17"/>
                <w:szCs w:val="17"/>
                <w:b w:val="1"/>
                <w:bCs w:val="1"/>
                <w:color w:val="auto"/>
              </w:rPr>
              <w:t>EXECUTIVE COMPENSATION</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2120" w:type="dxa"/>
            <w:vAlign w:val="bottom"/>
            <w:tcBorders>
              <w:top w:val="single" w:sz="8" w:color="auto"/>
            </w:tcBorders>
            <w:gridSpan w:val="4"/>
          </w:tcPr>
          <w:p>
            <w:pPr>
              <w:spacing w:after="0"/>
              <w:rPr>
                <w:sz w:val="20"/>
                <w:szCs w:val="20"/>
                <w:color w:val="auto"/>
              </w:rPr>
            </w:pPr>
            <w:r>
              <w:rPr>
                <w:rFonts w:ascii="Arial" w:cs="Arial" w:eastAsia="Arial" w:hAnsi="Arial"/>
                <w:sz w:val="17"/>
                <w:szCs w:val="17"/>
                <w:b w:val="1"/>
                <w:bCs w:val="1"/>
                <w:color w:val="auto"/>
              </w:rPr>
              <w:t>Summary Compensation</w:t>
            </w:r>
          </w:p>
        </w:tc>
        <w:tc>
          <w:tcPr>
            <w:tcW w:w="3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auto"/>
            </w:tcBorders>
            <w:shd w:val="clear" w:color="auto" w:fill="000000"/>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0" w:type="dxa"/>
            <w:vAlign w:val="bottom"/>
          </w:tcPr>
          <w:p>
            <w:pPr>
              <w:spacing w:after="0"/>
              <w:rPr>
                <w:sz w:val="24"/>
                <w:szCs w:val="24"/>
                <w:color w:val="auto"/>
              </w:rPr>
            </w:pPr>
          </w:p>
        </w:tc>
        <w:tc>
          <w:tcPr>
            <w:tcW w:w="10680" w:type="dxa"/>
            <w:vAlign w:val="bottom"/>
            <w:gridSpan w:val="19"/>
          </w:tcPr>
          <w:p>
            <w:pPr>
              <w:jc w:val="right"/>
              <w:spacing w:after="0"/>
              <w:rPr>
                <w:sz w:val="20"/>
                <w:szCs w:val="20"/>
                <w:color w:val="auto"/>
              </w:rPr>
            </w:pPr>
            <w:r>
              <w:rPr>
                <w:rFonts w:ascii="Arial" w:cs="Arial" w:eastAsia="Arial" w:hAnsi="Arial"/>
                <w:sz w:val="17"/>
                <w:szCs w:val="17"/>
                <w:color w:val="auto"/>
              </w:rPr>
              <w:t>The following table sets forth the compensation earned by the principal executive officer, principal financial officer, and other executive</w:t>
            </w:r>
          </w:p>
        </w:tc>
        <w:tc>
          <w:tcPr>
            <w:tcW w:w="0" w:type="dxa"/>
            <w:vAlign w:val="bottom"/>
          </w:tcPr>
          <w:p>
            <w:pPr>
              <w:spacing w:after="0"/>
              <w:rPr>
                <w:sz w:val="1"/>
                <w:szCs w:val="1"/>
                <w:color w:val="auto"/>
              </w:rPr>
            </w:pPr>
          </w:p>
        </w:tc>
      </w:tr>
      <w:tr>
        <w:trPr>
          <w:trHeight w:val="225"/>
        </w:trPr>
        <w:tc>
          <w:tcPr>
            <w:tcW w:w="580" w:type="dxa"/>
            <w:vAlign w:val="bottom"/>
          </w:tcPr>
          <w:p>
            <w:pPr>
              <w:spacing w:after="0"/>
              <w:rPr>
                <w:sz w:val="20"/>
                <w:szCs w:val="20"/>
                <w:color w:val="auto"/>
              </w:rPr>
            </w:pPr>
            <w:r>
              <w:rPr>
                <w:rFonts w:ascii="Arial" w:cs="Arial" w:eastAsia="Arial" w:hAnsi="Arial"/>
                <w:sz w:val="17"/>
                <w:szCs w:val="17"/>
                <w:color w:val="auto"/>
              </w:rPr>
              <w:t>officers</w:t>
            </w:r>
          </w:p>
        </w:tc>
        <w:tc>
          <w:tcPr>
            <w:tcW w:w="740" w:type="dxa"/>
            <w:vAlign w:val="bottom"/>
          </w:tcPr>
          <w:p>
            <w:pPr>
              <w:ind w:left="320"/>
              <w:spacing w:after="0"/>
              <w:rPr>
                <w:sz w:val="20"/>
                <w:szCs w:val="20"/>
                <w:color w:val="auto"/>
              </w:rPr>
            </w:pPr>
            <w:r>
              <w:rPr>
                <w:rFonts w:ascii="Arial" w:cs="Arial" w:eastAsia="Arial" w:hAnsi="Arial"/>
                <w:sz w:val="17"/>
                <w:szCs w:val="17"/>
                <w:color w:val="auto"/>
              </w:rPr>
              <w:t>for</w:t>
            </w:r>
          </w:p>
        </w:tc>
        <w:tc>
          <w:tcPr>
            <w:tcW w:w="800" w:type="dxa"/>
            <w:vAlign w:val="bottom"/>
            <w:gridSpan w:val="2"/>
          </w:tcPr>
          <w:p>
            <w:pPr>
              <w:ind w:left="140"/>
              <w:spacing w:after="0"/>
              <w:rPr>
                <w:sz w:val="20"/>
                <w:szCs w:val="20"/>
                <w:color w:val="auto"/>
              </w:rPr>
            </w:pPr>
            <w:r>
              <w:rPr>
                <w:rFonts w:ascii="Arial" w:cs="Arial" w:eastAsia="Arial" w:hAnsi="Arial"/>
                <w:sz w:val="17"/>
                <w:szCs w:val="17"/>
                <w:color w:val="auto"/>
                <w:w w:val="99"/>
              </w:rPr>
              <w:t>services</w:t>
            </w:r>
          </w:p>
        </w:tc>
        <w:tc>
          <w:tcPr>
            <w:tcW w:w="30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7"/>
                <w:szCs w:val="17"/>
                <w:color w:val="auto"/>
              </w:rPr>
              <w:t>rendered</w:t>
            </w:r>
          </w:p>
        </w:tc>
        <w:tc>
          <w:tcPr>
            <w:tcW w:w="260" w:type="dxa"/>
            <w:vAlign w:val="bottom"/>
          </w:tcPr>
          <w:p>
            <w:pPr>
              <w:jc w:val="right"/>
              <w:spacing w:after="0"/>
              <w:rPr>
                <w:sz w:val="20"/>
                <w:szCs w:val="20"/>
                <w:color w:val="auto"/>
              </w:rPr>
            </w:pPr>
            <w:r>
              <w:rPr>
                <w:rFonts w:ascii="Arial" w:cs="Arial" w:eastAsia="Arial" w:hAnsi="Arial"/>
                <w:sz w:val="17"/>
                <w:szCs w:val="17"/>
                <w:color w:val="auto"/>
              </w:rPr>
              <w:t>to</w:t>
            </w:r>
          </w:p>
        </w:tc>
        <w:tc>
          <w:tcPr>
            <w:tcW w:w="900" w:type="dxa"/>
            <w:vAlign w:val="bottom"/>
          </w:tcPr>
          <w:p>
            <w:pPr>
              <w:ind w:left="280"/>
              <w:spacing w:after="0"/>
              <w:rPr>
                <w:sz w:val="20"/>
                <w:szCs w:val="20"/>
                <w:color w:val="auto"/>
              </w:rPr>
            </w:pPr>
            <w:r>
              <w:rPr>
                <w:rFonts w:ascii="Arial" w:cs="Arial" w:eastAsia="Arial" w:hAnsi="Arial"/>
                <w:sz w:val="17"/>
                <w:szCs w:val="17"/>
                <w:color w:val="auto"/>
              </w:rPr>
              <w:t>the</w:t>
            </w:r>
          </w:p>
        </w:tc>
        <w:tc>
          <w:tcPr>
            <w:tcW w:w="1060" w:type="dxa"/>
            <w:vAlign w:val="bottom"/>
          </w:tcPr>
          <w:p>
            <w:pPr>
              <w:jc w:val="right"/>
              <w:ind w:right="272"/>
              <w:spacing w:after="0"/>
              <w:rPr>
                <w:sz w:val="20"/>
                <w:szCs w:val="20"/>
                <w:color w:val="auto"/>
              </w:rPr>
            </w:pPr>
            <w:r>
              <w:rPr>
                <w:rFonts w:ascii="Arial" w:cs="Arial" w:eastAsia="Arial" w:hAnsi="Arial"/>
                <w:sz w:val="17"/>
                <w:szCs w:val="17"/>
                <w:color w:val="auto"/>
                <w:w w:val="96"/>
              </w:rPr>
              <w:t>Company</w:t>
            </w:r>
          </w:p>
        </w:tc>
        <w:tc>
          <w:tcPr>
            <w:tcW w:w="300" w:type="dxa"/>
            <w:vAlign w:val="bottom"/>
          </w:tcPr>
          <w:p>
            <w:pPr>
              <w:spacing w:after="0"/>
              <w:rPr>
                <w:sz w:val="20"/>
                <w:szCs w:val="20"/>
                <w:color w:val="auto"/>
              </w:rPr>
            </w:pPr>
            <w:r>
              <w:rPr>
                <w:rFonts w:ascii="Arial" w:cs="Arial" w:eastAsia="Arial" w:hAnsi="Arial"/>
                <w:sz w:val="17"/>
                <w:szCs w:val="17"/>
                <w:color w:val="auto"/>
              </w:rPr>
              <w:t>for</w:t>
            </w:r>
          </w:p>
        </w:tc>
        <w:tc>
          <w:tcPr>
            <w:tcW w:w="820" w:type="dxa"/>
            <w:vAlign w:val="bottom"/>
            <w:gridSpan w:val="2"/>
          </w:tcPr>
          <w:p>
            <w:pPr>
              <w:ind w:left="260"/>
              <w:spacing w:after="0"/>
              <w:rPr>
                <w:sz w:val="20"/>
                <w:szCs w:val="20"/>
                <w:color w:val="auto"/>
              </w:rPr>
            </w:pPr>
            <w:r>
              <w:rPr>
                <w:rFonts w:ascii="Arial" w:cs="Arial" w:eastAsia="Arial" w:hAnsi="Arial"/>
                <w:sz w:val="17"/>
                <w:szCs w:val="17"/>
                <w:color w:val="auto"/>
              </w:rPr>
              <w:t>the</w:t>
            </w:r>
          </w:p>
        </w:tc>
        <w:tc>
          <w:tcPr>
            <w:tcW w:w="460" w:type="dxa"/>
            <w:vAlign w:val="bottom"/>
          </w:tcPr>
          <w:p>
            <w:pPr>
              <w:ind w:left="40"/>
              <w:spacing w:after="0"/>
              <w:rPr>
                <w:sz w:val="20"/>
                <w:szCs w:val="20"/>
                <w:color w:val="auto"/>
              </w:rPr>
            </w:pPr>
            <w:r>
              <w:rPr>
                <w:rFonts w:ascii="Arial" w:cs="Arial" w:eastAsia="Arial" w:hAnsi="Arial"/>
                <w:sz w:val="17"/>
                <w:szCs w:val="17"/>
                <w:color w:val="auto"/>
              </w:rPr>
              <w:t>fiscal</w:t>
            </w:r>
          </w:p>
        </w:tc>
        <w:tc>
          <w:tcPr>
            <w:tcW w:w="660" w:type="dxa"/>
            <w:vAlign w:val="bottom"/>
            <w:gridSpan w:val="2"/>
          </w:tcPr>
          <w:p>
            <w:pPr>
              <w:ind w:left="320"/>
              <w:spacing w:after="0"/>
              <w:rPr>
                <w:sz w:val="20"/>
                <w:szCs w:val="20"/>
                <w:color w:val="auto"/>
              </w:rPr>
            </w:pPr>
            <w:r>
              <w:rPr>
                <w:rFonts w:ascii="Arial" w:cs="Arial" w:eastAsia="Arial" w:hAnsi="Arial"/>
                <w:sz w:val="17"/>
                <w:szCs w:val="17"/>
                <w:color w:val="auto"/>
                <w:w w:val="96"/>
              </w:rPr>
              <w:t>year</w:t>
            </w:r>
          </w:p>
        </w:tc>
        <w:tc>
          <w:tcPr>
            <w:tcW w:w="1160" w:type="dxa"/>
            <w:vAlign w:val="bottom"/>
          </w:tcPr>
          <w:p>
            <w:pPr>
              <w:ind w:left="340"/>
              <w:spacing w:after="0"/>
              <w:rPr>
                <w:sz w:val="20"/>
                <w:szCs w:val="20"/>
                <w:color w:val="auto"/>
              </w:rPr>
            </w:pPr>
            <w:r>
              <w:rPr>
                <w:rFonts w:ascii="Arial" w:cs="Arial" w:eastAsia="Arial" w:hAnsi="Arial"/>
                <w:sz w:val="17"/>
                <w:szCs w:val="17"/>
                <w:color w:val="auto"/>
              </w:rPr>
              <w:t>ended</w:t>
            </w:r>
          </w:p>
        </w:tc>
        <w:tc>
          <w:tcPr>
            <w:tcW w:w="1200" w:type="dxa"/>
            <w:vAlign w:val="bottom"/>
          </w:tcPr>
          <w:p>
            <w:pPr>
              <w:jc w:val="right"/>
              <w:ind w:right="332"/>
              <w:spacing w:after="0"/>
              <w:rPr>
                <w:sz w:val="20"/>
                <w:szCs w:val="20"/>
                <w:color w:val="auto"/>
              </w:rPr>
            </w:pPr>
            <w:r>
              <w:rPr>
                <w:rFonts w:ascii="Arial" w:cs="Arial" w:eastAsia="Arial" w:hAnsi="Arial"/>
                <w:sz w:val="17"/>
                <w:szCs w:val="17"/>
                <w:color w:val="auto"/>
                <w:w w:val="99"/>
              </w:rPr>
              <w:t>December</w:t>
            </w:r>
          </w:p>
        </w:tc>
        <w:tc>
          <w:tcPr>
            <w:tcW w:w="220" w:type="dxa"/>
            <w:vAlign w:val="bottom"/>
          </w:tcPr>
          <w:p>
            <w:pPr>
              <w:jc w:val="right"/>
              <w:spacing w:after="0"/>
              <w:rPr>
                <w:sz w:val="20"/>
                <w:szCs w:val="20"/>
                <w:color w:val="auto"/>
              </w:rPr>
            </w:pPr>
            <w:r>
              <w:rPr>
                <w:rFonts w:ascii="Arial" w:cs="Arial" w:eastAsia="Arial" w:hAnsi="Arial"/>
                <w:sz w:val="17"/>
                <w:szCs w:val="17"/>
                <w:color w:val="auto"/>
                <w:w w:val="75"/>
              </w:rPr>
              <w:t>31,</w:t>
            </w:r>
          </w:p>
        </w:tc>
        <w:tc>
          <w:tcPr>
            <w:tcW w:w="780" w:type="dxa"/>
            <w:vAlign w:val="bottom"/>
          </w:tcPr>
          <w:p>
            <w:pPr>
              <w:jc w:val="right"/>
              <w:spacing w:after="0"/>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23"/>
        </w:trPr>
        <w:tc>
          <w:tcPr>
            <w:tcW w:w="580" w:type="dxa"/>
            <w:vAlign w:val="bottom"/>
            <w:tcBorders>
              <w:bottom w:val="single" w:sz="8" w:color="00000A"/>
            </w:tcBorders>
          </w:tcPr>
          <w:p>
            <w:pPr>
              <w:spacing w:after="0"/>
              <w:rPr>
                <w:sz w:val="2"/>
                <w:szCs w:val="2"/>
                <w:color w:val="auto"/>
              </w:rPr>
            </w:pPr>
          </w:p>
        </w:tc>
        <w:tc>
          <w:tcPr>
            <w:tcW w:w="740" w:type="dxa"/>
            <w:vAlign w:val="bottom"/>
            <w:tcBorders>
              <w:bottom w:val="single" w:sz="8" w:color="00000A"/>
            </w:tcBorders>
          </w:tcPr>
          <w:p>
            <w:pPr>
              <w:spacing w:after="0"/>
              <w:rPr>
                <w:sz w:val="2"/>
                <w:szCs w:val="2"/>
                <w:color w:val="auto"/>
              </w:rPr>
            </w:pPr>
          </w:p>
        </w:tc>
        <w:tc>
          <w:tcPr>
            <w:tcW w:w="700" w:type="dxa"/>
            <w:vAlign w:val="bottom"/>
            <w:tcBorders>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340" w:type="dxa"/>
            <w:vAlign w:val="bottom"/>
            <w:tcBorders>
              <w:bottom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260" w:type="dxa"/>
            <w:vAlign w:val="bottom"/>
            <w:tcBorders>
              <w:bottom w:val="single" w:sz="8" w:color="00000A"/>
            </w:tcBorders>
          </w:tcPr>
          <w:p>
            <w:pPr>
              <w:spacing w:after="0"/>
              <w:rPr>
                <w:sz w:val="2"/>
                <w:szCs w:val="2"/>
                <w:color w:val="auto"/>
              </w:rPr>
            </w:pPr>
          </w:p>
        </w:tc>
        <w:tc>
          <w:tcPr>
            <w:tcW w:w="3080" w:type="dxa"/>
            <w:vAlign w:val="bottom"/>
            <w:tcBorders>
              <w:bottom w:val="single" w:sz="8" w:color="00000A"/>
            </w:tcBorders>
            <w:gridSpan w:val="5"/>
          </w:tcPr>
          <w:p>
            <w:pPr>
              <w:spacing w:after="0"/>
              <w:rPr>
                <w:sz w:val="2"/>
                <w:szCs w:val="2"/>
                <w:color w:val="auto"/>
              </w:rPr>
            </w:pPr>
          </w:p>
        </w:tc>
        <w:tc>
          <w:tcPr>
            <w:tcW w:w="460" w:type="dxa"/>
            <w:vAlign w:val="bottom"/>
            <w:tcBorders>
              <w:bottom w:val="single" w:sz="8" w:color="00000A"/>
            </w:tcBorders>
          </w:tcPr>
          <w:p>
            <w:pPr>
              <w:spacing w:after="0"/>
              <w:rPr>
                <w:sz w:val="2"/>
                <w:szCs w:val="2"/>
                <w:color w:val="auto"/>
              </w:rPr>
            </w:pPr>
          </w:p>
        </w:tc>
        <w:tc>
          <w:tcPr>
            <w:tcW w:w="600" w:type="dxa"/>
            <w:vAlign w:val="bottom"/>
            <w:tcBorders>
              <w:bottom w:val="single" w:sz="8" w:color="00000A"/>
            </w:tcBorders>
          </w:tcPr>
          <w:p>
            <w:pPr>
              <w:spacing w:after="0"/>
              <w:rPr>
                <w:sz w:val="2"/>
                <w:szCs w:val="2"/>
                <w:color w:val="auto"/>
              </w:rPr>
            </w:pPr>
          </w:p>
        </w:tc>
        <w:tc>
          <w:tcPr>
            <w:tcW w:w="60" w:type="dxa"/>
            <w:vAlign w:val="bottom"/>
            <w:tcBorders>
              <w:bottom w:val="single" w:sz="8" w:color="00000A"/>
            </w:tcBorders>
          </w:tcPr>
          <w:p>
            <w:pPr>
              <w:spacing w:after="0"/>
              <w:rPr>
                <w:sz w:val="2"/>
                <w:szCs w:val="2"/>
                <w:color w:val="auto"/>
              </w:rPr>
            </w:pPr>
          </w:p>
        </w:tc>
        <w:tc>
          <w:tcPr>
            <w:tcW w:w="1160" w:type="dxa"/>
            <w:vAlign w:val="bottom"/>
            <w:tcBorders>
              <w:bottom w:val="single" w:sz="8" w:color="00000A"/>
            </w:tcBorders>
          </w:tcPr>
          <w:p>
            <w:pPr>
              <w:spacing w:after="0"/>
              <w:rPr>
                <w:sz w:val="2"/>
                <w:szCs w:val="2"/>
                <w:color w:val="auto"/>
              </w:rPr>
            </w:pPr>
          </w:p>
        </w:tc>
        <w:tc>
          <w:tcPr>
            <w:tcW w:w="1200" w:type="dxa"/>
            <w:vAlign w:val="bottom"/>
            <w:tcBorders>
              <w:bottom w:val="single" w:sz="8" w:color="00000A"/>
            </w:tcBorders>
          </w:tcPr>
          <w:p>
            <w:pPr>
              <w:spacing w:after="0"/>
              <w:rPr>
                <w:sz w:val="2"/>
                <w:szCs w:val="2"/>
                <w:color w:val="auto"/>
              </w:rPr>
            </w:pPr>
          </w:p>
        </w:tc>
        <w:tc>
          <w:tcPr>
            <w:tcW w:w="220" w:type="dxa"/>
            <w:vAlign w:val="bottom"/>
            <w:tcBorders>
              <w:bottom w:val="single" w:sz="8" w:color="00000A"/>
            </w:tcBorders>
          </w:tcPr>
          <w:p>
            <w:pPr>
              <w:spacing w:after="0"/>
              <w:rPr>
                <w:sz w:val="2"/>
                <w:szCs w:val="2"/>
                <w:color w:val="auto"/>
              </w:rPr>
            </w:pPr>
          </w:p>
        </w:tc>
        <w:tc>
          <w:tcPr>
            <w:tcW w:w="780" w:type="dxa"/>
            <w:vAlign w:val="bottom"/>
            <w:tcBorders>
              <w:bottom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580" w:type="dxa"/>
            <w:vAlign w:val="bottom"/>
            <w:tcBorders>
              <w:left w:val="single" w:sz="8" w:color="00000A"/>
              <w:bottom w:val="single" w:sz="8" w:color="00000A"/>
            </w:tcBorders>
          </w:tcPr>
          <w:p>
            <w:pPr>
              <w:spacing w:after="0"/>
              <w:rPr>
                <w:sz w:val="13"/>
                <w:szCs w:val="13"/>
                <w:color w:val="auto"/>
              </w:rPr>
            </w:pPr>
          </w:p>
        </w:tc>
        <w:tc>
          <w:tcPr>
            <w:tcW w:w="740" w:type="dxa"/>
            <w:vAlign w:val="bottom"/>
            <w:tcBorders>
              <w:bottom w:val="single" w:sz="8" w:color="00000A"/>
            </w:tcBorders>
          </w:tcPr>
          <w:p>
            <w:pPr>
              <w:spacing w:after="0"/>
              <w:rPr>
                <w:sz w:val="13"/>
                <w:szCs w:val="13"/>
                <w:color w:val="auto"/>
              </w:rPr>
            </w:pPr>
          </w:p>
        </w:tc>
        <w:tc>
          <w:tcPr>
            <w:tcW w:w="700" w:type="dxa"/>
            <w:vAlign w:val="bottom"/>
            <w:tcBorders>
              <w:bottom w:val="single" w:sz="8" w:color="00000A"/>
            </w:tcBorders>
          </w:tcPr>
          <w:p>
            <w:pPr>
              <w:spacing w:after="0"/>
              <w:rPr>
                <w:sz w:val="13"/>
                <w:szCs w:val="13"/>
                <w:color w:val="auto"/>
              </w:rPr>
            </w:pPr>
          </w:p>
        </w:tc>
        <w:tc>
          <w:tcPr>
            <w:tcW w:w="100" w:type="dxa"/>
            <w:vAlign w:val="bottom"/>
            <w:tcBorders>
              <w:bottom w:val="single" w:sz="8" w:color="00000A"/>
            </w:tcBorders>
          </w:tcPr>
          <w:p>
            <w:pPr>
              <w:spacing w:after="0"/>
              <w:rPr>
                <w:sz w:val="13"/>
                <w:szCs w:val="13"/>
                <w:color w:val="auto"/>
              </w:rPr>
            </w:pPr>
          </w:p>
        </w:tc>
        <w:tc>
          <w:tcPr>
            <w:tcW w:w="300" w:type="dxa"/>
            <w:vAlign w:val="bottom"/>
            <w:tcBorders>
              <w:bottom w:val="single" w:sz="8" w:color="00000A"/>
            </w:tcBorders>
          </w:tcPr>
          <w:p>
            <w:pPr>
              <w:spacing w:after="0"/>
              <w:rPr>
                <w:sz w:val="13"/>
                <w:szCs w:val="13"/>
                <w:color w:val="auto"/>
              </w:rPr>
            </w:pPr>
          </w:p>
        </w:tc>
        <w:tc>
          <w:tcPr>
            <w:tcW w:w="340" w:type="dxa"/>
            <w:vAlign w:val="bottom"/>
            <w:tcBorders>
              <w:bottom w:val="single" w:sz="8" w:color="00000A"/>
            </w:tcBorders>
          </w:tcPr>
          <w:p>
            <w:pPr>
              <w:spacing w:after="0"/>
              <w:rPr>
                <w:sz w:val="13"/>
                <w:szCs w:val="13"/>
                <w:color w:val="auto"/>
              </w:rPr>
            </w:pPr>
          </w:p>
        </w:tc>
        <w:tc>
          <w:tcPr>
            <w:tcW w:w="680" w:type="dxa"/>
            <w:vAlign w:val="bottom"/>
            <w:tcBorders>
              <w:bottom w:val="single" w:sz="8" w:color="00000A"/>
            </w:tcBorders>
          </w:tcPr>
          <w:p>
            <w:pPr>
              <w:spacing w:after="0"/>
              <w:rPr>
                <w:sz w:val="13"/>
                <w:szCs w:val="13"/>
                <w:color w:val="auto"/>
              </w:rPr>
            </w:pPr>
          </w:p>
        </w:tc>
        <w:tc>
          <w:tcPr>
            <w:tcW w:w="260" w:type="dxa"/>
            <w:vAlign w:val="bottom"/>
            <w:tcBorders>
              <w:bottom w:val="single" w:sz="8" w:color="00000A"/>
            </w:tcBorders>
          </w:tcPr>
          <w:p>
            <w:pPr>
              <w:spacing w:after="0"/>
              <w:rPr>
                <w:sz w:val="13"/>
                <w:szCs w:val="13"/>
                <w:color w:val="auto"/>
              </w:rPr>
            </w:pPr>
          </w:p>
        </w:tc>
        <w:tc>
          <w:tcPr>
            <w:tcW w:w="3080" w:type="dxa"/>
            <w:vAlign w:val="bottom"/>
            <w:tcBorders>
              <w:bottom w:val="single" w:sz="8" w:color="00000A"/>
            </w:tcBorders>
            <w:gridSpan w:val="5"/>
          </w:tcPr>
          <w:p>
            <w:pPr>
              <w:ind w:left="800"/>
              <w:spacing w:after="0"/>
              <w:rPr>
                <w:sz w:val="20"/>
                <w:szCs w:val="20"/>
                <w:color w:val="auto"/>
              </w:rPr>
            </w:pPr>
            <w:r>
              <w:rPr>
                <w:rFonts w:ascii="Arial" w:cs="Arial" w:eastAsia="Arial" w:hAnsi="Arial"/>
                <w:sz w:val="12"/>
                <w:szCs w:val="12"/>
                <w:b w:val="1"/>
                <w:bCs w:val="1"/>
                <w:color w:val="auto"/>
              </w:rPr>
              <w:t>Summary Compensation Table for 2024</w:t>
            </w:r>
          </w:p>
        </w:tc>
        <w:tc>
          <w:tcPr>
            <w:tcW w:w="460" w:type="dxa"/>
            <w:vAlign w:val="bottom"/>
            <w:tcBorders>
              <w:bottom w:val="single" w:sz="8" w:color="00000A"/>
            </w:tcBorders>
          </w:tcPr>
          <w:p>
            <w:pPr>
              <w:spacing w:after="0"/>
              <w:rPr>
                <w:sz w:val="13"/>
                <w:szCs w:val="13"/>
                <w:color w:val="auto"/>
              </w:rPr>
            </w:pPr>
          </w:p>
        </w:tc>
        <w:tc>
          <w:tcPr>
            <w:tcW w:w="600" w:type="dxa"/>
            <w:vAlign w:val="bottom"/>
            <w:tcBorders>
              <w:bottom w:val="single" w:sz="8" w:color="00000A"/>
            </w:tcBorders>
          </w:tcPr>
          <w:p>
            <w:pPr>
              <w:spacing w:after="0"/>
              <w:rPr>
                <w:sz w:val="13"/>
                <w:szCs w:val="13"/>
                <w:color w:val="auto"/>
              </w:rPr>
            </w:pPr>
          </w:p>
        </w:tc>
        <w:tc>
          <w:tcPr>
            <w:tcW w:w="60" w:type="dxa"/>
            <w:vAlign w:val="bottom"/>
            <w:tcBorders>
              <w:bottom w:val="single" w:sz="8" w:color="00000A"/>
            </w:tcBorders>
          </w:tcPr>
          <w:p>
            <w:pPr>
              <w:spacing w:after="0"/>
              <w:rPr>
                <w:sz w:val="13"/>
                <w:szCs w:val="13"/>
                <w:color w:val="auto"/>
              </w:rPr>
            </w:pPr>
          </w:p>
        </w:tc>
        <w:tc>
          <w:tcPr>
            <w:tcW w:w="1160" w:type="dxa"/>
            <w:vAlign w:val="bottom"/>
            <w:tcBorders>
              <w:bottom w:val="single" w:sz="8" w:color="00000A"/>
            </w:tcBorders>
          </w:tcPr>
          <w:p>
            <w:pPr>
              <w:spacing w:after="0"/>
              <w:rPr>
                <w:sz w:val="13"/>
                <w:szCs w:val="13"/>
                <w:color w:val="auto"/>
              </w:rPr>
            </w:pPr>
          </w:p>
        </w:tc>
        <w:tc>
          <w:tcPr>
            <w:tcW w:w="1200" w:type="dxa"/>
            <w:vAlign w:val="bottom"/>
            <w:tcBorders>
              <w:bottom w:val="single" w:sz="8" w:color="00000A"/>
            </w:tcBorders>
          </w:tcPr>
          <w:p>
            <w:pPr>
              <w:spacing w:after="0"/>
              <w:rPr>
                <w:sz w:val="13"/>
                <w:szCs w:val="13"/>
                <w:color w:val="auto"/>
              </w:rPr>
            </w:pPr>
          </w:p>
        </w:tc>
        <w:tc>
          <w:tcPr>
            <w:tcW w:w="220" w:type="dxa"/>
            <w:vAlign w:val="bottom"/>
            <w:tcBorders>
              <w:bottom w:val="single" w:sz="8" w:color="00000A"/>
            </w:tcBorders>
          </w:tcPr>
          <w:p>
            <w:pPr>
              <w:spacing w:after="0"/>
              <w:rPr>
                <w:sz w:val="13"/>
                <w:szCs w:val="13"/>
                <w:color w:val="auto"/>
              </w:rPr>
            </w:pPr>
          </w:p>
        </w:tc>
        <w:tc>
          <w:tcPr>
            <w:tcW w:w="780" w:type="dxa"/>
            <w:vAlign w:val="bottom"/>
            <w:tcBorders>
              <w:bottom w:val="single" w:sz="8" w:color="00000A"/>
              <w:right w:val="single" w:sz="8" w:color="00000A"/>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580" w:type="dxa"/>
            <w:vAlign w:val="bottom"/>
            <w:tcBorders>
              <w:left w:val="single" w:sz="8" w:color="00000A"/>
            </w:tcBorders>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right w:val="single" w:sz="8" w:color="00000A"/>
            </w:tcBorders>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Borders>
              <w:right w:val="single" w:sz="8" w:color="00000A"/>
            </w:tcBorders>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Borders>
              <w:right w:val="single" w:sz="8" w:color="00000A"/>
            </w:tcBorders>
          </w:tcPr>
          <w:p>
            <w:pPr>
              <w:spacing w:after="0"/>
              <w:rPr>
                <w:sz w:val="9"/>
                <w:szCs w:val="9"/>
                <w:color w:val="auto"/>
              </w:rPr>
            </w:pPr>
          </w:p>
        </w:tc>
        <w:tc>
          <w:tcPr>
            <w:tcW w:w="900" w:type="dxa"/>
            <w:vAlign w:val="bottom"/>
            <w:tcBorders>
              <w:right w:val="single" w:sz="8" w:color="00000A"/>
            </w:tcBorders>
          </w:tcPr>
          <w:p>
            <w:pPr>
              <w:spacing w:after="0"/>
              <w:rPr>
                <w:sz w:val="9"/>
                <w:szCs w:val="9"/>
                <w:color w:val="auto"/>
              </w:rPr>
            </w:pPr>
          </w:p>
        </w:tc>
        <w:tc>
          <w:tcPr>
            <w:tcW w:w="1060" w:type="dxa"/>
            <w:vAlign w:val="bottom"/>
            <w:tcBorders>
              <w:right w:val="single" w:sz="8" w:color="00000A"/>
            </w:tcBorders>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Borders>
              <w:right w:val="single" w:sz="8" w:color="00000A"/>
            </w:tcBorders>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Borders>
              <w:right w:val="single" w:sz="8" w:color="00000A"/>
            </w:tcBorders>
          </w:tcPr>
          <w:p>
            <w:pPr>
              <w:spacing w:after="0"/>
              <w:rPr>
                <w:sz w:val="9"/>
                <w:szCs w:val="9"/>
                <w:color w:val="auto"/>
              </w:rPr>
            </w:pPr>
          </w:p>
        </w:tc>
        <w:tc>
          <w:tcPr>
            <w:tcW w:w="1220" w:type="dxa"/>
            <w:vAlign w:val="bottom"/>
            <w:tcBorders>
              <w:right w:val="single" w:sz="8" w:color="00000A"/>
            </w:tcBorders>
            <w:gridSpan w:val="2"/>
          </w:tcPr>
          <w:p>
            <w:pPr>
              <w:jc w:val="center"/>
              <w:spacing w:after="0" w:line="110" w:lineRule="exact"/>
              <w:rPr>
                <w:sz w:val="20"/>
                <w:szCs w:val="20"/>
                <w:color w:val="auto"/>
              </w:rPr>
            </w:pPr>
            <w:r>
              <w:rPr>
                <w:rFonts w:ascii="Arial" w:cs="Arial" w:eastAsia="Arial" w:hAnsi="Arial"/>
                <w:sz w:val="12"/>
                <w:szCs w:val="12"/>
                <w:b w:val="1"/>
                <w:bCs w:val="1"/>
                <w:color w:val="auto"/>
              </w:rPr>
              <w:t>Changes in Pension</w:t>
            </w:r>
          </w:p>
        </w:tc>
        <w:tc>
          <w:tcPr>
            <w:tcW w:w="1200" w:type="dxa"/>
            <w:vAlign w:val="bottom"/>
            <w:tcBorders>
              <w:right w:val="single" w:sz="8" w:color="00000A"/>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580" w:type="dxa"/>
            <w:vAlign w:val="bottom"/>
            <w:tcBorders>
              <w:left w:val="single" w:sz="8" w:color="00000A"/>
            </w:tcBorders>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right w:val="single" w:sz="8" w:color="00000A"/>
            </w:tcBorders>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Borders>
              <w:right w:val="single" w:sz="8" w:color="00000A"/>
            </w:tcBorders>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Borders>
              <w:right w:val="single" w:sz="8" w:color="00000A"/>
            </w:tcBorders>
          </w:tcPr>
          <w:p>
            <w:pPr>
              <w:spacing w:after="0"/>
              <w:rPr>
                <w:sz w:val="10"/>
                <w:szCs w:val="10"/>
                <w:color w:val="auto"/>
              </w:rPr>
            </w:pPr>
          </w:p>
        </w:tc>
        <w:tc>
          <w:tcPr>
            <w:tcW w:w="900" w:type="dxa"/>
            <w:vAlign w:val="bottom"/>
            <w:tcBorders>
              <w:right w:val="single" w:sz="8" w:color="00000A"/>
            </w:tcBorders>
          </w:tcPr>
          <w:p>
            <w:pPr>
              <w:spacing w:after="0"/>
              <w:rPr>
                <w:sz w:val="10"/>
                <w:szCs w:val="10"/>
                <w:color w:val="auto"/>
              </w:rPr>
            </w:pPr>
          </w:p>
        </w:tc>
        <w:tc>
          <w:tcPr>
            <w:tcW w:w="1060" w:type="dxa"/>
            <w:vAlign w:val="bottom"/>
            <w:tcBorders>
              <w:right w:val="single" w:sz="8" w:color="00000A"/>
            </w:tcBorders>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Borders>
              <w:right w:val="single" w:sz="8" w:color="00000A"/>
            </w:tcBorders>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Borders>
              <w:right w:val="single" w:sz="8" w:color="00000A"/>
            </w:tcBorders>
            <w:gridSpan w:val="2"/>
            <w:vMerge w:val="restart"/>
          </w:tcPr>
          <w:p>
            <w:pPr>
              <w:jc w:val="center"/>
              <w:ind w:right="110"/>
              <w:spacing w:after="0"/>
              <w:rPr>
                <w:sz w:val="20"/>
                <w:szCs w:val="20"/>
                <w:color w:val="auto"/>
              </w:rPr>
            </w:pPr>
            <w:r>
              <w:rPr>
                <w:rFonts w:ascii="Arial" w:cs="Arial" w:eastAsia="Arial" w:hAnsi="Arial"/>
                <w:sz w:val="12"/>
                <w:szCs w:val="12"/>
                <w:b w:val="1"/>
                <w:bCs w:val="1"/>
                <w:color w:val="auto"/>
              </w:rPr>
              <w:t>(3)</w:t>
            </w:r>
          </w:p>
        </w:tc>
        <w:tc>
          <w:tcPr>
            <w:tcW w:w="60" w:type="dxa"/>
            <w:vAlign w:val="bottom"/>
          </w:tcPr>
          <w:p>
            <w:pPr>
              <w:spacing w:after="0"/>
              <w:rPr>
                <w:sz w:val="10"/>
                <w:szCs w:val="10"/>
                <w:color w:val="auto"/>
              </w:rPr>
            </w:pPr>
          </w:p>
        </w:tc>
        <w:tc>
          <w:tcPr>
            <w:tcW w:w="1160" w:type="dxa"/>
            <w:vAlign w:val="bottom"/>
            <w:tcBorders>
              <w:right w:val="single" w:sz="8" w:color="00000A"/>
            </w:tcBorders>
          </w:tcPr>
          <w:p>
            <w:pPr>
              <w:jc w:val="center"/>
              <w:ind w:right="13"/>
              <w:spacing w:after="0" w:line="124" w:lineRule="exact"/>
              <w:rPr>
                <w:sz w:val="20"/>
                <w:szCs w:val="20"/>
                <w:color w:val="auto"/>
              </w:rPr>
            </w:pPr>
            <w:r>
              <w:rPr>
                <w:rFonts w:ascii="Arial" w:cs="Arial" w:eastAsia="Arial" w:hAnsi="Arial"/>
                <w:sz w:val="12"/>
                <w:szCs w:val="12"/>
                <w:b w:val="1"/>
                <w:bCs w:val="1"/>
                <w:color w:val="auto"/>
              </w:rPr>
              <w:t>Value and Non-</w:t>
            </w:r>
          </w:p>
        </w:tc>
        <w:tc>
          <w:tcPr>
            <w:tcW w:w="1200" w:type="dxa"/>
            <w:vAlign w:val="bottom"/>
            <w:tcBorders>
              <w:right w:val="single" w:sz="8" w:color="00000A"/>
            </w:tcBorders>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Borders>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80" w:type="dxa"/>
            <w:vAlign w:val="bottom"/>
            <w:tcBorders>
              <w:left w:val="single" w:sz="8" w:color="00000A"/>
            </w:tcBorders>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right w:val="single" w:sz="8" w:color="00000A"/>
            </w:tcBorders>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Borders>
              <w:right w:val="single" w:sz="8" w:color="00000A"/>
            </w:tcBorders>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Borders>
              <w:right w:val="single" w:sz="8" w:color="00000A"/>
            </w:tcBorders>
          </w:tcPr>
          <w:p>
            <w:pPr>
              <w:spacing w:after="0"/>
              <w:rPr>
                <w:sz w:val="10"/>
                <w:szCs w:val="10"/>
                <w:color w:val="auto"/>
              </w:rPr>
            </w:pPr>
          </w:p>
        </w:tc>
        <w:tc>
          <w:tcPr>
            <w:tcW w:w="900" w:type="dxa"/>
            <w:vAlign w:val="bottom"/>
            <w:tcBorders>
              <w:right w:val="single" w:sz="8" w:color="00000A"/>
            </w:tcBorders>
          </w:tcPr>
          <w:p>
            <w:pPr>
              <w:spacing w:after="0"/>
              <w:rPr>
                <w:sz w:val="10"/>
                <w:szCs w:val="10"/>
                <w:color w:val="auto"/>
              </w:rPr>
            </w:pPr>
          </w:p>
        </w:tc>
        <w:tc>
          <w:tcPr>
            <w:tcW w:w="1060" w:type="dxa"/>
            <w:vAlign w:val="bottom"/>
            <w:tcBorders>
              <w:right w:val="single" w:sz="8" w:color="00000A"/>
            </w:tcBorders>
            <w:vMerge w:val="restart"/>
          </w:tcPr>
          <w:p>
            <w:pPr>
              <w:jc w:val="right"/>
              <w:ind w:right="412"/>
              <w:spacing w:after="0"/>
              <w:rPr>
                <w:sz w:val="20"/>
                <w:szCs w:val="20"/>
                <w:color w:val="auto"/>
              </w:rPr>
            </w:pPr>
            <w:r>
              <w:rPr>
                <w:rFonts w:ascii="Arial" w:cs="Arial" w:eastAsia="Arial" w:hAnsi="Arial"/>
                <w:sz w:val="12"/>
                <w:szCs w:val="12"/>
                <w:b w:val="1"/>
                <w:bCs w:val="1"/>
                <w:color w:val="auto"/>
              </w:rPr>
              <w:t>(1)</w:t>
            </w:r>
          </w:p>
        </w:tc>
        <w:tc>
          <w:tcPr>
            <w:tcW w:w="300" w:type="dxa"/>
            <w:vAlign w:val="bottom"/>
          </w:tcPr>
          <w:p>
            <w:pPr>
              <w:spacing w:after="0"/>
              <w:rPr>
                <w:sz w:val="10"/>
                <w:szCs w:val="10"/>
                <w:color w:val="auto"/>
              </w:rPr>
            </w:pPr>
          </w:p>
        </w:tc>
        <w:tc>
          <w:tcPr>
            <w:tcW w:w="660" w:type="dxa"/>
            <w:vAlign w:val="bottom"/>
            <w:tcBorders>
              <w:right w:val="single" w:sz="8" w:color="00000A"/>
            </w:tcBorders>
            <w:vMerge w:val="restart"/>
          </w:tcPr>
          <w:p>
            <w:pPr>
              <w:ind w:left="10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0"/>
                <w:szCs w:val="10"/>
                <w:color w:val="auto"/>
              </w:rPr>
            </w:pPr>
          </w:p>
        </w:tc>
        <w:tc>
          <w:tcPr>
            <w:tcW w:w="1060" w:type="dxa"/>
            <w:vAlign w:val="bottom"/>
            <w:tcBorders>
              <w:right w:val="single" w:sz="8" w:color="00000A"/>
            </w:tcBorders>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Borders>
              <w:right w:val="single" w:sz="8" w:color="00000A"/>
            </w:tcBorders>
          </w:tcPr>
          <w:p>
            <w:pPr>
              <w:jc w:val="center"/>
              <w:ind w:right="33"/>
              <w:spacing w:after="0" w:line="121" w:lineRule="exact"/>
              <w:rPr>
                <w:sz w:val="20"/>
                <w:szCs w:val="20"/>
                <w:color w:val="auto"/>
              </w:rPr>
            </w:pPr>
            <w:r>
              <w:rPr>
                <w:rFonts w:ascii="Arial" w:cs="Arial" w:eastAsia="Arial" w:hAnsi="Arial"/>
                <w:sz w:val="12"/>
                <w:szCs w:val="12"/>
                <w:b w:val="1"/>
                <w:bCs w:val="1"/>
                <w:color w:val="auto"/>
                <w:w w:val="99"/>
              </w:rPr>
              <w:t>qualified Deferred</w:t>
            </w:r>
          </w:p>
        </w:tc>
        <w:tc>
          <w:tcPr>
            <w:tcW w:w="120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2"/>
                <w:szCs w:val="12"/>
                <w:b w:val="1"/>
                <w:bCs w:val="1"/>
                <w:color w:val="auto"/>
                <w:w w:val="95"/>
              </w:rPr>
              <w:t>(4)</w:t>
            </w:r>
          </w:p>
        </w:tc>
        <w:tc>
          <w:tcPr>
            <w:tcW w:w="220" w:type="dxa"/>
            <w:vAlign w:val="bottom"/>
          </w:tcPr>
          <w:p>
            <w:pPr>
              <w:spacing w:after="0"/>
              <w:rPr>
                <w:sz w:val="10"/>
                <w:szCs w:val="10"/>
                <w:color w:val="auto"/>
              </w:rPr>
            </w:pPr>
          </w:p>
        </w:tc>
        <w:tc>
          <w:tcPr>
            <w:tcW w:w="780" w:type="dxa"/>
            <w:vAlign w:val="bottom"/>
            <w:tcBorders>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580" w:type="dxa"/>
            <w:vAlign w:val="bottom"/>
            <w:tcBorders>
              <w:left w:val="single" w:sz="8" w:color="00000A"/>
            </w:tcBorders>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right w:val="single" w:sz="8" w:color="00000A"/>
            </w:tcBorders>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Borders>
              <w:right w:val="single" w:sz="8" w:color="00000A"/>
            </w:tcBorders>
          </w:tcPr>
          <w:p>
            <w:pPr>
              <w:spacing w:after="0"/>
              <w:rPr>
                <w:sz w:val="10"/>
                <w:szCs w:val="10"/>
                <w:color w:val="auto"/>
              </w:rPr>
            </w:pPr>
          </w:p>
        </w:tc>
        <w:tc>
          <w:tcPr>
            <w:tcW w:w="680" w:type="dxa"/>
            <w:vAlign w:val="bottom"/>
            <w:vMerge w:val="restart"/>
          </w:tcPr>
          <w:p>
            <w:pPr>
              <w:jc w:val="center"/>
              <w:ind w:left="132"/>
              <w:spacing w:after="0"/>
              <w:rPr>
                <w:sz w:val="20"/>
                <w:szCs w:val="20"/>
                <w:color w:val="auto"/>
              </w:rPr>
            </w:pPr>
            <w:r>
              <w:rPr>
                <w:rFonts w:ascii="Arial" w:cs="Arial" w:eastAsia="Arial" w:hAnsi="Arial"/>
                <w:sz w:val="12"/>
                <w:szCs w:val="12"/>
                <w:b w:val="1"/>
                <w:bCs w:val="1"/>
                <w:color w:val="auto"/>
                <w:w w:val="99"/>
              </w:rPr>
              <w:t>Salary</w:t>
            </w:r>
          </w:p>
        </w:tc>
        <w:tc>
          <w:tcPr>
            <w:tcW w:w="260" w:type="dxa"/>
            <w:vAlign w:val="bottom"/>
            <w:tcBorders>
              <w:right w:val="single" w:sz="8" w:color="00000A"/>
            </w:tcBorders>
          </w:tcPr>
          <w:p>
            <w:pPr>
              <w:spacing w:after="0"/>
              <w:rPr>
                <w:sz w:val="10"/>
                <w:szCs w:val="10"/>
                <w:color w:val="auto"/>
              </w:rPr>
            </w:pPr>
          </w:p>
        </w:tc>
        <w:tc>
          <w:tcPr>
            <w:tcW w:w="900" w:type="dxa"/>
            <w:vAlign w:val="bottom"/>
            <w:tcBorders>
              <w:right w:val="single" w:sz="8" w:color="00000A"/>
            </w:tcBorders>
            <w:vMerge w:val="restart"/>
          </w:tcPr>
          <w:p>
            <w:pPr>
              <w:ind w:left="240"/>
              <w:spacing w:after="0"/>
              <w:rPr>
                <w:sz w:val="20"/>
                <w:szCs w:val="20"/>
                <w:color w:val="auto"/>
              </w:rPr>
            </w:pPr>
            <w:r>
              <w:rPr>
                <w:rFonts w:ascii="Arial" w:cs="Arial" w:eastAsia="Arial" w:hAnsi="Arial"/>
                <w:sz w:val="12"/>
                <w:szCs w:val="12"/>
                <w:b w:val="1"/>
                <w:bCs w:val="1"/>
                <w:color w:val="auto"/>
              </w:rPr>
              <w:t>Bonus</w:t>
            </w:r>
          </w:p>
        </w:tc>
        <w:tc>
          <w:tcPr>
            <w:tcW w:w="1060" w:type="dxa"/>
            <w:vAlign w:val="bottom"/>
            <w:tcBorders>
              <w:right w:val="single" w:sz="8" w:color="00000A"/>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Borders>
              <w:right w:val="single" w:sz="8" w:color="00000A"/>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Borders>
              <w:right w:val="single" w:sz="8" w:color="00000A"/>
            </w:tcBorders>
            <w:gridSpan w:val="2"/>
          </w:tcPr>
          <w:p>
            <w:pPr>
              <w:jc w:val="center"/>
              <w:ind w:right="110"/>
              <w:spacing w:after="0" w:line="116" w:lineRule="exact"/>
              <w:rPr>
                <w:sz w:val="20"/>
                <w:szCs w:val="20"/>
                <w:color w:val="auto"/>
              </w:rPr>
            </w:pPr>
            <w:r>
              <w:rPr>
                <w:rFonts w:ascii="Arial" w:cs="Arial" w:eastAsia="Arial" w:hAnsi="Arial"/>
                <w:sz w:val="12"/>
                <w:szCs w:val="12"/>
                <w:b w:val="1"/>
                <w:bCs w:val="1"/>
                <w:color w:val="auto"/>
                <w:w w:val="99"/>
              </w:rPr>
              <w:t>Non-Equity</w:t>
            </w:r>
          </w:p>
        </w:tc>
        <w:tc>
          <w:tcPr>
            <w:tcW w:w="60" w:type="dxa"/>
            <w:vAlign w:val="bottom"/>
          </w:tcPr>
          <w:p>
            <w:pPr>
              <w:spacing w:after="0"/>
              <w:rPr>
                <w:sz w:val="10"/>
                <w:szCs w:val="10"/>
                <w:color w:val="auto"/>
              </w:rPr>
            </w:pPr>
          </w:p>
        </w:tc>
        <w:tc>
          <w:tcPr>
            <w:tcW w:w="1160" w:type="dxa"/>
            <w:vAlign w:val="bottom"/>
            <w:tcBorders>
              <w:right w:val="single" w:sz="8" w:color="00000A"/>
            </w:tcBorders>
          </w:tcPr>
          <w:p>
            <w:pPr>
              <w:jc w:val="center"/>
              <w:ind w:right="13"/>
              <w:spacing w:after="0" w:line="116" w:lineRule="exact"/>
              <w:rPr>
                <w:sz w:val="20"/>
                <w:szCs w:val="20"/>
                <w:color w:val="auto"/>
              </w:rPr>
            </w:pPr>
            <w:r>
              <w:rPr>
                <w:rFonts w:ascii="Arial" w:cs="Arial" w:eastAsia="Arial" w:hAnsi="Arial"/>
                <w:sz w:val="12"/>
                <w:szCs w:val="12"/>
                <w:b w:val="1"/>
                <w:bCs w:val="1"/>
                <w:color w:val="auto"/>
              </w:rPr>
              <w:t>Compensation</w:t>
            </w:r>
          </w:p>
        </w:tc>
        <w:tc>
          <w:tcPr>
            <w:tcW w:w="1200" w:type="dxa"/>
            <w:vAlign w:val="bottom"/>
            <w:tcBorders>
              <w:right w:val="single" w:sz="8" w:color="00000A"/>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Borders>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120" w:type="dxa"/>
            <w:vAlign w:val="bottom"/>
            <w:tcBorders>
              <w:left w:val="single" w:sz="8" w:color="00000A"/>
              <w:right w:val="single" w:sz="8" w:color="00000A"/>
            </w:tcBorders>
            <w:gridSpan w:val="4"/>
            <w:vMerge w:val="restart"/>
          </w:tcPr>
          <w:p>
            <w:pPr>
              <w:ind w:left="240"/>
              <w:spacing w:after="0"/>
              <w:rPr>
                <w:sz w:val="20"/>
                <w:szCs w:val="20"/>
                <w:color w:val="auto"/>
              </w:rPr>
            </w:pPr>
            <w:r>
              <w:rPr>
                <w:rFonts w:ascii="Arial" w:cs="Arial" w:eastAsia="Arial" w:hAnsi="Arial"/>
                <w:sz w:val="12"/>
                <w:szCs w:val="12"/>
                <w:b w:val="1"/>
                <w:bCs w:val="1"/>
                <w:color w:val="auto"/>
              </w:rPr>
              <w:t>Name and Principal Position</w:t>
            </w:r>
          </w:p>
        </w:tc>
        <w:tc>
          <w:tcPr>
            <w:tcW w:w="640" w:type="dxa"/>
            <w:vAlign w:val="bottom"/>
            <w:tcBorders>
              <w:right w:val="single" w:sz="8" w:color="00000A"/>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Year</w:t>
            </w:r>
          </w:p>
        </w:tc>
        <w:tc>
          <w:tcPr>
            <w:tcW w:w="680" w:type="dxa"/>
            <w:vAlign w:val="bottom"/>
            <w:vMerge w:val="continue"/>
          </w:tcPr>
          <w:p>
            <w:pPr>
              <w:spacing w:after="0"/>
              <w:rPr>
                <w:sz w:val="11"/>
                <w:szCs w:val="11"/>
                <w:color w:val="auto"/>
              </w:rPr>
            </w:pPr>
          </w:p>
        </w:tc>
        <w:tc>
          <w:tcPr>
            <w:tcW w:w="260" w:type="dxa"/>
            <w:vAlign w:val="bottom"/>
            <w:tcBorders>
              <w:right w:val="single" w:sz="8" w:color="00000A"/>
            </w:tcBorders>
          </w:tcPr>
          <w:p>
            <w:pPr>
              <w:spacing w:after="0"/>
              <w:rPr>
                <w:sz w:val="11"/>
                <w:szCs w:val="11"/>
                <w:color w:val="auto"/>
              </w:rPr>
            </w:pPr>
          </w:p>
        </w:tc>
        <w:tc>
          <w:tcPr>
            <w:tcW w:w="900" w:type="dxa"/>
            <w:vAlign w:val="bottom"/>
            <w:tcBorders>
              <w:right w:val="single" w:sz="8" w:color="00000A"/>
            </w:tcBorders>
            <w:vMerge w:val="continue"/>
          </w:tcPr>
          <w:p>
            <w:pPr>
              <w:spacing w:after="0"/>
              <w:rPr>
                <w:sz w:val="11"/>
                <w:szCs w:val="11"/>
                <w:color w:val="auto"/>
              </w:rPr>
            </w:pPr>
          </w:p>
        </w:tc>
        <w:tc>
          <w:tcPr>
            <w:tcW w:w="1060" w:type="dxa"/>
            <w:vAlign w:val="bottom"/>
            <w:tcBorders>
              <w:right w:val="single" w:sz="8" w:color="00000A"/>
            </w:tcBorders>
          </w:tcPr>
          <w:p>
            <w:pPr>
              <w:jc w:val="right"/>
              <w:ind w:right="72"/>
              <w:spacing w:after="0" w:line="129" w:lineRule="exact"/>
              <w:rPr>
                <w:sz w:val="20"/>
                <w:szCs w:val="20"/>
                <w:color w:val="auto"/>
              </w:rPr>
            </w:pPr>
            <w:r>
              <w:rPr>
                <w:rFonts w:ascii="Arial" w:cs="Arial" w:eastAsia="Arial" w:hAnsi="Arial"/>
                <w:sz w:val="12"/>
                <w:szCs w:val="12"/>
                <w:b w:val="1"/>
                <w:bCs w:val="1"/>
                <w:color w:val="auto"/>
              </w:rPr>
              <w:t>Stock Awards</w:t>
            </w:r>
          </w:p>
        </w:tc>
        <w:tc>
          <w:tcPr>
            <w:tcW w:w="960" w:type="dxa"/>
            <w:vAlign w:val="bottom"/>
            <w:tcBorders>
              <w:right w:val="single" w:sz="8" w:color="00000A"/>
            </w:tcBorders>
            <w:gridSpan w:val="2"/>
          </w:tcPr>
          <w:p>
            <w:pPr>
              <w:ind w:left="40"/>
              <w:spacing w:after="0" w:line="129" w:lineRule="exact"/>
              <w:rPr>
                <w:sz w:val="20"/>
                <w:szCs w:val="20"/>
                <w:color w:val="auto"/>
              </w:rPr>
            </w:pPr>
            <w:r>
              <w:rPr>
                <w:rFonts w:ascii="Arial" w:cs="Arial" w:eastAsia="Arial" w:hAnsi="Arial"/>
                <w:sz w:val="12"/>
                <w:szCs w:val="12"/>
                <w:b w:val="1"/>
                <w:bCs w:val="1"/>
                <w:color w:val="auto"/>
              </w:rPr>
              <w:t>Option Awards</w:t>
            </w:r>
          </w:p>
        </w:tc>
        <w:tc>
          <w:tcPr>
            <w:tcW w:w="160" w:type="dxa"/>
            <w:vAlign w:val="bottom"/>
          </w:tcPr>
          <w:p>
            <w:pPr>
              <w:spacing w:after="0"/>
              <w:rPr>
                <w:sz w:val="11"/>
                <w:szCs w:val="11"/>
                <w:color w:val="auto"/>
              </w:rPr>
            </w:pPr>
          </w:p>
        </w:tc>
        <w:tc>
          <w:tcPr>
            <w:tcW w:w="1060" w:type="dxa"/>
            <w:vAlign w:val="bottom"/>
            <w:tcBorders>
              <w:right w:val="single" w:sz="8" w:color="00000A"/>
            </w:tcBorders>
            <w:gridSpan w:val="2"/>
          </w:tcPr>
          <w:p>
            <w:pPr>
              <w:jc w:val="center"/>
              <w:ind w:right="110"/>
              <w:spacing w:after="0" w:line="129" w:lineRule="exact"/>
              <w:rPr>
                <w:sz w:val="20"/>
                <w:szCs w:val="20"/>
                <w:color w:val="auto"/>
              </w:rPr>
            </w:pPr>
            <w:r>
              <w:rPr>
                <w:rFonts w:ascii="Arial" w:cs="Arial" w:eastAsia="Arial" w:hAnsi="Arial"/>
                <w:sz w:val="12"/>
                <w:szCs w:val="12"/>
                <w:b w:val="1"/>
                <w:bCs w:val="1"/>
                <w:color w:val="auto"/>
                <w:w w:val="99"/>
              </w:rPr>
              <w:t>Incentive Plan</w:t>
            </w:r>
          </w:p>
        </w:tc>
        <w:tc>
          <w:tcPr>
            <w:tcW w:w="60" w:type="dxa"/>
            <w:vAlign w:val="bottom"/>
          </w:tcPr>
          <w:p>
            <w:pPr>
              <w:spacing w:after="0"/>
              <w:rPr>
                <w:sz w:val="11"/>
                <w:szCs w:val="11"/>
                <w:color w:val="auto"/>
              </w:rPr>
            </w:pPr>
          </w:p>
        </w:tc>
        <w:tc>
          <w:tcPr>
            <w:tcW w:w="1160" w:type="dxa"/>
            <w:vAlign w:val="bottom"/>
            <w:tcBorders>
              <w:right w:val="single" w:sz="8" w:color="00000A"/>
            </w:tcBorders>
          </w:tcPr>
          <w:p>
            <w:pPr>
              <w:jc w:val="center"/>
              <w:ind w:right="13"/>
              <w:spacing w:after="0" w:line="129" w:lineRule="exact"/>
              <w:rPr>
                <w:sz w:val="20"/>
                <w:szCs w:val="20"/>
                <w:color w:val="auto"/>
              </w:rPr>
            </w:pPr>
            <w:r>
              <w:rPr>
                <w:rFonts w:ascii="Arial" w:cs="Arial" w:eastAsia="Arial" w:hAnsi="Arial"/>
                <w:sz w:val="12"/>
                <w:szCs w:val="12"/>
                <w:b w:val="1"/>
                <w:bCs w:val="1"/>
                <w:color w:val="auto"/>
              </w:rPr>
              <w:t>Earnings</w:t>
            </w:r>
          </w:p>
        </w:tc>
        <w:tc>
          <w:tcPr>
            <w:tcW w:w="1200" w:type="dxa"/>
            <w:vAlign w:val="bottom"/>
            <w:tcBorders>
              <w:right w:val="single" w:sz="8" w:color="00000A"/>
            </w:tcBorders>
          </w:tcPr>
          <w:p>
            <w:pPr>
              <w:jc w:val="center"/>
              <w:spacing w:after="0" w:line="129" w:lineRule="exact"/>
              <w:rPr>
                <w:sz w:val="20"/>
                <w:szCs w:val="20"/>
                <w:color w:val="auto"/>
              </w:rPr>
            </w:pPr>
            <w:r>
              <w:rPr>
                <w:rFonts w:ascii="Arial" w:cs="Arial" w:eastAsia="Arial" w:hAnsi="Arial"/>
                <w:sz w:val="12"/>
                <w:szCs w:val="12"/>
                <w:b w:val="1"/>
                <w:bCs w:val="1"/>
                <w:color w:val="auto"/>
                <w:w w:val="98"/>
              </w:rPr>
              <w:t>All Other</w:t>
            </w:r>
          </w:p>
        </w:tc>
        <w:tc>
          <w:tcPr>
            <w:tcW w:w="220" w:type="dxa"/>
            <w:vAlign w:val="bottom"/>
          </w:tcPr>
          <w:p>
            <w:pPr>
              <w:spacing w:after="0"/>
              <w:rPr>
                <w:sz w:val="11"/>
                <w:szCs w:val="11"/>
                <w:color w:val="auto"/>
              </w:rPr>
            </w:pPr>
          </w:p>
        </w:tc>
        <w:tc>
          <w:tcPr>
            <w:tcW w:w="780" w:type="dxa"/>
            <w:vAlign w:val="bottom"/>
            <w:tcBorders>
              <w:right w:val="single" w:sz="8" w:color="00000A"/>
            </w:tcBorders>
            <w:vMerge w:val="restart"/>
          </w:tcPr>
          <w:p>
            <w:pPr>
              <w:jc w:val="right"/>
              <w:ind w:right="211"/>
              <w:spacing w:after="0"/>
              <w:rPr>
                <w:sz w:val="20"/>
                <w:szCs w:val="20"/>
                <w:color w:val="auto"/>
              </w:rPr>
            </w:pPr>
            <w:r>
              <w:rPr>
                <w:rFonts w:ascii="Arial" w:cs="Arial" w:eastAsia="Arial" w:hAnsi="Arial"/>
                <w:sz w:val="12"/>
                <w:szCs w:val="12"/>
                <w:b w:val="1"/>
                <w:bCs w:val="1"/>
                <w:color w:val="auto"/>
              </w:rPr>
              <w:t>Total ($)</w:t>
            </w:r>
          </w:p>
        </w:tc>
        <w:tc>
          <w:tcPr>
            <w:tcW w:w="0" w:type="dxa"/>
            <w:vAlign w:val="bottom"/>
          </w:tcPr>
          <w:p>
            <w:pPr>
              <w:spacing w:after="0"/>
              <w:rPr>
                <w:sz w:val="1"/>
                <w:szCs w:val="1"/>
                <w:color w:val="auto"/>
              </w:rPr>
            </w:pPr>
          </w:p>
        </w:tc>
      </w:tr>
      <w:tr>
        <w:trPr>
          <w:trHeight w:val="166"/>
        </w:trPr>
        <w:tc>
          <w:tcPr>
            <w:tcW w:w="2120" w:type="dxa"/>
            <w:vAlign w:val="bottom"/>
            <w:tcBorders>
              <w:left w:val="single" w:sz="8" w:color="00000A"/>
              <w:bottom w:val="single" w:sz="8" w:color="auto"/>
              <w:right w:val="single" w:sz="8" w:color="00000A"/>
            </w:tcBorders>
            <w:gridSpan w:val="4"/>
            <w:vMerge w:val="continue"/>
          </w:tcPr>
          <w:p>
            <w:pPr>
              <w:spacing w:after="0"/>
              <w:rPr>
                <w:sz w:val="14"/>
                <w:szCs w:val="14"/>
                <w:color w:val="auto"/>
              </w:rPr>
            </w:pPr>
          </w:p>
        </w:tc>
        <w:tc>
          <w:tcPr>
            <w:tcW w:w="640" w:type="dxa"/>
            <w:vAlign w:val="bottom"/>
            <w:tcBorders>
              <w:bottom w:val="single" w:sz="8" w:color="auto"/>
              <w:right w:val="single" w:sz="8" w:color="00000A"/>
            </w:tcBorders>
            <w:gridSpan w:val="2"/>
            <w:vMerge w:val="continue"/>
          </w:tcPr>
          <w:p>
            <w:pPr>
              <w:spacing w:after="0"/>
              <w:rPr>
                <w:sz w:val="14"/>
                <w:szCs w:val="14"/>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2"/>
                <w:szCs w:val="12"/>
                <w:b w:val="1"/>
                <w:bCs w:val="1"/>
                <w:color w:val="auto"/>
              </w:rPr>
              <w:t>($)</w:t>
            </w:r>
          </w:p>
        </w:tc>
        <w:tc>
          <w:tcPr>
            <w:tcW w:w="260" w:type="dxa"/>
            <w:vAlign w:val="bottom"/>
            <w:tcBorders>
              <w:bottom w:val="single" w:sz="8" w:color="auto"/>
              <w:right w:val="single" w:sz="8" w:color="00000A"/>
            </w:tcBorders>
          </w:tcPr>
          <w:p>
            <w:pPr>
              <w:spacing w:after="0"/>
              <w:rPr>
                <w:sz w:val="14"/>
                <w:szCs w:val="14"/>
                <w:color w:val="auto"/>
              </w:rPr>
            </w:pPr>
          </w:p>
        </w:tc>
        <w:tc>
          <w:tcPr>
            <w:tcW w:w="900" w:type="dxa"/>
            <w:vAlign w:val="bottom"/>
            <w:tcBorders>
              <w:bottom w:val="single" w:sz="8" w:color="auto"/>
              <w:right w:val="single" w:sz="8" w:color="00000A"/>
            </w:tcBorders>
          </w:tcPr>
          <w:p>
            <w:pPr>
              <w:ind w:left="360"/>
              <w:spacing w:after="0"/>
              <w:rPr>
                <w:sz w:val="20"/>
                <w:szCs w:val="20"/>
                <w:color w:val="auto"/>
              </w:rPr>
            </w:pPr>
            <w:r>
              <w:rPr>
                <w:rFonts w:ascii="Arial" w:cs="Arial" w:eastAsia="Arial" w:hAnsi="Arial"/>
                <w:sz w:val="12"/>
                <w:szCs w:val="12"/>
                <w:b w:val="1"/>
                <w:bCs w:val="1"/>
                <w:color w:val="auto"/>
              </w:rPr>
              <w:t>($)</w:t>
            </w:r>
          </w:p>
        </w:tc>
        <w:tc>
          <w:tcPr>
            <w:tcW w:w="1060" w:type="dxa"/>
            <w:vAlign w:val="bottom"/>
            <w:tcBorders>
              <w:bottom w:val="single" w:sz="8" w:color="auto"/>
              <w:right w:val="single" w:sz="8" w:color="00000A"/>
            </w:tcBorders>
          </w:tcPr>
          <w:p>
            <w:pPr>
              <w:jc w:val="right"/>
              <w:ind w:right="412"/>
              <w:spacing w:after="0"/>
              <w:rPr>
                <w:sz w:val="20"/>
                <w:szCs w:val="20"/>
                <w:color w:val="auto"/>
              </w:rPr>
            </w:pPr>
            <w:r>
              <w:rPr>
                <w:rFonts w:ascii="Arial" w:cs="Arial" w:eastAsia="Arial" w:hAnsi="Arial"/>
                <w:sz w:val="12"/>
                <w:szCs w:val="12"/>
                <w:b w:val="1"/>
                <w:bCs w:val="1"/>
                <w:color w:val="auto"/>
              </w:rPr>
              <w:t>($)</w:t>
            </w: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12"/>
                <w:szCs w:val="12"/>
                <w:b w:val="1"/>
                <w:bCs w:val="1"/>
                <w:color w:val="auto"/>
              </w:rPr>
              <w:t>($)</w:t>
            </w: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00000A"/>
            </w:tcBorders>
            <w:gridSpan w:val="2"/>
          </w:tcPr>
          <w:p>
            <w:pPr>
              <w:jc w:val="center"/>
              <w:ind w:right="110"/>
              <w:spacing w:after="0"/>
              <w:rPr>
                <w:sz w:val="20"/>
                <w:szCs w:val="20"/>
                <w:color w:val="auto"/>
              </w:rPr>
            </w:pPr>
            <w:r>
              <w:rPr>
                <w:rFonts w:ascii="Arial" w:cs="Arial" w:eastAsia="Arial" w:hAnsi="Arial"/>
                <w:sz w:val="12"/>
                <w:szCs w:val="12"/>
                <w:b w:val="1"/>
                <w:bCs w:val="1"/>
                <w:color w:val="auto"/>
              </w:rPr>
              <w:t>Compensation</w:t>
            </w:r>
          </w:p>
        </w:tc>
        <w:tc>
          <w:tcPr>
            <w:tcW w:w="6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00000A"/>
            </w:tcBorders>
          </w:tcPr>
          <w:p>
            <w:pPr>
              <w:jc w:val="center"/>
              <w:ind w:right="13"/>
              <w:spacing w:after="0"/>
              <w:rPr>
                <w:sz w:val="20"/>
                <w:szCs w:val="20"/>
                <w:color w:val="auto"/>
              </w:rPr>
            </w:pPr>
            <w:r>
              <w:rPr>
                <w:rFonts w:ascii="Arial" w:cs="Arial" w:eastAsia="Arial" w:hAnsi="Arial"/>
                <w:sz w:val="12"/>
                <w:szCs w:val="12"/>
                <w:b w:val="1"/>
                <w:bCs w:val="1"/>
                <w:color w:val="auto"/>
              </w:rPr>
              <w:t>($)</w:t>
            </w:r>
          </w:p>
        </w:tc>
        <w:tc>
          <w:tcPr>
            <w:tcW w:w="1200" w:type="dxa"/>
            <w:vAlign w:val="bottom"/>
            <w:tcBorders>
              <w:bottom w:val="single" w:sz="8" w:color="auto"/>
              <w:right w:val="single" w:sz="8" w:color="00000A"/>
            </w:tcBorders>
          </w:tcPr>
          <w:p>
            <w:pPr>
              <w:jc w:val="center"/>
              <w:spacing w:after="0"/>
              <w:rPr>
                <w:sz w:val="20"/>
                <w:szCs w:val="20"/>
                <w:color w:val="auto"/>
              </w:rPr>
            </w:pPr>
            <w:r>
              <w:rPr>
                <w:rFonts w:ascii="Arial" w:cs="Arial" w:eastAsia="Arial" w:hAnsi="Arial"/>
                <w:sz w:val="12"/>
                <w:szCs w:val="12"/>
                <w:b w:val="1"/>
                <w:bCs w:val="1"/>
                <w:color w:val="auto"/>
              </w:rPr>
              <w:t>Compensation ($)</w:t>
            </w:r>
          </w:p>
        </w:tc>
        <w:tc>
          <w:tcPr>
            <w:tcW w:w="220" w:type="dxa"/>
            <w:vAlign w:val="bottom"/>
            <w:tcBorders>
              <w:bottom w:val="single" w:sz="8" w:color="00000A"/>
            </w:tcBorders>
          </w:tcPr>
          <w:p>
            <w:pPr>
              <w:spacing w:after="0"/>
              <w:rPr>
                <w:sz w:val="14"/>
                <w:szCs w:val="14"/>
                <w:color w:val="auto"/>
              </w:rPr>
            </w:pPr>
          </w:p>
        </w:tc>
        <w:tc>
          <w:tcPr>
            <w:tcW w:w="780" w:type="dxa"/>
            <w:vAlign w:val="bottom"/>
            <w:tcBorders>
              <w:bottom w:val="single" w:sz="8" w:color="00000A"/>
              <w:right w:val="single" w:sz="8" w:color="00000A"/>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80" w:type="dxa"/>
            <w:vAlign w:val="bottom"/>
            <w:tcBorders>
              <w:left w:val="single" w:sz="8" w:color="00000A"/>
            </w:tcBorders>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right w:val="single" w:sz="8" w:color="00000A"/>
            </w:tcBorders>
          </w:tcPr>
          <w:p>
            <w:pPr>
              <w:spacing w:after="0"/>
              <w:rPr>
                <w:sz w:val="19"/>
                <w:szCs w:val="19"/>
                <w:color w:val="auto"/>
              </w:rPr>
            </w:pPr>
          </w:p>
        </w:tc>
        <w:tc>
          <w:tcPr>
            <w:tcW w:w="640" w:type="dxa"/>
            <w:vAlign w:val="bottom"/>
            <w:tcBorders>
              <w:bottom w:val="single" w:sz="8" w:color="CCEEFF"/>
              <w:right w:val="single" w:sz="8" w:color="00000A"/>
            </w:tcBorders>
            <w:gridSpan w:val="2"/>
            <w:shd w:val="clear" w:color="auto" w:fill="CCEEFF"/>
          </w:tcPr>
          <w:p>
            <w:pPr>
              <w:jc w:val="center"/>
              <w:spacing w:after="0"/>
              <w:rPr>
                <w:sz w:val="20"/>
                <w:szCs w:val="20"/>
                <w:color w:val="auto"/>
              </w:rPr>
            </w:pPr>
            <w:r>
              <w:rPr>
                <w:rFonts w:ascii="Arial" w:cs="Arial" w:eastAsia="Arial" w:hAnsi="Arial"/>
                <w:sz w:val="14"/>
                <w:szCs w:val="14"/>
                <w:color w:val="auto"/>
                <w:w w:val="96"/>
              </w:rPr>
              <w:t>2024</w:t>
            </w:r>
          </w:p>
        </w:tc>
        <w:tc>
          <w:tcPr>
            <w:tcW w:w="940" w:type="dxa"/>
            <w:vAlign w:val="bottom"/>
            <w:tcBorders>
              <w:bottom w:val="single" w:sz="8" w:color="CCEEFF"/>
              <w:right w:val="single" w:sz="8" w:color="00000A"/>
            </w:tcBorders>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850,000</w:t>
            </w:r>
          </w:p>
        </w:tc>
        <w:tc>
          <w:tcPr>
            <w:tcW w:w="900" w:type="dxa"/>
            <w:vAlign w:val="bottom"/>
            <w:tcBorders>
              <w:bottom w:val="single" w:sz="8" w:color="CCEEFF"/>
              <w:right w:val="single" w:sz="8" w:color="00000A"/>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right w:val="single" w:sz="8" w:color="00000A"/>
            </w:tcBorders>
            <w:shd w:val="clear" w:color="auto" w:fill="CCEEFF"/>
          </w:tcPr>
          <w:p>
            <w:pPr>
              <w:jc w:val="right"/>
              <w:ind w:right="12"/>
              <w:spacing w:after="0"/>
              <w:rPr>
                <w:sz w:val="20"/>
                <w:szCs w:val="20"/>
                <w:color w:val="auto"/>
              </w:rPr>
            </w:pPr>
            <w:r>
              <w:rPr>
                <w:rFonts w:ascii="Arial" w:cs="Arial" w:eastAsia="Arial" w:hAnsi="Arial"/>
                <w:sz w:val="14"/>
                <w:szCs w:val="14"/>
                <w:color w:val="auto"/>
              </w:rPr>
              <w:t>2,931,383</w:t>
            </w:r>
          </w:p>
        </w:tc>
        <w:tc>
          <w:tcPr>
            <w:tcW w:w="3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right w:val="single" w:sz="8" w:color="00000A"/>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right w:val="single" w:sz="8" w:color="00000A"/>
            </w:tcBorders>
            <w:shd w:val="clear" w:color="auto" w:fill="CCEEFF"/>
          </w:tcPr>
          <w:p>
            <w:pPr>
              <w:jc w:val="right"/>
              <w:ind w:right="10"/>
              <w:spacing w:after="0"/>
              <w:rPr>
                <w:sz w:val="20"/>
                <w:szCs w:val="20"/>
                <w:color w:val="auto"/>
              </w:rPr>
            </w:pPr>
            <w:r>
              <w:rPr>
                <w:rFonts w:ascii="Arial" w:cs="Arial" w:eastAsia="Arial" w:hAnsi="Arial"/>
                <w:sz w:val="14"/>
                <w:szCs w:val="14"/>
                <w:color w:val="auto"/>
                <w:w w:val="98"/>
              </w:rPr>
              <w:t>634,211</w:t>
            </w:r>
          </w:p>
        </w:tc>
        <w:tc>
          <w:tcPr>
            <w:tcW w:w="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right w:val="single" w:sz="8" w:color="00000A"/>
            </w:tcBorders>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right w:val="single" w:sz="8" w:color="00000A"/>
            </w:tcBorders>
            <w:shd w:val="clear" w:color="auto" w:fill="CCEEFF"/>
          </w:tcPr>
          <w:p>
            <w:pPr>
              <w:jc w:val="right"/>
              <w:ind w:right="12"/>
              <w:spacing w:after="0"/>
              <w:rPr>
                <w:sz w:val="20"/>
                <w:szCs w:val="20"/>
                <w:color w:val="auto"/>
              </w:rPr>
            </w:pPr>
            <w:r>
              <w:rPr>
                <w:rFonts w:ascii="Arial" w:cs="Arial" w:eastAsia="Arial" w:hAnsi="Arial"/>
                <w:sz w:val="14"/>
                <w:szCs w:val="14"/>
                <w:color w:val="auto"/>
              </w:rPr>
              <w:t>364,768</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right w:val="single" w:sz="8" w:color="00000A"/>
            </w:tcBorders>
            <w:shd w:val="clear" w:color="auto" w:fill="CCEEFF"/>
          </w:tcPr>
          <w:p>
            <w:pPr>
              <w:jc w:val="right"/>
              <w:ind w:right="11"/>
              <w:spacing w:after="0"/>
              <w:rPr>
                <w:sz w:val="20"/>
                <w:szCs w:val="20"/>
                <w:color w:val="auto"/>
              </w:rPr>
            </w:pPr>
            <w:r>
              <w:rPr>
                <w:rFonts w:ascii="Arial" w:cs="Arial" w:eastAsia="Arial" w:hAnsi="Arial"/>
                <w:sz w:val="14"/>
                <w:szCs w:val="14"/>
                <w:color w:val="auto"/>
              </w:rPr>
              <w:t>4,780,362</w:t>
            </w:r>
          </w:p>
        </w:tc>
        <w:tc>
          <w:tcPr>
            <w:tcW w:w="0" w:type="dxa"/>
            <w:vAlign w:val="bottom"/>
          </w:tcPr>
          <w:p>
            <w:pPr>
              <w:spacing w:after="0"/>
              <w:rPr>
                <w:sz w:val="1"/>
                <w:szCs w:val="1"/>
                <w:color w:val="auto"/>
              </w:rPr>
            </w:pPr>
          </w:p>
        </w:tc>
      </w:tr>
      <w:tr>
        <w:trPr>
          <w:trHeight w:val="70"/>
        </w:trPr>
        <w:tc>
          <w:tcPr>
            <w:tcW w:w="1320" w:type="dxa"/>
            <w:vAlign w:val="bottom"/>
            <w:tcBorders>
              <w:left w:val="single" w:sz="8" w:color="00000A"/>
            </w:tcBorders>
            <w:gridSpan w:val="2"/>
          </w:tcPr>
          <w:p>
            <w:pPr>
              <w:ind w:left="40"/>
              <w:spacing w:after="0" w:line="70" w:lineRule="exact"/>
              <w:rPr>
                <w:sz w:val="20"/>
                <w:szCs w:val="20"/>
                <w:color w:val="auto"/>
              </w:rPr>
            </w:pPr>
            <w:r>
              <w:rPr>
                <w:rFonts w:ascii="Arial" w:cs="Arial" w:eastAsia="Arial" w:hAnsi="Arial"/>
                <w:sz w:val="8"/>
                <w:szCs w:val="8"/>
                <w:color w:val="auto"/>
              </w:rPr>
              <w:t>Steve Downing,</w:t>
            </w:r>
          </w:p>
        </w:tc>
        <w:tc>
          <w:tcPr>
            <w:tcW w:w="700" w:type="dxa"/>
            <w:vAlign w:val="bottom"/>
          </w:tcPr>
          <w:p>
            <w:pPr>
              <w:spacing w:after="0"/>
              <w:rPr>
                <w:sz w:val="6"/>
                <w:szCs w:val="6"/>
                <w:color w:val="auto"/>
              </w:rPr>
            </w:pPr>
          </w:p>
        </w:tc>
        <w:tc>
          <w:tcPr>
            <w:tcW w:w="100" w:type="dxa"/>
            <w:vAlign w:val="bottom"/>
            <w:tcBorders>
              <w:right w:val="single" w:sz="8" w:color="00000A"/>
            </w:tcBorders>
          </w:tcPr>
          <w:p>
            <w:pPr>
              <w:spacing w:after="0"/>
              <w:rPr>
                <w:sz w:val="6"/>
                <w:szCs w:val="6"/>
                <w:color w:val="auto"/>
              </w:rPr>
            </w:pPr>
          </w:p>
        </w:tc>
        <w:tc>
          <w:tcPr>
            <w:tcW w:w="640" w:type="dxa"/>
            <w:vAlign w:val="bottom"/>
            <w:tcBorders>
              <w:top w:val="single" w:sz="8" w:color="auto"/>
              <w:right w:val="single" w:sz="8" w:color="00000A"/>
            </w:tcBorders>
            <w:gridSpan w:val="2"/>
            <w:vMerge w:val="restart"/>
          </w:tcPr>
          <w:p>
            <w:pPr>
              <w:jc w:val="center"/>
              <w:spacing w:after="0"/>
              <w:rPr>
                <w:sz w:val="20"/>
                <w:szCs w:val="20"/>
                <w:color w:val="auto"/>
              </w:rPr>
            </w:pPr>
            <w:r>
              <w:rPr>
                <w:rFonts w:ascii="Arial" w:cs="Arial" w:eastAsia="Arial" w:hAnsi="Arial"/>
                <w:sz w:val="14"/>
                <w:szCs w:val="14"/>
                <w:color w:val="auto"/>
                <w:w w:val="96"/>
              </w:rPr>
              <w:t>2023</w:t>
            </w:r>
          </w:p>
        </w:tc>
        <w:tc>
          <w:tcPr>
            <w:tcW w:w="940" w:type="dxa"/>
            <w:vAlign w:val="bottom"/>
            <w:tcBorders>
              <w:top w:val="single" w:sz="8" w:color="auto"/>
              <w:right w:val="single" w:sz="8" w:color="00000A"/>
            </w:tcBorders>
            <w:gridSpan w:val="2"/>
            <w:vMerge w:val="restart"/>
          </w:tcPr>
          <w:p>
            <w:pPr>
              <w:jc w:val="right"/>
              <w:ind w:right="14"/>
              <w:spacing w:after="0"/>
              <w:rPr>
                <w:sz w:val="20"/>
                <w:szCs w:val="20"/>
                <w:color w:val="auto"/>
              </w:rPr>
            </w:pPr>
            <w:r>
              <w:rPr>
                <w:rFonts w:ascii="Arial" w:cs="Arial" w:eastAsia="Arial" w:hAnsi="Arial"/>
                <w:sz w:val="14"/>
                <w:szCs w:val="14"/>
                <w:color w:val="auto"/>
              </w:rPr>
              <w:t>842,693</w:t>
            </w:r>
          </w:p>
        </w:tc>
        <w:tc>
          <w:tcPr>
            <w:tcW w:w="900" w:type="dxa"/>
            <w:vAlign w:val="bottom"/>
            <w:tcBorders>
              <w:top w:val="single" w:sz="8" w:color="auto"/>
              <w:right w:val="single" w:sz="8" w:color="00000A"/>
            </w:tcBorders>
            <w:vMerge w:val="restart"/>
          </w:tcPr>
          <w:p>
            <w:pPr>
              <w:ind w:left="68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right w:val="single" w:sz="8" w:color="00000A"/>
            </w:tcBorders>
            <w:vMerge w:val="restart"/>
          </w:tcPr>
          <w:p>
            <w:pPr>
              <w:jc w:val="right"/>
              <w:ind w:right="12"/>
              <w:spacing w:after="0"/>
              <w:rPr>
                <w:sz w:val="20"/>
                <w:szCs w:val="20"/>
                <w:color w:val="auto"/>
              </w:rPr>
            </w:pPr>
            <w:r>
              <w:rPr>
                <w:rFonts w:ascii="Arial" w:cs="Arial" w:eastAsia="Arial" w:hAnsi="Arial"/>
                <w:sz w:val="14"/>
                <w:szCs w:val="14"/>
                <w:color w:val="auto"/>
              </w:rPr>
              <w:t>4,418,429</w:t>
            </w:r>
          </w:p>
        </w:tc>
        <w:tc>
          <w:tcPr>
            <w:tcW w:w="300" w:type="dxa"/>
            <w:vAlign w:val="bottom"/>
            <w:tcBorders>
              <w:top w:val="single" w:sz="8" w:color="auto"/>
            </w:tcBorders>
          </w:tcPr>
          <w:p>
            <w:pPr>
              <w:spacing w:after="0"/>
              <w:rPr>
                <w:sz w:val="6"/>
                <w:szCs w:val="6"/>
                <w:color w:val="auto"/>
              </w:rPr>
            </w:pPr>
          </w:p>
        </w:tc>
        <w:tc>
          <w:tcPr>
            <w:tcW w:w="660" w:type="dxa"/>
            <w:vAlign w:val="bottom"/>
            <w:tcBorders>
              <w:top w:val="single" w:sz="8" w:color="auto"/>
              <w:right w:val="single" w:sz="8" w:color="00000A"/>
            </w:tcBorders>
            <w:vMerge w:val="restart"/>
          </w:tcPr>
          <w:p>
            <w:pPr>
              <w:ind w:left="44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tcPr>
          <w:p>
            <w:pPr>
              <w:spacing w:after="0"/>
              <w:rPr>
                <w:sz w:val="6"/>
                <w:szCs w:val="6"/>
                <w:color w:val="auto"/>
              </w:rPr>
            </w:pPr>
          </w:p>
        </w:tc>
        <w:tc>
          <w:tcPr>
            <w:tcW w:w="1060" w:type="dxa"/>
            <w:vAlign w:val="bottom"/>
            <w:tcBorders>
              <w:top w:val="single" w:sz="8" w:color="auto"/>
              <w:right w:val="single" w:sz="8" w:color="00000A"/>
            </w:tcBorders>
            <w:gridSpan w:val="2"/>
            <w:vMerge w:val="restart"/>
          </w:tcPr>
          <w:p>
            <w:pPr>
              <w:jc w:val="right"/>
              <w:ind w:right="10"/>
              <w:spacing w:after="0"/>
              <w:rPr>
                <w:sz w:val="20"/>
                <w:szCs w:val="20"/>
                <w:color w:val="auto"/>
              </w:rPr>
            </w:pPr>
            <w:r>
              <w:rPr>
                <w:rFonts w:ascii="Arial" w:cs="Arial" w:eastAsia="Arial" w:hAnsi="Arial"/>
                <w:sz w:val="14"/>
                <w:szCs w:val="14"/>
                <w:color w:val="auto"/>
              </w:rPr>
              <w:t>1,576,495</w:t>
            </w:r>
          </w:p>
        </w:tc>
        <w:tc>
          <w:tcPr>
            <w:tcW w:w="60" w:type="dxa"/>
            <w:vAlign w:val="bottom"/>
            <w:tcBorders>
              <w:top w:val="single" w:sz="8" w:color="auto"/>
            </w:tcBorders>
          </w:tcPr>
          <w:p>
            <w:pPr>
              <w:spacing w:after="0"/>
              <w:rPr>
                <w:sz w:val="6"/>
                <w:szCs w:val="6"/>
                <w:color w:val="auto"/>
              </w:rPr>
            </w:pPr>
          </w:p>
        </w:tc>
        <w:tc>
          <w:tcPr>
            <w:tcW w:w="1160" w:type="dxa"/>
            <w:vAlign w:val="bottom"/>
            <w:tcBorders>
              <w:top w:val="single" w:sz="8" w:color="auto"/>
              <w:right w:val="single" w:sz="8" w:color="00000A"/>
            </w:tcBorders>
            <w:vMerge w:val="restart"/>
          </w:tcPr>
          <w:p>
            <w:pPr>
              <w:ind w:left="94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right w:val="single" w:sz="8" w:color="00000A"/>
            </w:tcBorders>
            <w:vMerge w:val="restart"/>
          </w:tcPr>
          <w:p>
            <w:pPr>
              <w:jc w:val="right"/>
              <w:ind w:right="12"/>
              <w:spacing w:after="0"/>
              <w:rPr>
                <w:sz w:val="20"/>
                <w:szCs w:val="20"/>
                <w:color w:val="auto"/>
              </w:rPr>
            </w:pPr>
            <w:r>
              <w:rPr>
                <w:rFonts w:ascii="Arial" w:cs="Arial" w:eastAsia="Arial" w:hAnsi="Arial"/>
                <w:sz w:val="14"/>
                <w:szCs w:val="14"/>
                <w:color w:val="auto"/>
              </w:rPr>
              <w:t>273,914</w:t>
            </w:r>
          </w:p>
        </w:tc>
        <w:tc>
          <w:tcPr>
            <w:tcW w:w="220" w:type="dxa"/>
            <w:vAlign w:val="bottom"/>
            <w:tcBorders>
              <w:top w:val="single" w:sz="8" w:color="00000A"/>
            </w:tcBorders>
          </w:tcPr>
          <w:p>
            <w:pPr>
              <w:spacing w:after="0"/>
              <w:rPr>
                <w:sz w:val="6"/>
                <w:szCs w:val="6"/>
                <w:color w:val="auto"/>
              </w:rPr>
            </w:pPr>
          </w:p>
        </w:tc>
        <w:tc>
          <w:tcPr>
            <w:tcW w:w="780" w:type="dxa"/>
            <w:vAlign w:val="bottom"/>
            <w:tcBorders>
              <w:top w:val="single" w:sz="8" w:color="00000A"/>
              <w:right w:val="single" w:sz="8" w:color="00000A"/>
            </w:tcBorders>
            <w:vMerge w:val="restart"/>
          </w:tcPr>
          <w:p>
            <w:pPr>
              <w:jc w:val="right"/>
              <w:ind w:right="11"/>
              <w:spacing w:after="0"/>
              <w:rPr>
                <w:sz w:val="20"/>
                <w:szCs w:val="20"/>
                <w:color w:val="auto"/>
              </w:rPr>
            </w:pPr>
            <w:r>
              <w:rPr>
                <w:rFonts w:ascii="Arial" w:cs="Arial" w:eastAsia="Arial" w:hAnsi="Arial"/>
                <w:sz w:val="14"/>
                <w:szCs w:val="14"/>
                <w:color w:val="auto"/>
              </w:rPr>
              <w:t>7,111,531</w:t>
            </w:r>
          </w:p>
        </w:tc>
        <w:tc>
          <w:tcPr>
            <w:tcW w:w="0" w:type="dxa"/>
            <w:vAlign w:val="bottom"/>
          </w:tcPr>
          <w:p>
            <w:pPr>
              <w:spacing w:after="0"/>
              <w:rPr>
                <w:sz w:val="1"/>
                <w:szCs w:val="1"/>
                <w:color w:val="auto"/>
              </w:rPr>
            </w:pPr>
          </w:p>
        </w:tc>
      </w:tr>
      <w:tr>
        <w:trPr>
          <w:trHeight w:val="155"/>
        </w:trPr>
        <w:tc>
          <w:tcPr>
            <w:tcW w:w="1320" w:type="dxa"/>
            <w:vAlign w:val="bottom"/>
            <w:tcBorders>
              <w:left w:val="single" w:sz="8" w:color="00000A"/>
            </w:tcBorders>
            <w:gridSpan w:val="2"/>
          </w:tcPr>
          <w:p>
            <w:pPr>
              <w:ind w:left="40"/>
              <w:spacing w:after="0"/>
              <w:rPr>
                <w:sz w:val="20"/>
                <w:szCs w:val="20"/>
                <w:color w:val="auto"/>
              </w:rPr>
            </w:pPr>
            <w:r>
              <w:rPr>
                <w:rFonts w:ascii="Arial" w:cs="Arial" w:eastAsia="Arial" w:hAnsi="Arial"/>
                <w:sz w:val="12"/>
                <w:szCs w:val="12"/>
                <w:color w:val="auto"/>
              </w:rPr>
              <w:t>President and CEO</w:t>
            </w:r>
          </w:p>
        </w:tc>
        <w:tc>
          <w:tcPr>
            <w:tcW w:w="700" w:type="dxa"/>
            <w:vAlign w:val="bottom"/>
          </w:tcPr>
          <w:p>
            <w:pPr>
              <w:spacing w:after="0"/>
              <w:rPr>
                <w:sz w:val="13"/>
                <w:szCs w:val="13"/>
                <w:color w:val="auto"/>
              </w:rPr>
            </w:pPr>
          </w:p>
        </w:tc>
        <w:tc>
          <w:tcPr>
            <w:tcW w:w="100" w:type="dxa"/>
            <w:vAlign w:val="bottom"/>
            <w:tcBorders>
              <w:right w:val="single" w:sz="8" w:color="00000A"/>
            </w:tcBorders>
          </w:tcPr>
          <w:p>
            <w:pPr>
              <w:spacing w:after="0"/>
              <w:rPr>
                <w:sz w:val="13"/>
                <w:szCs w:val="13"/>
                <w:color w:val="auto"/>
              </w:rPr>
            </w:pPr>
          </w:p>
        </w:tc>
        <w:tc>
          <w:tcPr>
            <w:tcW w:w="640" w:type="dxa"/>
            <w:vAlign w:val="bottom"/>
            <w:tcBorders>
              <w:bottom w:val="single" w:sz="8" w:color="auto"/>
              <w:right w:val="single" w:sz="8" w:color="00000A"/>
            </w:tcBorders>
            <w:gridSpan w:val="2"/>
            <w:vMerge w:val="continue"/>
          </w:tcPr>
          <w:p>
            <w:pPr>
              <w:spacing w:after="0"/>
              <w:rPr>
                <w:sz w:val="13"/>
                <w:szCs w:val="13"/>
                <w:color w:val="auto"/>
              </w:rPr>
            </w:pPr>
          </w:p>
        </w:tc>
        <w:tc>
          <w:tcPr>
            <w:tcW w:w="940" w:type="dxa"/>
            <w:vAlign w:val="bottom"/>
            <w:tcBorders>
              <w:bottom w:val="single" w:sz="8" w:color="auto"/>
              <w:right w:val="single" w:sz="8" w:color="00000A"/>
            </w:tcBorders>
            <w:gridSpan w:val="2"/>
            <w:vMerge w:val="continue"/>
          </w:tcPr>
          <w:p>
            <w:pPr>
              <w:spacing w:after="0"/>
              <w:rPr>
                <w:sz w:val="13"/>
                <w:szCs w:val="13"/>
                <w:color w:val="auto"/>
              </w:rPr>
            </w:pPr>
          </w:p>
        </w:tc>
        <w:tc>
          <w:tcPr>
            <w:tcW w:w="900" w:type="dxa"/>
            <w:vAlign w:val="bottom"/>
            <w:tcBorders>
              <w:bottom w:val="single" w:sz="8" w:color="auto"/>
              <w:right w:val="single" w:sz="8" w:color="00000A"/>
            </w:tcBorders>
            <w:vMerge w:val="continue"/>
          </w:tcPr>
          <w:p>
            <w:pPr>
              <w:spacing w:after="0"/>
              <w:rPr>
                <w:sz w:val="13"/>
                <w:szCs w:val="13"/>
                <w:color w:val="auto"/>
              </w:rPr>
            </w:pPr>
          </w:p>
        </w:tc>
        <w:tc>
          <w:tcPr>
            <w:tcW w:w="1060" w:type="dxa"/>
            <w:vAlign w:val="bottom"/>
            <w:tcBorders>
              <w:bottom w:val="single" w:sz="8" w:color="auto"/>
              <w:right w:val="single" w:sz="8" w:color="00000A"/>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right w:val="single" w:sz="8" w:color="00000A"/>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00000A"/>
            </w:tcBorders>
            <w:gridSpan w:val="2"/>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00000A"/>
            </w:tcBorders>
            <w:vMerge w:val="continue"/>
          </w:tcPr>
          <w:p>
            <w:pPr>
              <w:spacing w:after="0"/>
              <w:rPr>
                <w:sz w:val="13"/>
                <w:szCs w:val="13"/>
                <w:color w:val="auto"/>
              </w:rPr>
            </w:pPr>
          </w:p>
        </w:tc>
        <w:tc>
          <w:tcPr>
            <w:tcW w:w="1200" w:type="dxa"/>
            <w:vAlign w:val="bottom"/>
            <w:tcBorders>
              <w:bottom w:val="single" w:sz="8" w:color="auto"/>
              <w:right w:val="single" w:sz="8" w:color="00000A"/>
            </w:tcBorders>
            <w:vMerge w:val="continue"/>
          </w:tcPr>
          <w:p>
            <w:pPr>
              <w:spacing w:after="0"/>
              <w:rPr>
                <w:sz w:val="13"/>
                <w:szCs w:val="13"/>
                <w:color w:val="auto"/>
              </w:rPr>
            </w:pPr>
          </w:p>
        </w:tc>
        <w:tc>
          <w:tcPr>
            <w:tcW w:w="220" w:type="dxa"/>
            <w:vAlign w:val="bottom"/>
            <w:tcBorders>
              <w:bottom w:val="single" w:sz="8" w:color="00000A"/>
            </w:tcBorders>
          </w:tcPr>
          <w:p>
            <w:pPr>
              <w:spacing w:after="0"/>
              <w:rPr>
                <w:sz w:val="13"/>
                <w:szCs w:val="13"/>
                <w:color w:val="auto"/>
              </w:rPr>
            </w:pPr>
          </w:p>
        </w:tc>
        <w:tc>
          <w:tcPr>
            <w:tcW w:w="780" w:type="dxa"/>
            <w:vAlign w:val="bottom"/>
            <w:tcBorders>
              <w:bottom w:val="single" w:sz="8" w:color="00000A"/>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80" w:type="dxa"/>
            <w:vAlign w:val="bottom"/>
            <w:tcBorders>
              <w:left w:val="single" w:sz="8" w:color="00000A"/>
            </w:tcBorders>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right w:val="single" w:sz="8" w:color="00000A"/>
            </w:tcBorders>
          </w:tcPr>
          <w:p>
            <w:pPr>
              <w:spacing w:after="0"/>
              <w:rPr>
                <w:sz w:val="19"/>
                <w:szCs w:val="19"/>
                <w:color w:val="auto"/>
              </w:rPr>
            </w:pPr>
          </w:p>
        </w:tc>
        <w:tc>
          <w:tcPr>
            <w:tcW w:w="640" w:type="dxa"/>
            <w:vAlign w:val="bottom"/>
            <w:tcBorders>
              <w:bottom w:val="single" w:sz="8" w:color="CCEEFF"/>
              <w:right w:val="single" w:sz="8" w:color="00000A"/>
            </w:tcBorders>
            <w:gridSpan w:val="2"/>
            <w:shd w:val="clear" w:color="auto" w:fill="CCEEFF"/>
          </w:tcPr>
          <w:p>
            <w:pPr>
              <w:jc w:val="center"/>
              <w:spacing w:after="0"/>
              <w:rPr>
                <w:sz w:val="20"/>
                <w:szCs w:val="20"/>
                <w:color w:val="auto"/>
              </w:rPr>
            </w:pPr>
            <w:r>
              <w:rPr>
                <w:rFonts w:ascii="Arial" w:cs="Arial" w:eastAsia="Arial" w:hAnsi="Arial"/>
                <w:sz w:val="14"/>
                <w:szCs w:val="14"/>
                <w:color w:val="auto"/>
                <w:w w:val="96"/>
              </w:rPr>
              <w:t>2022</w:t>
            </w:r>
          </w:p>
        </w:tc>
        <w:tc>
          <w:tcPr>
            <w:tcW w:w="940" w:type="dxa"/>
            <w:vAlign w:val="bottom"/>
            <w:tcBorders>
              <w:bottom w:val="single" w:sz="8" w:color="CCEEFF"/>
              <w:right w:val="single" w:sz="8" w:color="00000A"/>
            </w:tcBorders>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792,693</w:t>
            </w:r>
          </w:p>
        </w:tc>
        <w:tc>
          <w:tcPr>
            <w:tcW w:w="900" w:type="dxa"/>
            <w:vAlign w:val="bottom"/>
            <w:tcBorders>
              <w:bottom w:val="single" w:sz="8" w:color="CCEEFF"/>
              <w:right w:val="single" w:sz="8" w:color="00000A"/>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right w:val="single" w:sz="8" w:color="00000A"/>
            </w:tcBorders>
            <w:shd w:val="clear" w:color="auto" w:fill="CCEEFF"/>
          </w:tcPr>
          <w:p>
            <w:pPr>
              <w:jc w:val="right"/>
              <w:ind w:right="12"/>
              <w:spacing w:after="0"/>
              <w:rPr>
                <w:sz w:val="20"/>
                <w:szCs w:val="20"/>
                <w:color w:val="auto"/>
              </w:rPr>
            </w:pPr>
            <w:r>
              <w:rPr>
                <w:rFonts w:ascii="Arial" w:cs="Arial" w:eastAsia="Arial" w:hAnsi="Arial"/>
                <w:sz w:val="14"/>
                <w:szCs w:val="14"/>
                <w:color w:val="auto"/>
              </w:rPr>
              <w:t>2,865,225</w:t>
            </w:r>
          </w:p>
        </w:tc>
        <w:tc>
          <w:tcPr>
            <w:tcW w:w="3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right w:val="single" w:sz="8" w:color="00000A"/>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right w:val="single" w:sz="8" w:color="00000A"/>
            </w:tcBorders>
            <w:shd w:val="clear" w:color="auto" w:fill="CCEEFF"/>
          </w:tcPr>
          <w:p>
            <w:pPr>
              <w:jc w:val="right"/>
              <w:ind w:right="10"/>
              <w:spacing w:after="0"/>
              <w:rPr>
                <w:sz w:val="20"/>
                <w:szCs w:val="20"/>
                <w:color w:val="auto"/>
              </w:rPr>
            </w:pPr>
            <w:r>
              <w:rPr>
                <w:rFonts w:ascii="Arial" w:cs="Arial" w:eastAsia="Arial" w:hAnsi="Arial"/>
                <w:sz w:val="14"/>
                <w:szCs w:val="14"/>
                <w:color w:val="auto"/>
                <w:w w:val="98"/>
              </w:rPr>
              <w:t>604,720</w:t>
            </w:r>
          </w:p>
        </w:tc>
        <w:tc>
          <w:tcPr>
            <w:tcW w:w="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right w:val="single" w:sz="8" w:color="00000A"/>
            </w:tcBorders>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right w:val="single" w:sz="8" w:color="00000A"/>
            </w:tcBorders>
            <w:shd w:val="clear" w:color="auto" w:fill="CCEEFF"/>
          </w:tcPr>
          <w:p>
            <w:pPr>
              <w:jc w:val="right"/>
              <w:ind w:right="12"/>
              <w:spacing w:after="0"/>
              <w:rPr>
                <w:sz w:val="20"/>
                <w:szCs w:val="20"/>
                <w:color w:val="auto"/>
              </w:rPr>
            </w:pPr>
            <w:r>
              <w:rPr>
                <w:rFonts w:ascii="Arial" w:cs="Arial" w:eastAsia="Arial" w:hAnsi="Arial"/>
                <w:sz w:val="14"/>
                <w:szCs w:val="14"/>
                <w:color w:val="auto"/>
              </w:rPr>
              <w:t>245,729</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right w:val="single" w:sz="8" w:color="00000A"/>
            </w:tcBorders>
            <w:shd w:val="clear" w:color="auto" w:fill="CCEEFF"/>
          </w:tcPr>
          <w:p>
            <w:pPr>
              <w:jc w:val="right"/>
              <w:ind w:right="11"/>
              <w:spacing w:after="0"/>
              <w:rPr>
                <w:sz w:val="20"/>
                <w:szCs w:val="20"/>
                <w:color w:val="auto"/>
              </w:rPr>
            </w:pPr>
            <w:r>
              <w:rPr>
                <w:rFonts w:ascii="Arial" w:cs="Arial" w:eastAsia="Arial" w:hAnsi="Arial"/>
                <w:sz w:val="14"/>
                <w:szCs w:val="14"/>
                <w:color w:val="auto"/>
              </w:rPr>
              <w:t>4,508,367</w:t>
            </w:r>
          </w:p>
        </w:tc>
        <w:tc>
          <w:tcPr>
            <w:tcW w:w="0" w:type="dxa"/>
            <w:vAlign w:val="bottom"/>
          </w:tcPr>
          <w:p>
            <w:pPr>
              <w:spacing w:after="0"/>
              <w:rPr>
                <w:sz w:val="1"/>
                <w:szCs w:val="1"/>
                <w:color w:val="auto"/>
              </w:rPr>
            </w:pPr>
          </w:p>
        </w:tc>
      </w:tr>
      <w:tr>
        <w:trPr>
          <w:trHeight w:val="191"/>
        </w:trPr>
        <w:tc>
          <w:tcPr>
            <w:tcW w:w="580" w:type="dxa"/>
            <w:vAlign w:val="bottom"/>
            <w:tcBorders>
              <w:top w:val="single" w:sz="8" w:color="auto"/>
              <w:left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right w:val="single" w:sz="8" w:color="00000A"/>
            </w:tcBorders>
          </w:tcPr>
          <w:p>
            <w:pPr>
              <w:spacing w:after="0"/>
              <w:rPr>
                <w:sz w:val="16"/>
                <w:szCs w:val="16"/>
                <w:color w:val="auto"/>
              </w:rPr>
            </w:pPr>
          </w:p>
        </w:tc>
        <w:tc>
          <w:tcPr>
            <w:tcW w:w="640" w:type="dxa"/>
            <w:vAlign w:val="bottom"/>
            <w:tcBorders>
              <w:top w:val="single" w:sz="8" w:color="auto"/>
              <w:right w:val="single" w:sz="8" w:color="00000A"/>
            </w:tcBorders>
            <w:gridSpan w:val="2"/>
          </w:tcPr>
          <w:p>
            <w:pPr>
              <w:jc w:val="center"/>
              <w:spacing w:after="0"/>
              <w:rPr>
                <w:sz w:val="20"/>
                <w:szCs w:val="20"/>
                <w:color w:val="auto"/>
              </w:rPr>
            </w:pPr>
            <w:r>
              <w:rPr>
                <w:rFonts w:ascii="Arial" w:cs="Arial" w:eastAsia="Arial" w:hAnsi="Arial"/>
                <w:sz w:val="14"/>
                <w:szCs w:val="14"/>
                <w:color w:val="auto"/>
                <w:w w:val="96"/>
              </w:rPr>
              <w:t>2024</w:t>
            </w:r>
          </w:p>
        </w:tc>
        <w:tc>
          <w:tcPr>
            <w:tcW w:w="940" w:type="dxa"/>
            <w:vAlign w:val="bottom"/>
            <w:tcBorders>
              <w:top w:val="single" w:sz="8" w:color="auto"/>
              <w:right w:val="single" w:sz="8" w:color="00000A"/>
            </w:tcBorders>
            <w:gridSpan w:val="2"/>
          </w:tcPr>
          <w:p>
            <w:pPr>
              <w:jc w:val="right"/>
              <w:ind w:right="14"/>
              <w:spacing w:after="0"/>
              <w:rPr>
                <w:sz w:val="20"/>
                <w:szCs w:val="20"/>
                <w:color w:val="auto"/>
              </w:rPr>
            </w:pPr>
            <w:r>
              <w:rPr>
                <w:rFonts w:ascii="Arial" w:cs="Arial" w:eastAsia="Arial" w:hAnsi="Arial"/>
                <w:sz w:val="14"/>
                <w:szCs w:val="14"/>
                <w:color w:val="auto"/>
              </w:rPr>
              <w:t>566,231</w:t>
            </w:r>
          </w:p>
        </w:tc>
        <w:tc>
          <w:tcPr>
            <w:tcW w:w="900" w:type="dxa"/>
            <w:vAlign w:val="bottom"/>
            <w:tcBorders>
              <w:top w:val="single" w:sz="8" w:color="auto"/>
              <w:right w:val="single" w:sz="8" w:color="00000A"/>
            </w:tcBorders>
          </w:tcPr>
          <w:p>
            <w:pPr>
              <w:ind w:left="68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right w:val="single" w:sz="8" w:color="00000A"/>
            </w:tcBorders>
          </w:tcPr>
          <w:p>
            <w:pPr>
              <w:jc w:val="right"/>
              <w:ind w:right="12"/>
              <w:spacing w:after="0"/>
              <w:rPr>
                <w:sz w:val="20"/>
                <w:szCs w:val="20"/>
                <w:color w:val="auto"/>
              </w:rPr>
            </w:pPr>
            <w:r>
              <w:rPr>
                <w:rFonts w:ascii="Arial" w:cs="Arial" w:eastAsia="Arial" w:hAnsi="Arial"/>
                <w:sz w:val="14"/>
                <w:szCs w:val="14"/>
                <w:color w:val="auto"/>
              </w:rPr>
              <w:t>952,885</w:t>
            </w:r>
          </w:p>
        </w:tc>
        <w:tc>
          <w:tcPr>
            <w:tcW w:w="300" w:type="dxa"/>
            <w:vAlign w:val="bottom"/>
            <w:tcBorders>
              <w:top w:val="single" w:sz="8" w:color="auto"/>
            </w:tcBorders>
          </w:tcPr>
          <w:p>
            <w:pPr>
              <w:spacing w:after="0"/>
              <w:rPr>
                <w:sz w:val="16"/>
                <w:szCs w:val="16"/>
                <w:color w:val="auto"/>
              </w:rPr>
            </w:pPr>
          </w:p>
        </w:tc>
        <w:tc>
          <w:tcPr>
            <w:tcW w:w="660" w:type="dxa"/>
            <w:vAlign w:val="bottom"/>
            <w:tcBorders>
              <w:top w:val="single" w:sz="8" w:color="auto"/>
              <w:right w:val="single" w:sz="8" w:color="00000A"/>
            </w:tcBorders>
          </w:tcPr>
          <w:p>
            <w:pPr>
              <w:ind w:left="44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0" w:type="dxa"/>
            <w:vAlign w:val="bottom"/>
            <w:tcBorders>
              <w:top w:val="single" w:sz="8" w:color="auto"/>
              <w:right w:val="single" w:sz="8" w:color="00000A"/>
            </w:tcBorders>
          </w:tcPr>
          <w:p>
            <w:pPr>
              <w:jc w:val="right"/>
              <w:ind w:right="10"/>
              <w:spacing w:after="0"/>
              <w:rPr>
                <w:sz w:val="20"/>
                <w:szCs w:val="20"/>
                <w:color w:val="auto"/>
              </w:rPr>
            </w:pPr>
            <w:r>
              <w:rPr>
                <w:rFonts w:ascii="Arial" w:cs="Arial" w:eastAsia="Arial" w:hAnsi="Arial"/>
                <w:sz w:val="14"/>
                <w:szCs w:val="14"/>
                <w:color w:val="auto"/>
                <w:w w:val="98"/>
              </w:rPr>
              <w:t>292,517</w:t>
            </w:r>
          </w:p>
        </w:tc>
        <w:tc>
          <w:tcPr>
            <w:tcW w:w="60" w:type="dxa"/>
            <w:vAlign w:val="bottom"/>
            <w:tcBorders>
              <w:top w:val="single" w:sz="8" w:color="auto"/>
            </w:tcBorders>
          </w:tcPr>
          <w:p>
            <w:pPr>
              <w:spacing w:after="0"/>
              <w:rPr>
                <w:sz w:val="16"/>
                <w:szCs w:val="16"/>
                <w:color w:val="auto"/>
              </w:rPr>
            </w:pPr>
          </w:p>
        </w:tc>
        <w:tc>
          <w:tcPr>
            <w:tcW w:w="1160" w:type="dxa"/>
            <w:vAlign w:val="bottom"/>
            <w:tcBorders>
              <w:top w:val="single" w:sz="8" w:color="auto"/>
              <w:right w:val="single" w:sz="8" w:color="00000A"/>
            </w:tcBorders>
          </w:tcPr>
          <w:p>
            <w:pPr>
              <w:ind w:left="94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right w:val="single" w:sz="8" w:color="00000A"/>
            </w:tcBorders>
          </w:tcPr>
          <w:p>
            <w:pPr>
              <w:jc w:val="right"/>
              <w:ind w:right="12"/>
              <w:spacing w:after="0"/>
              <w:rPr>
                <w:sz w:val="20"/>
                <w:szCs w:val="20"/>
                <w:color w:val="auto"/>
              </w:rPr>
            </w:pPr>
            <w:r>
              <w:rPr>
                <w:rFonts w:ascii="Arial" w:cs="Arial" w:eastAsia="Arial" w:hAnsi="Arial"/>
                <w:sz w:val="14"/>
                <w:szCs w:val="14"/>
                <w:color w:val="auto"/>
              </w:rPr>
              <w:t>198,017</w:t>
            </w:r>
          </w:p>
        </w:tc>
        <w:tc>
          <w:tcPr>
            <w:tcW w:w="220" w:type="dxa"/>
            <w:vAlign w:val="bottom"/>
            <w:tcBorders>
              <w:top w:val="single" w:sz="8" w:color="00000A"/>
            </w:tcBorders>
          </w:tcPr>
          <w:p>
            <w:pPr>
              <w:spacing w:after="0"/>
              <w:rPr>
                <w:sz w:val="16"/>
                <w:szCs w:val="16"/>
                <w:color w:val="auto"/>
              </w:rPr>
            </w:pPr>
          </w:p>
        </w:tc>
        <w:tc>
          <w:tcPr>
            <w:tcW w:w="780" w:type="dxa"/>
            <w:vAlign w:val="bottom"/>
            <w:tcBorders>
              <w:top w:val="single" w:sz="8" w:color="00000A"/>
              <w:right w:val="single" w:sz="8" w:color="00000A"/>
            </w:tcBorders>
          </w:tcPr>
          <w:p>
            <w:pPr>
              <w:jc w:val="right"/>
              <w:ind w:right="11"/>
              <w:spacing w:after="0"/>
              <w:rPr>
                <w:sz w:val="20"/>
                <w:szCs w:val="20"/>
                <w:color w:val="auto"/>
              </w:rPr>
            </w:pPr>
            <w:r>
              <w:rPr>
                <w:rFonts w:ascii="Arial" w:cs="Arial" w:eastAsia="Arial" w:hAnsi="Arial"/>
                <w:sz w:val="14"/>
                <w:szCs w:val="14"/>
                <w:color w:val="auto"/>
              </w:rPr>
              <w:t>2,009,650</w:t>
            </w:r>
          </w:p>
        </w:tc>
        <w:tc>
          <w:tcPr>
            <w:tcW w:w="0" w:type="dxa"/>
            <w:vAlign w:val="bottom"/>
          </w:tcPr>
          <w:p>
            <w:pPr>
              <w:spacing w:after="0"/>
              <w:rPr>
                <w:sz w:val="1"/>
                <w:szCs w:val="1"/>
                <w:color w:val="auto"/>
              </w:rPr>
            </w:pPr>
          </w:p>
        </w:tc>
      </w:tr>
      <w:tr>
        <w:trPr>
          <w:trHeight w:val="33"/>
        </w:trPr>
        <w:tc>
          <w:tcPr>
            <w:tcW w:w="2120" w:type="dxa"/>
            <w:vAlign w:val="bottom"/>
            <w:tcBorders>
              <w:left w:val="single" w:sz="8" w:color="auto"/>
              <w:right w:val="single" w:sz="8" w:color="00000A"/>
            </w:tcBorders>
            <w:gridSpan w:val="4"/>
            <w:vMerge w:val="restart"/>
          </w:tcPr>
          <w:p>
            <w:pPr>
              <w:ind w:left="40"/>
              <w:spacing w:after="0" w:line="124" w:lineRule="exact"/>
              <w:rPr>
                <w:sz w:val="20"/>
                <w:szCs w:val="20"/>
                <w:color w:val="auto"/>
              </w:rPr>
            </w:pPr>
            <w:r>
              <w:rPr>
                <w:rFonts w:ascii="Arial" w:cs="Arial" w:eastAsia="Arial" w:hAnsi="Arial"/>
                <w:sz w:val="12"/>
                <w:szCs w:val="12"/>
                <w:color w:val="auto"/>
              </w:rPr>
              <w:t>Neil Boehm, Vice President -</w:t>
            </w: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00000A"/>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00000A"/>
            </w:tcBorders>
          </w:tcPr>
          <w:p>
            <w:pPr>
              <w:spacing w:after="0"/>
              <w:rPr>
                <w:sz w:val="2"/>
                <w:szCs w:val="2"/>
                <w:color w:val="auto"/>
              </w:rPr>
            </w:pPr>
          </w:p>
        </w:tc>
        <w:tc>
          <w:tcPr>
            <w:tcW w:w="900" w:type="dxa"/>
            <w:vAlign w:val="bottom"/>
            <w:tcBorders>
              <w:bottom w:val="single" w:sz="8" w:color="auto"/>
              <w:right w:val="single" w:sz="8" w:color="00000A"/>
            </w:tcBorders>
          </w:tcPr>
          <w:p>
            <w:pPr>
              <w:spacing w:after="0"/>
              <w:rPr>
                <w:sz w:val="2"/>
                <w:szCs w:val="2"/>
                <w:color w:val="auto"/>
              </w:rPr>
            </w:pPr>
          </w:p>
        </w:tc>
        <w:tc>
          <w:tcPr>
            <w:tcW w:w="1060" w:type="dxa"/>
            <w:vAlign w:val="bottom"/>
            <w:tcBorders>
              <w:bottom w:val="single" w:sz="8" w:color="auto"/>
              <w:right w:val="single" w:sz="8" w:color="00000A"/>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00000A"/>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00000A"/>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00000A"/>
            </w:tcBorders>
          </w:tcPr>
          <w:p>
            <w:pPr>
              <w:spacing w:after="0"/>
              <w:rPr>
                <w:sz w:val="2"/>
                <w:szCs w:val="2"/>
                <w:color w:val="auto"/>
              </w:rPr>
            </w:pPr>
          </w:p>
        </w:tc>
        <w:tc>
          <w:tcPr>
            <w:tcW w:w="1200" w:type="dxa"/>
            <w:vAlign w:val="bottom"/>
            <w:tcBorders>
              <w:bottom w:val="single" w:sz="8" w:color="auto"/>
              <w:right w:val="single" w:sz="8" w:color="00000A"/>
            </w:tcBorders>
          </w:tcPr>
          <w:p>
            <w:pPr>
              <w:spacing w:after="0"/>
              <w:rPr>
                <w:sz w:val="2"/>
                <w:szCs w:val="2"/>
                <w:color w:val="auto"/>
              </w:rPr>
            </w:pPr>
          </w:p>
        </w:tc>
        <w:tc>
          <w:tcPr>
            <w:tcW w:w="22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2120" w:type="dxa"/>
            <w:vAlign w:val="bottom"/>
            <w:tcBorders>
              <w:left w:val="single" w:sz="8" w:color="auto"/>
              <w:right w:val="single" w:sz="8" w:color="00000A"/>
            </w:tcBorders>
            <w:gridSpan w:val="4"/>
            <w:vMerge w:val="continue"/>
          </w:tcPr>
          <w:p>
            <w:pPr>
              <w:spacing w:after="0"/>
              <w:rPr>
                <w:sz w:val="6"/>
                <w:szCs w:val="6"/>
                <w:color w:val="auto"/>
              </w:rPr>
            </w:pPr>
          </w:p>
        </w:tc>
        <w:tc>
          <w:tcPr>
            <w:tcW w:w="640" w:type="dxa"/>
            <w:vAlign w:val="bottom"/>
            <w:tcBorders>
              <w:right w:val="single" w:sz="8" w:color="00000A"/>
            </w:tcBorders>
            <w:gridSpan w:val="2"/>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2023</w:t>
            </w:r>
          </w:p>
        </w:tc>
        <w:tc>
          <w:tcPr>
            <w:tcW w:w="940" w:type="dxa"/>
            <w:vAlign w:val="bottom"/>
            <w:tcBorders>
              <w:right w:val="single" w:sz="8" w:color="00000A"/>
            </w:tcBorders>
            <w:gridSpan w:val="2"/>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509,154</w:t>
            </w:r>
          </w:p>
        </w:tc>
        <w:tc>
          <w:tcPr>
            <w:tcW w:w="900" w:type="dxa"/>
            <w:vAlign w:val="bottom"/>
            <w:tcBorders>
              <w:right w:val="single" w:sz="8" w:color="00000A"/>
            </w:tcBorders>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00000A"/>
            </w:tcBorders>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1,612,411</w:t>
            </w:r>
          </w:p>
        </w:tc>
        <w:tc>
          <w:tcPr>
            <w:tcW w:w="300" w:type="dxa"/>
            <w:vAlign w:val="bottom"/>
            <w:shd w:val="clear" w:color="auto" w:fill="CCEEFF"/>
          </w:tcPr>
          <w:p>
            <w:pPr>
              <w:spacing w:after="0"/>
              <w:rPr>
                <w:sz w:val="6"/>
                <w:szCs w:val="6"/>
                <w:color w:val="auto"/>
              </w:rPr>
            </w:pPr>
          </w:p>
        </w:tc>
        <w:tc>
          <w:tcPr>
            <w:tcW w:w="660" w:type="dxa"/>
            <w:vAlign w:val="bottom"/>
            <w:tcBorders>
              <w:right w:val="single" w:sz="8" w:color="00000A"/>
            </w:tcBorders>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600" w:type="dxa"/>
            <w:vAlign w:val="bottom"/>
            <w:tcBorders>
              <w:right w:val="single" w:sz="8" w:color="00000A"/>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w w:val="98"/>
              </w:rPr>
              <w:t>716,378</w:t>
            </w:r>
          </w:p>
        </w:tc>
        <w:tc>
          <w:tcPr>
            <w:tcW w:w="60" w:type="dxa"/>
            <w:vAlign w:val="bottom"/>
            <w:shd w:val="clear" w:color="auto" w:fill="CCEEFF"/>
          </w:tcPr>
          <w:p>
            <w:pPr>
              <w:spacing w:after="0"/>
              <w:rPr>
                <w:sz w:val="6"/>
                <w:szCs w:val="6"/>
                <w:color w:val="auto"/>
              </w:rPr>
            </w:pPr>
          </w:p>
        </w:tc>
        <w:tc>
          <w:tcPr>
            <w:tcW w:w="1160" w:type="dxa"/>
            <w:vAlign w:val="bottom"/>
            <w:tcBorders>
              <w:right w:val="single" w:sz="8" w:color="00000A"/>
            </w:tcBorders>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00000A"/>
            </w:tcBorders>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154,841</w:t>
            </w:r>
          </w:p>
        </w:tc>
        <w:tc>
          <w:tcPr>
            <w:tcW w:w="220" w:type="dxa"/>
            <w:vAlign w:val="bottom"/>
            <w:shd w:val="clear" w:color="auto" w:fill="CCEEFF"/>
          </w:tcPr>
          <w:p>
            <w:pPr>
              <w:spacing w:after="0"/>
              <w:rPr>
                <w:sz w:val="6"/>
                <w:szCs w:val="6"/>
                <w:color w:val="auto"/>
              </w:rPr>
            </w:pPr>
          </w:p>
        </w:tc>
        <w:tc>
          <w:tcPr>
            <w:tcW w:w="780" w:type="dxa"/>
            <w:vAlign w:val="bottom"/>
            <w:tcBorders>
              <w:right w:val="single" w:sz="8" w:color="00000A"/>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2,992,784</w:t>
            </w: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tcBorders>
            <w:gridSpan w:val="2"/>
          </w:tcPr>
          <w:p>
            <w:pPr>
              <w:ind w:left="40"/>
              <w:spacing w:after="0"/>
              <w:rPr>
                <w:sz w:val="20"/>
                <w:szCs w:val="20"/>
                <w:color w:val="auto"/>
              </w:rPr>
            </w:pPr>
            <w:r>
              <w:rPr>
                <w:rFonts w:ascii="Arial" w:cs="Arial" w:eastAsia="Arial" w:hAnsi="Arial"/>
                <w:sz w:val="12"/>
                <w:szCs w:val="12"/>
                <w:color w:val="auto"/>
              </w:rPr>
              <w:t>Engineering and CTO</w:t>
            </w:r>
          </w:p>
        </w:tc>
        <w:tc>
          <w:tcPr>
            <w:tcW w:w="700" w:type="dxa"/>
            <w:vAlign w:val="bottom"/>
          </w:tcPr>
          <w:p>
            <w:pPr>
              <w:spacing w:after="0"/>
              <w:rPr>
                <w:sz w:val="13"/>
                <w:szCs w:val="13"/>
                <w:color w:val="auto"/>
              </w:rPr>
            </w:pPr>
          </w:p>
        </w:tc>
        <w:tc>
          <w:tcPr>
            <w:tcW w:w="100" w:type="dxa"/>
            <w:vAlign w:val="bottom"/>
            <w:tcBorders>
              <w:right w:val="single" w:sz="8" w:color="00000A"/>
            </w:tcBorders>
          </w:tcPr>
          <w:p>
            <w:pPr>
              <w:spacing w:after="0"/>
              <w:rPr>
                <w:sz w:val="13"/>
                <w:szCs w:val="13"/>
                <w:color w:val="auto"/>
              </w:rPr>
            </w:pPr>
          </w:p>
        </w:tc>
        <w:tc>
          <w:tcPr>
            <w:tcW w:w="640" w:type="dxa"/>
            <w:vAlign w:val="bottom"/>
            <w:tcBorders>
              <w:bottom w:val="single" w:sz="8" w:color="auto"/>
              <w:right w:val="single" w:sz="8" w:color="00000A"/>
            </w:tcBorders>
            <w:gridSpan w:val="2"/>
            <w:vMerge w:val="continue"/>
            <w:shd w:val="clear" w:color="auto" w:fill="CCEEFF"/>
          </w:tcPr>
          <w:p>
            <w:pPr>
              <w:spacing w:after="0"/>
              <w:rPr>
                <w:sz w:val="13"/>
                <w:szCs w:val="13"/>
                <w:color w:val="auto"/>
              </w:rPr>
            </w:pPr>
          </w:p>
        </w:tc>
        <w:tc>
          <w:tcPr>
            <w:tcW w:w="940" w:type="dxa"/>
            <w:vAlign w:val="bottom"/>
            <w:tcBorders>
              <w:bottom w:val="single" w:sz="8" w:color="auto"/>
              <w:right w:val="single" w:sz="8" w:color="00000A"/>
            </w:tcBorders>
            <w:gridSpan w:val="2"/>
            <w:vMerge w:val="continue"/>
            <w:shd w:val="clear" w:color="auto" w:fill="CCEEFF"/>
          </w:tcPr>
          <w:p>
            <w:pPr>
              <w:spacing w:after="0"/>
              <w:rPr>
                <w:sz w:val="13"/>
                <w:szCs w:val="13"/>
                <w:color w:val="auto"/>
              </w:rPr>
            </w:pPr>
          </w:p>
        </w:tc>
        <w:tc>
          <w:tcPr>
            <w:tcW w:w="900" w:type="dxa"/>
            <w:vAlign w:val="bottom"/>
            <w:tcBorders>
              <w:bottom w:val="single" w:sz="8" w:color="auto"/>
              <w:right w:val="single" w:sz="8" w:color="00000A"/>
            </w:tcBorders>
            <w:vMerge w:val="continue"/>
            <w:shd w:val="clear" w:color="auto" w:fill="CCEEFF"/>
          </w:tcPr>
          <w:p>
            <w:pPr>
              <w:spacing w:after="0"/>
              <w:rPr>
                <w:sz w:val="13"/>
                <w:szCs w:val="13"/>
                <w:color w:val="auto"/>
              </w:rPr>
            </w:pPr>
          </w:p>
        </w:tc>
        <w:tc>
          <w:tcPr>
            <w:tcW w:w="1060" w:type="dxa"/>
            <w:vAlign w:val="bottom"/>
            <w:tcBorders>
              <w:bottom w:val="single" w:sz="8" w:color="auto"/>
              <w:right w:val="single" w:sz="8" w:color="00000A"/>
            </w:tcBorders>
            <w:vMerge w:val="continue"/>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right w:val="single" w:sz="8" w:color="00000A"/>
            </w:tcBorders>
            <w:vMerge w:val="continue"/>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right w:val="single" w:sz="8" w:color="00000A"/>
            </w:tcBorders>
            <w:vMerge w:val="continue"/>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right w:val="single" w:sz="8" w:color="00000A"/>
            </w:tcBorders>
            <w:vMerge w:val="continue"/>
            <w:shd w:val="clear" w:color="auto" w:fill="CCEEFF"/>
          </w:tcPr>
          <w:p>
            <w:pPr>
              <w:spacing w:after="0"/>
              <w:rPr>
                <w:sz w:val="13"/>
                <w:szCs w:val="13"/>
                <w:color w:val="auto"/>
              </w:rPr>
            </w:pPr>
          </w:p>
        </w:tc>
        <w:tc>
          <w:tcPr>
            <w:tcW w:w="1200" w:type="dxa"/>
            <w:vAlign w:val="bottom"/>
            <w:tcBorders>
              <w:bottom w:val="single" w:sz="8" w:color="auto"/>
              <w:right w:val="single" w:sz="8" w:color="00000A"/>
            </w:tcBorders>
            <w:vMerge w:val="continue"/>
            <w:shd w:val="clear" w:color="auto" w:fill="CCEEFF"/>
          </w:tcPr>
          <w:p>
            <w:pPr>
              <w:spacing w:after="0"/>
              <w:rPr>
                <w:sz w:val="13"/>
                <w:szCs w:val="13"/>
                <w:color w:val="auto"/>
              </w:rPr>
            </w:pPr>
          </w:p>
        </w:tc>
        <w:tc>
          <w:tcPr>
            <w:tcW w:w="220" w:type="dxa"/>
            <w:vAlign w:val="bottom"/>
            <w:tcBorders>
              <w:bottom w:val="single" w:sz="8" w:color="00000A"/>
            </w:tcBorders>
            <w:shd w:val="clear" w:color="auto" w:fill="CCEEFF"/>
          </w:tcPr>
          <w:p>
            <w:pPr>
              <w:spacing w:after="0"/>
              <w:rPr>
                <w:sz w:val="13"/>
                <w:szCs w:val="13"/>
                <w:color w:val="auto"/>
              </w:rPr>
            </w:pPr>
          </w:p>
        </w:tc>
        <w:tc>
          <w:tcPr>
            <w:tcW w:w="780" w:type="dxa"/>
            <w:vAlign w:val="bottom"/>
            <w:tcBorders>
              <w:bottom w:val="single" w:sz="8" w:color="00000A"/>
              <w:right w:val="single" w:sz="8" w:color="00000A"/>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00000A"/>
            </w:tcBorders>
          </w:tcPr>
          <w:p>
            <w:pPr>
              <w:spacing w:after="0"/>
              <w:rPr>
                <w:sz w:val="16"/>
                <w:szCs w:val="16"/>
                <w:color w:val="auto"/>
              </w:rPr>
            </w:pPr>
          </w:p>
        </w:tc>
        <w:tc>
          <w:tcPr>
            <w:tcW w:w="640" w:type="dxa"/>
            <w:vAlign w:val="bottom"/>
            <w:tcBorders>
              <w:right w:val="single" w:sz="8" w:color="00000A"/>
            </w:tcBorders>
            <w:gridSpan w:val="2"/>
          </w:tcPr>
          <w:p>
            <w:pPr>
              <w:jc w:val="center"/>
              <w:spacing w:after="0"/>
              <w:rPr>
                <w:sz w:val="20"/>
                <w:szCs w:val="20"/>
                <w:color w:val="auto"/>
              </w:rPr>
            </w:pPr>
            <w:r>
              <w:rPr>
                <w:rFonts w:ascii="Arial" w:cs="Arial" w:eastAsia="Arial" w:hAnsi="Arial"/>
                <w:sz w:val="14"/>
                <w:szCs w:val="14"/>
                <w:color w:val="auto"/>
                <w:w w:val="96"/>
              </w:rPr>
              <w:t>2022</w:t>
            </w:r>
          </w:p>
        </w:tc>
        <w:tc>
          <w:tcPr>
            <w:tcW w:w="940" w:type="dxa"/>
            <w:vAlign w:val="bottom"/>
            <w:tcBorders>
              <w:right w:val="single" w:sz="8" w:color="00000A"/>
            </w:tcBorders>
            <w:gridSpan w:val="2"/>
          </w:tcPr>
          <w:p>
            <w:pPr>
              <w:jc w:val="right"/>
              <w:ind w:right="14"/>
              <w:spacing w:after="0"/>
              <w:rPr>
                <w:sz w:val="20"/>
                <w:szCs w:val="20"/>
                <w:color w:val="auto"/>
              </w:rPr>
            </w:pPr>
            <w:r>
              <w:rPr>
                <w:rFonts w:ascii="Arial" w:cs="Arial" w:eastAsia="Arial" w:hAnsi="Arial"/>
                <w:sz w:val="14"/>
                <w:szCs w:val="14"/>
                <w:color w:val="auto"/>
              </w:rPr>
              <w:t>465,062</w:t>
            </w:r>
          </w:p>
        </w:tc>
        <w:tc>
          <w:tcPr>
            <w:tcW w:w="900" w:type="dxa"/>
            <w:vAlign w:val="bottom"/>
            <w:tcBorders>
              <w:right w:val="single" w:sz="8" w:color="00000A"/>
            </w:tcBorders>
          </w:tcPr>
          <w:p>
            <w:pPr>
              <w:ind w:left="68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00000A"/>
            </w:tcBorders>
          </w:tcPr>
          <w:p>
            <w:pPr>
              <w:jc w:val="right"/>
              <w:ind w:right="12"/>
              <w:spacing w:after="0"/>
              <w:rPr>
                <w:sz w:val="20"/>
                <w:szCs w:val="20"/>
                <w:color w:val="auto"/>
              </w:rPr>
            </w:pPr>
            <w:r>
              <w:rPr>
                <w:rFonts w:ascii="Arial" w:cs="Arial" w:eastAsia="Arial" w:hAnsi="Arial"/>
                <w:sz w:val="14"/>
                <w:szCs w:val="14"/>
                <w:color w:val="auto"/>
              </w:rPr>
              <w:t>722,476</w:t>
            </w:r>
          </w:p>
        </w:tc>
        <w:tc>
          <w:tcPr>
            <w:tcW w:w="300" w:type="dxa"/>
            <w:vAlign w:val="bottom"/>
          </w:tcPr>
          <w:p>
            <w:pPr>
              <w:spacing w:after="0"/>
              <w:rPr>
                <w:sz w:val="16"/>
                <w:szCs w:val="16"/>
                <w:color w:val="auto"/>
              </w:rPr>
            </w:pPr>
          </w:p>
        </w:tc>
        <w:tc>
          <w:tcPr>
            <w:tcW w:w="660" w:type="dxa"/>
            <w:vAlign w:val="bottom"/>
            <w:tcBorders>
              <w:right w:val="single" w:sz="8" w:color="00000A"/>
            </w:tcBorders>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Borders>
              <w:right w:val="single" w:sz="8" w:color="00000A"/>
            </w:tcBorders>
          </w:tcPr>
          <w:p>
            <w:pPr>
              <w:jc w:val="right"/>
              <w:ind w:right="10"/>
              <w:spacing w:after="0"/>
              <w:rPr>
                <w:sz w:val="20"/>
                <w:szCs w:val="20"/>
                <w:color w:val="auto"/>
              </w:rPr>
            </w:pPr>
            <w:r>
              <w:rPr>
                <w:rFonts w:ascii="Arial" w:cs="Arial" w:eastAsia="Arial" w:hAnsi="Arial"/>
                <w:sz w:val="14"/>
                <w:szCs w:val="14"/>
                <w:color w:val="auto"/>
                <w:w w:val="98"/>
              </w:rPr>
              <w:t>269,289</w:t>
            </w:r>
          </w:p>
        </w:tc>
        <w:tc>
          <w:tcPr>
            <w:tcW w:w="60" w:type="dxa"/>
            <w:vAlign w:val="bottom"/>
          </w:tcPr>
          <w:p>
            <w:pPr>
              <w:spacing w:after="0"/>
              <w:rPr>
                <w:sz w:val="16"/>
                <w:szCs w:val="16"/>
                <w:color w:val="auto"/>
              </w:rPr>
            </w:pPr>
          </w:p>
        </w:tc>
        <w:tc>
          <w:tcPr>
            <w:tcW w:w="1160" w:type="dxa"/>
            <w:vAlign w:val="bottom"/>
            <w:tcBorders>
              <w:right w:val="single" w:sz="8" w:color="00000A"/>
            </w:tcBorders>
          </w:tcPr>
          <w:p>
            <w:pPr>
              <w:ind w:left="940"/>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00000A"/>
            </w:tcBorders>
          </w:tcPr>
          <w:p>
            <w:pPr>
              <w:jc w:val="right"/>
              <w:ind w:right="12"/>
              <w:spacing w:after="0"/>
              <w:rPr>
                <w:sz w:val="20"/>
                <w:szCs w:val="20"/>
                <w:color w:val="auto"/>
              </w:rPr>
            </w:pPr>
            <w:r>
              <w:rPr>
                <w:rFonts w:ascii="Arial" w:cs="Arial" w:eastAsia="Arial" w:hAnsi="Arial"/>
                <w:sz w:val="14"/>
                <w:szCs w:val="14"/>
                <w:color w:val="auto"/>
              </w:rPr>
              <w:t>120,910</w:t>
            </w:r>
          </w:p>
        </w:tc>
        <w:tc>
          <w:tcPr>
            <w:tcW w:w="220" w:type="dxa"/>
            <w:vAlign w:val="bottom"/>
          </w:tcPr>
          <w:p>
            <w:pPr>
              <w:spacing w:after="0"/>
              <w:rPr>
                <w:sz w:val="16"/>
                <w:szCs w:val="16"/>
                <w:color w:val="auto"/>
              </w:rPr>
            </w:pPr>
          </w:p>
        </w:tc>
        <w:tc>
          <w:tcPr>
            <w:tcW w:w="780" w:type="dxa"/>
            <w:vAlign w:val="bottom"/>
            <w:tcBorders>
              <w:right w:val="single" w:sz="8" w:color="00000A"/>
            </w:tcBorders>
          </w:tcPr>
          <w:p>
            <w:pPr>
              <w:jc w:val="right"/>
              <w:ind w:right="11"/>
              <w:spacing w:after="0"/>
              <w:rPr>
                <w:sz w:val="20"/>
                <w:szCs w:val="20"/>
                <w:color w:val="auto"/>
              </w:rPr>
            </w:pPr>
            <w:r>
              <w:rPr>
                <w:rFonts w:ascii="Arial" w:cs="Arial" w:eastAsia="Arial" w:hAnsi="Arial"/>
                <w:sz w:val="14"/>
                <w:szCs w:val="14"/>
                <w:color w:val="auto"/>
              </w:rPr>
              <w:t>1,577,737</w:t>
            </w:r>
          </w:p>
        </w:tc>
        <w:tc>
          <w:tcPr>
            <w:tcW w:w="0" w:type="dxa"/>
            <w:vAlign w:val="bottom"/>
          </w:tcPr>
          <w:p>
            <w:pPr>
              <w:spacing w:after="0"/>
              <w:rPr>
                <w:sz w:val="1"/>
                <w:szCs w:val="1"/>
                <w:color w:val="auto"/>
              </w:rPr>
            </w:pPr>
          </w:p>
        </w:tc>
      </w:tr>
      <w:tr>
        <w:trPr>
          <w:trHeight w:val="33"/>
        </w:trPr>
        <w:tc>
          <w:tcPr>
            <w:tcW w:w="580" w:type="dxa"/>
            <w:vAlign w:val="bottom"/>
            <w:tcBorders>
              <w:left w:val="single" w:sz="8" w:color="auto"/>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00000A"/>
            </w:tcBorders>
          </w:tcPr>
          <w:p>
            <w:pPr>
              <w:spacing w:after="0"/>
              <w:rPr>
                <w:sz w:val="2"/>
                <w:szCs w:val="2"/>
                <w:color w:val="auto"/>
              </w:rPr>
            </w:pPr>
          </w:p>
        </w:tc>
        <w:tc>
          <w:tcPr>
            <w:tcW w:w="640" w:type="dxa"/>
            <w:vAlign w:val="bottom"/>
            <w:tcBorders>
              <w:bottom w:val="single" w:sz="8" w:color="auto"/>
              <w:right w:val="single" w:sz="8" w:color="00000A"/>
            </w:tcBorders>
            <w:gridSpan w:val="2"/>
          </w:tcPr>
          <w:p>
            <w:pPr>
              <w:spacing w:after="0"/>
              <w:rPr>
                <w:sz w:val="2"/>
                <w:szCs w:val="2"/>
                <w:color w:val="auto"/>
              </w:rPr>
            </w:pPr>
          </w:p>
        </w:tc>
        <w:tc>
          <w:tcPr>
            <w:tcW w:w="940" w:type="dxa"/>
            <w:vAlign w:val="bottom"/>
            <w:tcBorders>
              <w:bottom w:val="single" w:sz="8" w:color="00000A"/>
              <w:right w:val="single" w:sz="8" w:color="00000A"/>
            </w:tcBorders>
            <w:gridSpan w:val="2"/>
          </w:tcPr>
          <w:p>
            <w:pPr>
              <w:spacing w:after="0"/>
              <w:rPr>
                <w:sz w:val="2"/>
                <w:szCs w:val="2"/>
                <w:color w:val="auto"/>
              </w:rPr>
            </w:pPr>
          </w:p>
        </w:tc>
        <w:tc>
          <w:tcPr>
            <w:tcW w:w="900" w:type="dxa"/>
            <w:vAlign w:val="bottom"/>
            <w:tcBorders>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660" w:type="dxa"/>
            <w:vAlign w:val="bottom"/>
            <w:tcBorders>
              <w:bottom w:val="single" w:sz="8" w:color="00000A"/>
              <w:right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460" w:type="dxa"/>
            <w:vAlign w:val="bottom"/>
            <w:tcBorders>
              <w:bottom w:val="single" w:sz="8" w:color="00000A"/>
            </w:tcBorders>
          </w:tcPr>
          <w:p>
            <w:pPr>
              <w:spacing w:after="0"/>
              <w:rPr>
                <w:sz w:val="2"/>
                <w:szCs w:val="2"/>
                <w:color w:val="auto"/>
              </w:rPr>
            </w:pPr>
          </w:p>
        </w:tc>
        <w:tc>
          <w:tcPr>
            <w:tcW w:w="600" w:type="dxa"/>
            <w:vAlign w:val="bottom"/>
            <w:tcBorders>
              <w:bottom w:val="single" w:sz="8" w:color="00000A"/>
              <w:right w:val="single" w:sz="8" w:color="00000A"/>
            </w:tcBorders>
          </w:tcPr>
          <w:p>
            <w:pPr>
              <w:spacing w:after="0"/>
              <w:rPr>
                <w:sz w:val="2"/>
                <w:szCs w:val="2"/>
                <w:color w:val="auto"/>
              </w:rPr>
            </w:pPr>
          </w:p>
        </w:tc>
        <w:tc>
          <w:tcPr>
            <w:tcW w:w="60" w:type="dxa"/>
            <w:vAlign w:val="bottom"/>
            <w:tcBorders>
              <w:bottom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22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right w:val="single" w:sz="8" w:color="00000A"/>
            </w:tcBorders>
          </w:tcPr>
          <w:p>
            <w:pPr>
              <w:spacing w:after="0"/>
              <w:rPr>
                <w:sz w:val="19"/>
                <w:szCs w:val="19"/>
                <w:color w:val="auto"/>
              </w:rPr>
            </w:pPr>
          </w:p>
        </w:tc>
        <w:tc>
          <w:tcPr>
            <w:tcW w:w="640" w:type="dxa"/>
            <w:vAlign w:val="bottom"/>
            <w:tcBorders>
              <w:bottom w:val="single" w:sz="8" w:color="CCEEFF"/>
              <w:right w:val="single" w:sz="8" w:color="00000A"/>
            </w:tcBorders>
            <w:gridSpan w:val="2"/>
            <w:shd w:val="clear" w:color="auto" w:fill="CCEEFF"/>
          </w:tcPr>
          <w:p>
            <w:pPr>
              <w:jc w:val="center"/>
              <w:spacing w:after="0"/>
              <w:rPr>
                <w:sz w:val="20"/>
                <w:szCs w:val="20"/>
                <w:color w:val="auto"/>
              </w:rPr>
            </w:pPr>
            <w:r>
              <w:rPr>
                <w:rFonts w:ascii="Arial" w:cs="Arial" w:eastAsia="Arial" w:hAnsi="Arial"/>
                <w:sz w:val="14"/>
                <w:szCs w:val="14"/>
                <w:color w:val="auto"/>
                <w:w w:val="96"/>
              </w:rPr>
              <w:t>2024</w:t>
            </w:r>
          </w:p>
        </w:tc>
        <w:tc>
          <w:tcPr>
            <w:tcW w:w="940" w:type="dxa"/>
            <w:vAlign w:val="bottom"/>
            <w:tcBorders>
              <w:bottom w:val="single" w:sz="8" w:color="CCEEFF"/>
              <w:right w:val="single" w:sz="8" w:color="00000A"/>
            </w:tcBorders>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549,154</w:t>
            </w:r>
          </w:p>
        </w:tc>
        <w:tc>
          <w:tcPr>
            <w:tcW w:w="900" w:type="dxa"/>
            <w:vAlign w:val="bottom"/>
            <w:tcBorders>
              <w:bottom w:val="single" w:sz="8" w:color="CCEEFF"/>
              <w:right w:val="single" w:sz="8" w:color="00000A"/>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right w:val="single" w:sz="8" w:color="00000A"/>
            </w:tcBorders>
            <w:shd w:val="clear" w:color="auto" w:fill="CCEEFF"/>
          </w:tcPr>
          <w:p>
            <w:pPr>
              <w:jc w:val="right"/>
              <w:ind w:right="12"/>
              <w:spacing w:after="0"/>
              <w:rPr>
                <w:sz w:val="20"/>
                <w:szCs w:val="20"/>
                <w:color w:val="auto"/>
              </w:rPr>
            </w:pPr>
            <w:r>
              <w:rPr>
                <w:rFonts w:ascii="Arial" w:cs="Arial" w:eastAsia="Arial" w:hAnsi="Arial"/>
                <w:sz w:val="14"/>
                <w:szCs w:val="14"/>
                <w:color w:val="auto"/>
              </w:rPr>
              <w:t>919,727</w:t>
            </w:r>
          </w:p>
        </w:tc>
        <w:tc>
          <w:tcPr>
            <w:tcW w:w="3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right w:val="single" w:sz="8" w:color="00000A"/>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right w:val="single" w:sz="8" w:color="00000A"/>
            </w:tcBorders>
            <w:shd w:val="clear" w:color="auto" w:fill="CCEEFF"/>
          </w:tcPr>
          <w:p>
            <w:pPr>
              <w:jc w:val="right"/>
              <w:ind w:right="10"/>
              <w:spacing w:after="0"/>
              <w:rPr>
                <w:sz w:val="20"/>
                <w:szCs w:val="20"/>
                <w:color w:val="auto"/>
              </w:rPr>
            </w:pPr>
            <w:r>
              <w:rPr>
                <w:rFonts w:ascii="Arial" w:cs="Arial" w:eastAsia="Arial" w:hAnsi="Arial"/>
                <w:sz w:val="14"/>
                <w:szCs w:val="14"/>
                <w:color w:val="auto"/>
                <w:w w:val="98"/>
              </w:rPr>
              <w:t>282,342</w:t>
            </w:r>
          </w:p>
        </w:tc>
        <w:tc>
          <w:tcPr>
            <w:tcW w:w="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right w:val="single" w:sz="8" w:color="00000A"/>
            </w:tcBorders>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right w:val="single" w:sz="8" w:color="00000A"/>
            </w:tcBorders>
            <w:shd w:val="clear" w:color="auto" w:fill="CCEEFF"/>
          </w:tcPr>
          <w:p>
            <w:pPr>
              <w:jc w:val="right"/>
              <w:ind w:right="12"/>
              <w:spacing w:after="0"/>
              <w:rPr>
                <w:sz w:val="20"/>
                <w:szCs w:val="20"/>
                <w:color w:val="auto"/>
              </w:rPr>
            </w:pPr>
            <w:r>
              <w:rPr>
                <w:rFonts w:ascii="Arial" w:cs="Arial" w:eastAsia="Arial" w:hAnsi="Arial"/>
                <w:sz w:val="14"/>
                <w:szCs w:val="14"/>
                <w:color w:val="auto"/>
              </w:rPr>
              <w:t>232,109</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right w:val="single" w:sz="8" w:color="00000A"/>
            </w:tcBorders>
            <w:shd w:val="clear" w:color="auto" w:fill="CCEEFF"/>
          </w:tcPr>
          <w:p>
            <w:pPr>
              <w:jc w:val="right"/>
              <w:ind w:right="11"/>
              <w:spacing w:after="0"/>
              <w:rPr>
                <w:sz w:val="20"/>
                <w:szCs w:val="20"/>
                <w:color w:val="auto"/>
              </w:rPr>
            </w:pPr>
            <w:r>
              <w:rPr>
                <w:rFonts w:ascii="Arial" w:cs="Arial" w:eastAsia="Arial" w:hAnsi="Arial"/>
                <w:sz w:val="14"/>
                <w:szCs w:val="14"/>
                <w:color w:val="auto"/>
              </w:rPr>
              <w:t>1,983,332</w:t>
            </w:r>
          </w:p>
        </w:tc>
        <w:tc>
          <w:tcPr>
            <w:tcW w:w="0" w:type="dxa"/>
            <w:vAlign w:val="bottom"/>
          </w:tcPr>
          <w:p>
            <w:pPr>
              <w:spacing w:after="0"/>
              <w:rPr>
                <w:sz w:val="1"/>
                <w:szCs w:val="1"/>
                <w:color w:val="auto"/>
              </w:rPr>
            </w:pPr>
          </w:p>
        </w:tc>
      </w:tr>
      <w:tr>
        <w:trPr>
          <w:trHeight w:val="70"/>
        </w:trPr>
        <w:tc>
          <w:tcPr>
            <w:tcW w:w="2120" w:type="dxa"/>
            <w:vAlign w:val="bottom"/>
            <w:tcBorders>
              <w:left w:val="single" w:sz="8" w:color="auto"/>
              <w:right w:val="single" w:sz="8" w:color="00000A"/>
            </w:tcBorders>
            <w:gridSpan w:val="4"/>
          </w:tcPr>
          <w:p>
            <w:pPr>
              <w:ind w:left="40"/>
              <w:spacing w:after="0" w:line="70" w:lineRule="exact"/>
              <w:rPr>
                <w:sz w:val="20"/>
                <w:szCs w:val="20"/>
                <w:color w:val="auto"/>
              </w:rPr>
            </w:pPr>
            <w:r>
              <w:rPr>
                <w:rFonts w:ascii="Arial" w:cs="Arial" w:eastAsia="Arial" w:hAnsi="Arial"/>
                <w:sz w:val="8"/>
                <w:szCs w:val="8"/>
                <w:color w:val="auto"/>
              </w:rPr>
              <w:t>Kevin Nash, Vice President - Finance,</w:t>
            </w:r>
          </w:p>
        </w:tc>
        <w:tc>
          <w:tcPr>
            <w:tcW w:w="640" w:type="dxa"/>
            <w:vAlign w:val="bottom"/>
            <w:tcBorders>
              <w:top w:val="single" w:sz="8" w:color="auto"/>
              <w:right w:val="single" w:sz="8" w:color="00000A"/>
            </w:tcBorders>
            <w:gridSpan w:val="2"/>
            <w:vMerge w:val="restart"/>
          </w:tcPr>
          <w:p>
            <w:pPr>
              <w:jc w:val="center"/>
              <w:spacing w:after="0"/>
              <w:rPr>
                <w:sz w:val="20"/>
                <w:szCs w:val="20"/>
                <w:color w:val="auto"/>
              </w:rPr>
            </w:pPr>
            <w:r>
              <w:rPr>
                <w:rFonts w:ascii="Arial" w:cs="Arial" w:eastAsia="Arial" w:hAnsi="Arial"/>
                <w:sz w:val="14"/>
                <w:szCs w:val="14"/>
                <w:color w:val="auto"/>
                <w:w w:val="96"/>
              </w:rPr>
              <w:t>2023</w:t>
            </w:r>
          </w:p>
        </w:tc>
        <w:tc>
          <w:tcPr>
            <w:tcW w:w="940" w:type="dxa"/>
            <w:vAlign w:val="bottom"/>
            <w:tcBorders>
              <w:top w:val="single" w:sz="8" w:color="00000A"/>
              <w:right w:val="single" w:sz="8" w:color="00000A"/>
            </w:tcBorders>
            <w:gridSpan w:val="2"/>
            <w:vMerge w:val="restart"/>
          </w:tcPr>
          <w:p>
            <w:pPr>
              <w:jc w:val="right"/>
              <w:ind w:right="14"/>
              <w:spacing w:after="0"/>
              <w:rPr>
                <w:sz w:val="20"/>
                <w:szCs w:val="20"/>
                <w:color w:val="auto"/>
              </w:rPr>
            </w:pPr>
            <w:r>
              <w:rPr>
                <w:rFonts w:ascii="Arial" w:cs="Arial" w:eastAsia="Arial" w:hAnsi="Arial"/>
                <w:sz w:val="14"/>
                <w:szCs w:val="14"/>
                <w:color w:val="auto"/>
              </w:rPr>
              <w:t>515,154</w:t>
            </w:r>
          </w:p>
        </w:tc>
        <w:tc>
          <w:tcPr>
            <w:tcW w:w="900" w:type="dxa"/>
            <w:vAlign w:val="bottom"/>
            <w:tcBorders>
              <w:top w:val="single" w:sz="8" w:color="00000A"/>
              <w:right w:val="single" w:sz="8" w:color="00000A"/>
            </w:tcBorders>
            <w:vMerge w:val="restart"/>
          </w:tcPr>
          <w:p>
            <w:pPr>
              <w:ind w:left="68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00000A"/>
              <w:right w:val="single" w:sz="8" w:color="00000A"/>
            </w:tcBorders>
            <w:vMerge w:val="restart"/>
          </w:tcPr>
          <w:p>
            <w:pPr>
              <w:jc w:val="right"/>
              <w:ind w:right="12"/>
              <w:spacing w:after="0"/>
              <w:rPr>
                <w:sz w:val="20"/>
                <w:szCs w:val="20"/>
                <w:color w:val="auto"/>
              </w:rPr>
            </w:pPr>
            <w:r>
              <w:rPr>
                <w:rFonts w:ascii="Arial" w:cs="Arial" w:eastAsia="Arial" w:hAnsi="Arial"/>
                <w:sz w:val="14"/>
                <w:szCs w:val="14"/>
                <w:color w:val="auto"/>
              </w:rPr>
              <w:t>1,764,515</w:t>
            </w:r>
          </w:p>
        </w:tc>
        <w:tc>
          <w:tcPr>
            <w:tcW w:w="300" w:type="dxa"/>
            <w:vAlign w:val="bottom"/>
            <w:tcBorders>
              <w:top w:val="single" w:sz="8" w:color="00000A"/>
            </w:tcBorders>
          </w:tcPr>
          <w:p>
            <w:pPr>
              <w:spacing w:after="0"/>
              <w:rPr>
                <w:sz w:val="6"/>
                <w:szCs w:val="6"/>
                <w:color w:val="auto"/>
              </w:rPr>
            </w:pPr>
          </w:p>
        </w:tc>
        <w:tc>
          <w:tcPr>
            <w:tcW w:w="660" w:type="dxa"/>
            <w:vAlign w:val="bottom"/>
            <w:tcBorders>
              <w:top w:val="single" w:sz="8" w:color="00000A"/>
              <w:right w:val="single" w:sz="8" w:color="00000A"/>
            </w:tcBorders>
            <w:vMerge w:val="restart"/>
          </w:tcPr>
          <w:p>
            <w:pPr>
              <w:ind w:left="44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00000A"/>
            </w:tcBorders>
          </w:tcPr>
          <w:p>
            <w:pPr>
              <w:spacing w:after="0"/>
              <w:rPr>
                <w:sz w:val="6"/>
                <w:szCs w:val="6"/>
                <w:color w:val="auto"/>
              </w:rPr>
            </w:pPr>
          </w:p>
        </w:tc>
        <w:tc>
          <w:tcPr>
            <w:tcW w:w="460" w:type="dxa"/>
            <w:vAlign w:val="bottom"/>
            <w:tcBorders>
              <w:top w:val="single" w:sz="8" w:color="00000A"/>
            </w:tcBorders>
          </w:tcPr>
          <w:p>
            <w:pPr>
              <w:spacing w:after="0"/>
              <w:rPr>
                <w:sz w:val="6"/>
                <w:szCs w:val="6"/>
                <w:color w:val="auto"/>
              </w:rPr>
            </w:pPr>
          </w:p>
        </w:tc>
        <w:tc>
          <w:tcPr>
            <w:tcW w:w="600" w:type="dxa"/>
            <w:vAlign w:val="bottom"/>
            <w:tcBorders>
              <w:top w:val="single" w:sz="8" w:color="00000A"/>
              <w:right w:val="single" w:sz="8" w:color="00000A"/>
            </w:tcBorders>
            <w:vMerge w:val="restart"/>
          </w:tcPr>
          <w:p>
            <w:pPr>
              <w:jc w:val="right"/>
              <w:ind w:right="10"/>
              <w:spacing w:after="0"/>
              <w:rPr>
                <w:sz w:val="20"/>
                <w:szCs w:val="20"/>
                <w:color w:val="auto"/>
              </w:rPr>
            </w:pPr>
            <w:r>
              <w:rPr>
                <w:rFonts w:ascii="Arial" w:cs="Arial" w:eastAsia="Arial" w:hAnsi="Arial"/>
                <w:sz w:val="14"/>
                <w:szCs w:val="14"/>
                <w:color w:val="auto"/>
                <w:w w:val="98"/>
              </w:rPr>
              <w:t>716,378</w:t>
            </w:r>
          </w:p>
        </w:tc>
        <w:tc>
          <w:tcPr>
            <w:tcW w:w="60" w:type="dxa"/>
            <w:vAlign w:val="bottom"/>
            <w:tcBorders>
              <w:top w:val="single" w:sz="8" w:color="00000A"/>
            </w:tcBorders>
          </w:tcPr>
          <w:p>
            <w:pPr>
              <w:spacing w:after="0"/>
              <w:rPr>
                <w:sz w:val="6"/>
                <w:szCs w:val="6"/>
                <w:color w:val="auto"/>
              </w:rPr>
            </w:pPr>
          </w:p>
        </w:tc>
        <w:tc>
          <w:tcPr>
            <w:tcW w:w="1160" w:type="dxa"/>
            <w:vAlign w:val="bottom"/>
            <w:tcBorders>
              <w:top w:val="single" w:sz="8" w:color="00000A"/>
              <w:right w:val="single" w:sz="8" w:color="00000A"/>
            </w:tcBorders>
            <w:vMerge w:val="restart"/>
          </w:tcPr>
          <w:p>
            <w:pPr>
              <w:ind w:left="94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00000A"/>
              <w:right w:val="single" w:sz="8" w:color="00000A"/>
            </w:tcBorders>
            <w:vMerge w:val="restart"/>
          </w:tcPr>
          <w:p>
            <w:pPr>
              <w:jc w:val="right"/>
              <w:ind w:right="12"/>
              <w:spacing w:after="0"/>
              <w:rPr>
                <w:sz w:val="20"/>
                <w:szCs w:val="20"/>
                <w:color w:val="auto"/>
              </w:rPr>
            </w:pPr>
            <w:r>
              <w:rPr>
                <w:rFonts w:ascii="Arial" w:cs="Arial" w:eastAsia="Arial" w:hAnsi="Arial"/>
                <w:sz w:val="14"/>
                <w:szCs w:val="14"/>
                <w:color w:val="auto"/>
              </w:rPr>
              <w:t>202,259</w:t>
            </w:r>
          </w:p>
        </w:tc>
        <w:tc>
          <w:tcPr>
            <w:tcW w:w="220" w:type="dxa"/>
            <w:vAlign w:val="bottom"/>
            <w:tcBorders>
              <w:top w:val="single" w:sz="8" w:color="00000A"/>
            </w:tcBorders>
          </w:tcPr>
          <w:p>
            <w:pPr>
              <w:spacing w:after="0"/>
              <w:rPr>
                <w:sz w:val="6"/>
                <w:szCs w:val="6"/>
                <w:color w:val="auto"/>
              </w:rPr>
            </w:pPr>
          </w:p>
        </w:tc>
        <w:tc>
          <w:tcPr>
            <w:tcW w:w="780" w:type="dxa"/>
            <w:vAlign w:val="bottom"/>
            <w:tcBorders>
              <w:top w:val="single" w:sz="8" w:color="00000A"/>
              <w:right w:val="single" w:sz="8" w:color="auto"/>
            </w:tcBorders>
            <w:vMerge w:val="restart"/>
          </w:tcPr>
          <w:p>
            <w:pPr>
              <w:jc w:val="right"/>
              <w:ind w:right="11"/>
              <w:spacing w:after="0"/>
              <w:rPr>
                <w:sz w:val="20"/>
                <w:szCs w:val="20"/>
                <w:color w:val="auto"/>
              </w:rPr>
            </w:pPr>
            <w:r>
              <w:rPr>
                <w:rFonts w:ascii="Arial" w:cs="Arial" w:eastAsia="Arial" w:hAnsi="Arial"/>
                <w:sz w:val="14"/>
                <w:szCs w:val="14"/>
                <w:color w:val="auto"/>
              </w:rPr>
              <w:t>3,198,306</w:t>
            </w:r>
          </w:p>
        </w:tc>
        <w:tc>
          <w:tcPr>
            <w:tcW w:w="0" w:type="dxa"/>
            <w:vAlign w:val="bottom"/>
          </w:tcPr>
          <w:p>
            <w:pPr>
              <w:spacing w:after="0"/>
              <w:rPr>
                <w:sz w:val="1"/>
                <w:szCs w:val="1"/>
                <w:color w:val="auto"/>
              </w:rPr>
            </w:pPr>
          </w:p>
        </w:tc>
      </w:tr>
      <w:tr>
        <w:trPr>
          <w:trHeight w:val="155"/>
        </w:trPr>
        <w:tc>
          <w:tcPr>
            <w:tcW w:w="1320" w:type="dxa"/>
            <w:vAlign w:val="bottom"/>
            <w:tcBorders>
              <w:left w:val="single" w:sz="8" w:color="auto"/>
            </w:tcBorders>
            <w:gridSpan w:val="2"/>
          </w:tcPr>
          <w:p>
            <w:pPr>
              <w:ind w:left="40"/>
              <w:spacing w:after="0"/>
              <w:rPr>
                <w:sz w:val="20"/>
                <w:szCs w:val="20"/>
                <w:color w:val="auto"/>
              </w:rPr>
            </w:pPr>
            <w:r>
              <w:rPr>
                <w:rFonts w:ascii="Arial" w:cs="Arial" w:eastAsia="Arial" w:hAnsi="Arial"/>
                <w:sz w:val="12"/>
                <w:szCs w:val="12"/>
                <w:color w:val="auto"/>
              </w:rPr>
              <w:t>CFO and Treasurer</w:t>
            </w:r>
          </w:p>
        </w:tc>
        <w:tc>
          <w:tcPr>
            <w:tcW w:w="700" w:type="dxa"/>
            <w:vAlign w:val="bottom"/>
          </w:tcPr>
          <w:p>
            <w:pPr>
              <w:spacing w:after="0"/>
              <w:rPr>
                <w:sz w:val="13"/>
                <w:szCs w:val="13"/>
                <w:color w:val="auto"/>
              </w:rPr>
            </w:pPr>
          </w:p>
        </w:tc>
        <w:tc>
          <w:tcPr>
            <w:tcW w:w="100" w:type="dxa"/>
            <w:vAlign w:val="bottom"/>
            <w:tcBorders>
              <w:right w:val="single" w:sz="8" w:color="00000A"/>
            </w:tcBorders>
          </w:tcPr>
          <w:p>
            <w:pPr>
              <w:spacing w:after="0"/>
              <w:rPr>
                <w:sz w:val="13"/>
                <w:szCs w:val="13"/>
                <w:color w:val="auto"/>
              </w:rPr>
            </w:pPr>
          </w:p>
        </w:tc>
        <w:tc>
          <w:tcPr>
            <w:tcW w:w="640" w:type="dxa"/>
            <w:vAlign w:val="bottom"/>
            <w:tcBorders>
              <w:bottom w:val="single" w:sz="8" w:color="auto"/>
              <w:right w:val="single" w:sz="8" w:color="00000A"/>
            </w:tcBorders>
            <w:gridSpan w:val="2"/>
            <w:vMerge w:val="continue"/>
          </w:tcPr>
          <w:p>
            <w:pPr>
              <w:spacing w:after="0"/>
              <w:rPr>
                <w:sz w:val="13"/>
                <w:szCs w:val="13"/>
                <w:color w:val="auto"/>
              </w:rPr>
            </w:pPr>
          </w:p>
        </w:tc>
        <w:tc>
          <w:tcPr>
            <w:tcW w:w="940" w:type="dxa"/>
            <w:vAlign w:val="bottom"/>
            <w:tcBorders>
              <w:bottom w:val="single" w:sz="8" w:color="00000A"/>
              <w:right w:val="single" w:sz="8" w:color="00000A"/>
            </w:tcBorders>
            <w:gridSpan w:val="2"/>
            <w:vMerge w:val="continue"/>
          </w:tcPr>
          <w:p>
            <w:pPr>
              <w:spacing w:after="0"/>
              <w:rPr>
                <w:sz w:val="13"/>
                <w:szCs w:val="13"/>
                <w:color w:val="auto"/>
              </w:rPr>
            </w:pPr>
          </w:p>
        </w:tc>
        <w:tc>
          <w:tcPr>
            <w:tcW w:w="900" w:type="dxa"/>
            <w:vAlign w:val="bottom"/>
            <w:tcBorders>
              <w:bottom w:val="single" w:sz="8" w:color="00000A"/>
              <w:right w:val="single" w:sz="8" w:color="00000A"/>
            </w:tcBorders>
            <w:vMerge w:val="continue"/>
          </w:tcPr>
          <w:p>
            <w:pPr>
              <w:spacing w:after="0"/>
              <w:rPr>
                <w:sz w:val="13"/>
                <w:szCs w:val="13"/>
                <w:color w:val="auto"/>
              </w:rPr>
            </w:pPr>
          </w:p>
        </w:tc>
        <w:tc>
          <w:tcPr>
            <w:tcW w:w="1060" w:type="dxa"/>
            <w:vAlign w:val="bottom"/>
            <w:tcBorders>
              <w:bottom w:val="single" w:sz="8" w:color="00000A"/>
              <w:right w:val="single" w:sz="8" w:color="00000A"/>
            </w:tcBorders>
            <w:vMerge w:val="continue"/>
          </w:tcPr>
          <w:p>
            <w:pPr>
              <w:spacing w:after="0"/>
              <w:rPr>
                <w:sz w:val="13"/>
                <w:szCs w:val="13"/>
                <w:color w:val="auto"/>
              </w:rPr>
            </w:pPr>
          </w:p>
        </w:tc>
        <w:tc>
          <w:tcPr>
            <w:tcW w:w="300" w:type="dxa"/>
            <w:vAlign w:val="bottom"/>
            <w:tcBorders>
              <w:bottom w:val="single" w:sz="8" w:color="00000A"/>
            </w:tcBorders>
          </w:tcPr>
          <w:p>
            <w:pPr>
              <w:spacing w:after="0"/>
              <w:rPr>
                <w:sz w:val="13"/>
                <w:szCs w:val="13"/>
                <w:color w:val="auto"/>
              </w:rPr>
            </w:pPr>
          </w:p>
        </w:tc>
        <w:tc>
          <w:tcPr>
            <w:tcW w:w="660" w:type="dxa"/>
            <w:vAlign w:val="bottom"/>
            <w:tcBorders>
              <w:bottom w:val="single" w:sz="8" w:color="00000A"/>
              <w:right w:val="single" w:sz="8" w:color="00000A"/>
            </w:tcBorders>
            <w:vMerge w:val="continue"/>
          </w:tcPr>
          <w:p>
            <w:pPr>
              <w:spacing w:after="0"/>
              <w:rPr>
                <w:sz w:val="13"/>
                <w:szCs w:val="13"/>
                <w:color w:val="auto"/>
              </w:rPr>
            </w:pPr>
          </w:p>
        </w:tc>
        <w:tc>
          <w:tcPr>
            <w:tcW w:w="160" w:type="dxa"/>
            <w:vAlign w:val="bottom"/>
            <w:tcBorders>
              <w:bottom w:val="single" w:sz="8" w:color="00000A"/>
            </w:tcBorders>
          </w:tcPr>
          <w:p>
            <w:pPr>
              <w:spacing w:after="0"/>
              <w:rPr>
                <w:sz w:val="13"/>
                <w:szCs w:val="13"/>
                <w:color w:val="auto"/>
              </w:rPr>
            </w:pPr>
          </w:p>
        </w:tc>
        <w:tc>
          <w:tcPr>
            <w:tcW w:w="460" w:type="dxa"/>
            <w:vAlign w:val="bottom"/>
            <w:tcBorders>
              <w:bottom w:val="single" w:sz="8" w:color="00000A"/>
            </w:tcBorders>
          </w:tcPr>
          <w:p>
            <w:pPr>
              <w:spacing w:after="0"/>
              <w:rPr>
                <w:sz w:val="13"/>
                <w:szCs w:val="13"/>
                <w:color w:val="auto"/>
              </w:rPr>
            </w:pPr>
          </w:p>
        </w:tc>
        <w:tc>
          <w:tcPr>
            <w:tcW w:w="600" w:type="dxa"/>
            <w:vAlign w:val="bottom"/>
            <w:tcBorders>
              <w:bottom w:val="single" w:sz="8" w:color="00000A"/>
              <w:right w:val="single" w:sz="8" w:color="00000A"/>
            </w:tcBorders>
            <w:vMerge w:val="continue"/>
          </w:tcPr>
          <w:p>
            <w:pPr>
              <w:spacing w:after="0"/>
              <w:rPr>
                <w:sz w:val="13"/>
                <w:szCs w:val="13"/>
                <w:color w:val="auto"/>
              </w:rPr>
            </w:pPr>
          </w:p>
        </w:tc>
        <w:tc>
          <w:tcPr>
            <w:tcW w:w="60" w:type="dxa"/>
            <w:vAlign w:val="bottom"/>
            <w:tcBorders>
              <w:bottom w:val="single" w:sz="8" w:color="00000A"/>
            </w:tcBorders>
          </w:tcPr>
          <w:p>
            <w:pPr>
              <w:spacing w:after="0"/>
              <w:rPr>
                <w:sz w:val="13"/>
                <w:szCs w:val="13"/>
                <w:color w:val="auto"/>
              </w:rPr>
            </w:pPr>
          </w:p>
        </w:tc>
        <w:tc>
          <w:tcPr>
            <w:tcW w:w="1160" w:type="dxa"/>
            <w:vAlign w:val="bottom"/>
            <w:tcBorders>
              <w:bottom w:val="single" w:sz="8" w:color="00000A"/>
              <w:right w:val="single" w:sz="8" w:color="00000A"/>
            </w:tcBorders>
            <w:vMerge w:val="continue"/>
          </w:tcPr>
          <w:p>
            <w:pPr>
              <w:spacing w:after="0"/>
              <w:rPr>
                <w:sz w:val="13"/>
                <w:szCs w:val="13"/>
                <w:color w:val="auto"/>
              </w:rPr>
            </w:pPr>
          </w:p>
        </w:tc>
        <w:tc>
          <w:tcPr>
            <w:tcW w:w="1200" w:type="dxa"/>
            <w:vAlign w:val="bottom"/>
            <w:tcBorders>
              <w:bottom w:val="single" w:sz="8" w:color="00000A"/>
              <w:right w:val="single" w:sz="8" w:color="00000A"/>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80" w:type="dxa"/>
            <w:vAlign w:val="bottom"/>
            <w:tcBorders>
              <w:lef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right w:val="single" w:sz="8" w:color="00000A"/>
            </w:tcBorders>
          </w:tcPr>
          <w:p>
            <w:pPr>
              <w:spacing w:after="0"/>
              <w:rPr>
                <w:sz w:val="19"/>
                <w:szCs w:val="19"/>
                <w:color w:val="auto"/>
              </w:rPr>
            </w:pPr>
          </w:p>
        </w:tc>
        <w:tc>
          <w:tcPr>
            <w:tcW w:w="640" w:type="dxa"/>
            <w:vAlign w:val="bottom"/>
            <w:tcBorders>
              <w:bottom w:val="single" w:sz="8" w:color="CCEEFF"/>
              <w:right w:val="single" w:sz="8" w:color="00000A"/>
            </w:tcBorders>
            <w:gridSpan w:val="2"/>
            <w:shd w:val="clear" w:color="auto" w:fill="CCEEFF"/>
          </w:tcPr>
          <w:p>
            <w:pPr>
              <w:jc w:val="center"/>
              <w:spacing w:after="0"/>
              <w:rPr>
                <w:sz w:val="20"/>
                <w:szCs w:val="20"/>
                <w:color w:val="auto"/>
              </w:rPr>
            </w:pPr>
            <w:r>
              <w:rPr>
                <w:rFonts w:ascii="Arial" w:cs="Arial" w:eastAsia="Arial" w:hAnsi="Arial"/>
                <w:sz w:val="14"/>
                <w:szCs w:val="14"/>
                <w:color w:val="auto"/>
                <w:w w:val="96"/>
              </w:rPr>
              <w:t>2022</w:t>
            </w:r>
          </w:p>
        </w:tc>
        <w:tc>
          <w:tcPr>
            <w:tcW w:w="940" w:type="dxa"/>
            <w:vAlign w:val="bottom"/>
            <w:tcBorders>
              <w:bottom w:val="single" w:sz="8" w:color="CCEEFF"/>
              <w:right w:val="single" w:sz="8" w:color="00000A"/>
            </w:tcBorders>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470,039</w:t>
            </w:r>
          </w:p>
        </w:tc>
        <w:tc>
          <w:tcPr>
            <w:tcW w:w="900" w:type="dxa"/>
            <w:vAlign w:val="bottom"/>
            <w:tcBorders>
              <w:bottom w:val="single" w:sz="8" w:color="CCEEFF"/>
              <w:right w:val="single" w:sz="8" w:color="00000A"/>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right w:val="single" w:sz="8" w:color="00000A"/>
            </w:tcBorders>
            <w:shd w:val="clear" w:color="auto" w:fill="CCEEFF"/>
          </w:tcPr>
          <w:p>
            <w:pPr>
              <w:jc w:val="right"/>
              <w:ind w:right="12"/>
              <w:spacing w:after="0"/>
              <w:rPr>
                <w:sz w:val="20"/>
                <w:szCs w:val="20"/>
                <w:color w:val="auto"/>
              </w:rPr>
            </w:pPr>
            <w:r>
              <w:rPr>
                <w:rFonts w:ascii="Arial" w:cs="Arial" w:eastAsia="Arial" w:hAnsi="Arial"/>
                <w:sz w:val="14"/>
                <w:szCs w:val="14"/>
                <w:color w:val="auto"/>
              </w:rPr>
              <w:t>862,319</w:t>
            </w:r>
          </w:p>
        </w:tc>
        <w:tc>
          <w:tcPr>
            <w:tcW w:w="3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right w:val="single" w:sz="8" w:color="00000A"/>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right w:val="single" w:sz="8" w:color="00000A"/>
            </w:tcBorders>
            <w:shd w:val="clear" w:color="auto" w:fill="CCEEFF"/>
          </w:tcPr>
          <w:p>
            <w:pPr>
              <w:jc w:val="right"/>
              <w:ind w:right="10"/>
              <w:spacing w:after="0"/>
              <w:rPr>
                <w:sz w:val="20"/>
                <w:szCs w:val="20"/>
                <w:color w:val="auto"/>
              </w:rPr>
            </w:pPr>
            <w:r>
              <w:rPr>
                <w:rFonts w:ascii="Arial" w:cs="Arial" w:eastAsia="Arial" w:hAnsi="Arial"/>
                <w:sz w:val="14"/>
                <w:szCs w:val="14"/>
                <w:color w:val="auto"/>
                <w:w w:val="98"/>
              </w:rPr>
              <w:t>269,289</w:t>
            </w:r>
          </w:p>
        </w:tc>
        <w:tc>
          <w:tcPr>
            <w:tcW w:w="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right w:val="single" w:sz="8" w:color="00000A"/>
            </w:tcBorders>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right w:val="single" w:sz="8" w:color="00000A"/>
            </w:tcBorders>
            <w:shd w:val="clear" w:color="auto" w:fill="CCEEFF"/>
          </w:tcPr>
          <w:p>
            <w:pPr>
              <w:jc w:val="right"/>
              <w:ind w:right="12"/>
              <w:spacing w:after="0"/>
              <w:rPr>
                <w:sz w:val="20"/>
                <w:szCs w:val="20"/>
                <w:color w:val="auto"/>
              </w:rPr>
            </w:pPr>
            <w:r>
              <w:rPr>
                <w:rFonts w:ascii="Arial" w:cs="Arial" w:eastAsia="Arial" w:hAnsi="Arial"/>
                <w:sz w:val="14"/>
                <w:szCs w:val="14"/>
                <w:color w:val="auto"/>
              </w:rPr>
              <w:t>181,015</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right w:val="single" w:sz="8" w:color="00000A"/>
            </w:tcBorders>
            <w:shd w:val="clear" w:color="auto" w:fill="CCEEFF"/>
          </w:tcPr>
          <w:p>
            <w:pPr>
              <w:jc w:val="right"/>
              <w:ind w:right="11"/>
              <w:spacing w:after="0"/>
              <w:rPr>
                <w:sz w:val="20"/>
                <w:szCs w:val="20"/>
                <w:color w:val="auto"/>
              </w:rPr>
            </w:pPr>
            <w:r>
              <w:rPr>
                <w:rFonts w:ascii="Arial" w:cs="Arial" w:eastAsia="Arial" w:hAnsi="Arial"/>
                <w:sz w:val="14"/>
                <w:szCs w:val="14"/>
                <w:color w:val="auto"/>
              </w:rPr>
              <w:t>1,782,662</w:t>
            </w:r>
          </w:p>
        </w:tc>
        <w:tc>
          <w:tcPr>
            <w:tcW w:w="0" w:type="dxa"/>
            <w:vAlign w:val="bottom"/>
          </w:tcPr>
          <w:p>
            <w:pPr>
              <w:spacing w:after="0"/>
              <w:rPr>
                <w:sz w:val="1"/>
                <w:szCs w:val="1"/>
                <w:color w:val="auto"/>
              </w:rPr>
            </w:pPr>
          </w:p>
        </w:tc>
      </w:tr>
      <w:tr>
        <w:trPr>
          <w:trHeight w:val="191"/>
        </w:trPr>
        <w:tc>
          <w:tcPr>
            <w:tcW w:w="580" w:type="dxa"/>
            <w:vAlign w:val="bottom"/>
            <w:tcBorders>
              <w:top w:val="single" w:sz="8" w:color="auto"/>
              <w:left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right w:val="single" w:sz="8" w:color="00000A"/>
            </w:tcBorders>
          </w:tcPr>
          <w:p>
            <w:pPr>
              <w:spacing w:after="0"/>
              <w:rPr>
                <w:sz w:val="16"/>
                <w:szCs w:val="16"/>
                <w:color w:val="auto"/>
              </w:rPr>
            </w:pPr>
          </w:p>
        </w:tc>
        <w:tc>
          <w:tcPr>
            <w:tcW w:w="640" w:type="dxa"/>
            <w:vAlign w:val="bottom"/>
            <w:tcBorders>
              <w:top w:val="single" w:sz="8" w:color="auto"/>
              <w:right w:val="single" w:sz="8" w:color="00000A"/>
            </w:tcBorders>
            <w:gridSpan w:val="2"/>
          </w:tcPr>
          <w:p>
            <w:pPr>
              <w:jc w:val="center"/>
              <w:spacing w:after="0"/>
              <w:rPr>
                <w:sz w:val="20"/>
                <w:szCs w:val="20"/>
                <w:color w:val="auto"/>
              </w:rPr>
            </w:pPr>
            <w:r>
              <w:rPr>
                <w:rFonts w:ascii="Arial" w:cs="Arial" w:eastAsia="Arial" w:hAnsi="Arial"/>
                <w:sz w:val="14"/>
                <w:szCs w:val="14"/>
                <w:color w:val="auto"/>
                <w:w w:val="96"/>
              </w:rPr>
              <w:t>2024</w:t>
            </w:r>
          </w:p>
        </w:tc>
        <w:tc>
          <w:tcPr>
            <w:tcW w:w="940" w:type="dxa"/>
            <w:vAlign w:val="bottom"/>
            <w:tcBorders>
              <w:top w:val="single" w:sz="8" w:color="00000A"/>
              <w:right w:val="single" w:sz="8" w:color="00000A"/>
            </w:tcBorders>
            <w:gridSpan w:val="2"/>
          </w:tcPr>
          <w:p>
            <w:pPr>
              <w:jc w:val="right"/>
              <w:ind w:right="14"/>
              <w:spacing w:after="0"/>
              <w:rPr>
                <w:sz w:val="20"/>
                <w:szCs w:val="20"/>
                <w:color w:val="auto"/>
              </w:rPr>
            </w:pPr>
            <w:r>
              <w:rPr>
                <w:rFonts w:ascii="Arial" w:cs="Arial" w:eastAsia="Arial" w:hAnsi="Arial"/>
                <w:sz w:val="14"/>
                <w:szCs w:val="14"/>
                <w:color w:val="auto"/>
              </w:rPr>
              <w:t>476,346</w:t>
            </w:r>
          </w:p>
        </w:tc>
        <w:tc>
          <w:tcPr>
            <w:tcW w:w="900" w:type="dxa"/>
            <w:vAlign w:val="bottom"/>
            <w:tcBorders>
              <w:top w:val="single" w:sz="8" w:color="00000A"/>
              <w:right w:val="single" w:sz="8" w:color="00000A"/>
            </w:tcBorders>
          </w:tcPr>
          <w:p>
            <w:pPr>
              <w:ind w:left="68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00000A"/>
              <w:right w:val="single" w:sz="8" w:color="00000A"/>
            </w:tcBorders>
          </w:tcPr>
          <w:p>
            <w:pPr>
              <w:jc w:val="right"/>
              <w:ind w:right="12"/>
              <w:spacing w:after="0"/>
              <w:rPr>
                <w:sz w:val="20"/>
                <w:szCs w:val="20"/>
                <w:color w:val="auto"/>
              </w:rPr>
            </w:pPr>
            <w:r>
              <w:rPr>
                <w:rFonts w:ascii="Arial" w:cs="Arial" w:eastAsia="Arial" w:hAnsi="Arial"/>
                <w:sz w:val="14"/>
                <w:szCs w:val="14"/>
                <w:color w:val="auto"/>
              </w:rPr>
              <w:t>666,492</w:t>
            </w:r>
          </w:p>
        </w:tc>
        <w:tc>
          <w:tcPr>
            <w:tcW w:w="300" w:type="dxa"/>
            <w:vAlign w:val="bottom"/>
            <w:tcBorders>
              <w:top w:val="single" w:sz="8" w:color="00000A"/>
            </w:tcBorders>
          </w:tcPr>
          <w:p>
            <w:pPr>
              <w:spacing w:after="0"/>
              <w:rPr>
                <w:sz w:val="16"/>
                <w:szCs w:val="16"/>
                <w:color w:val="auto"/>
              </w:rPr>
            </w:pPr>
          </w:p>
        </w:tc>
        <w:tc>
          <w:tcPr>
            <w:tcW w:w="660" w:type="dxa"/>
            <w:vAlign w:val="bottom"/>
            <w:tcBorders>
              <w:top w:val="single" w:sz="8" w:color="00000A"/>
              <w:right w:val="single" w:sz="8" w:color="00000A"/>
            </w:tcBorders>
          </w:tcPr>
          <w:p>
            <w:pPr>
              <w:ind w:left="44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00000A"/>
            </w:tcBorders>
          </w:tcPr>
          <w:p>
            <w:pPr>
              <w:spacing w:after="0"/>
              <w:rPr>
                <w:sz w:val="16"/>
                <w:szCs w:val="16"/>
                <w:color w:val="auto"/>
              </w:rPr>
            </w:pPr>
          </w:p>
        </w:tc>
        <w:tc>
          <w:tcPr>
            <w:tcW w:w="460" w:type="dxa"/>
            <w:vAlign w:val="bottom"/>
            <w:tcBorders>
              <w:top w:val="single" w:sz="8" w:color="00000A"/>
            </w:tcBorders>
          </w:tcPr>
          <w:p>
            <w:pPr>
              <w:spacing w:after="0"/>
              <w:rPr>
                <w:sz w:val="16"/>
                <w:szCs w:val="16"/>
                <w:color w:val="auto"/>
              </w:rPr>
            </w:pPr>
          </w:p>
        </w:tc>
        <w:tc>
          <w:tcPr>
            <w:tcW w:w="600" w:type="dxa"/>
            <w:vAlign w:val="bottom"/>
            <w:tcBorders>
              <w:top w:val="single" w:sz="8" w:color="00000A"/>
              <w:right w:val="single" w:sz="8" w:color="00000A"/>
            </w:tcBorders>
          </w:tcPr>
          <w:p>
            <w:pPr>
              <w:jc w:val="right"/>
              <w:ind w:right="10"/>
              <w:spacing w:after="0"/>
              <w:rPr>
                <w:sz w:val="20"/>
                <w:szCs w:val="20"/>
                <w:color w:val="auto"/>
              </w:rPr>
            </w:pPr>
            <w:r>
              <w:rPr>
                <w:rFonts w:ascii="Arial" w:cs="Arial" w:eastAsia="Arial" w:hAnsi="Arial"/>
                <w:sz w:val="14"/>
                <w:szCs w:val="14"/>
                <w:color w:val="auto"/>
                <w:w w:val="98"/>
              </w:rPr>
              <w:t>244,188</w:t>
            </w:r>
          </w:p>
        </w:tc>
        <w:tc>
          <w:tcPr>
            <w:tcW w:w="60" w:type="dxa"/>
            <w:vAlign w:val="bottom"/>
            <w:tcBorders>
              <w:top w:val="single" w:sz="8" w:color="00000A"/>
            </w:tcBorders>
          </w:tcPr>
          <w:p>
            <w:pPr>
              <w:spacing w:after="0"/>
              <w:rPr>
                <w:sz w:val="16"/>
                <w:szCs w:val="16"/>
                <w:color w:val="auto"/>
              </w:rPr>
            </w:pPr>
          </w:p>
        </w:tc>
        <w:tc>
          <w:tcPr>
            <w:tcW w:w="1160" w:type="dxa"/>
            <w:vAlign w:val="bottom"/>
            <w:tcBorders>
              <w:top w:val="single" w:sz="8" w:color="00000A"/>
              <w:right w:val="single" w:sz="8" w:color="00000A"/>
            </w:tcBorders>
          </w:tcPr>
          <w:p>
            <w:pPr>
              <w:ind w:left="94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00000A"/>
              <w:right w:val="single" w:sz="8" w:color="00000A"/>
            </w:tcBorders>
          </w:tcPr>
          <w:p>
            <w:pPr>
              <w:jc w:val="right"/>
              <w:ind w:right="12"/>
              <w:spacing w:after="0"/>
              <w:rPr>
                <w:sz w:val="20"/>
                <w:szCs w:val="20"/>
                <w:color w:val="auto"/>
              </w:rPr>
            </w:pPr>
            <w:r>
              <w:rPr>
                <w:rFonts w:ascii="Arial" w:cs="Arial" w:eastAsia="Arial" w:hAnsi="Arial"/>
                <w:sz w:val="14"/>
                <w:szCs w:val="14"/>
                <w:color w:val="auto"/>
              </w:rPr>
              <w:t>186,506</w:t>
            </w:r>
          </w:p>
        </w:tc>
        <w:tc>
          <w:tcPr>
            <w:tcW w:w="220" w:type="dxa"/>
            <w:vAlign w:val="bottom"/>
            <w:tcBorders>
              <w:top w:val="single" w:sz="8" w:color="00000A"/>
            </w:tcBorders>
          </w:tcPr>
          <w:p>
            <w:pPr>
              <w:spacing w:after="0"/>
              <w:rPr>
                <w:sz w:val="16"/>
                <w:szCs w:val="16"/>
                <w:color w:val="auto"/>
              </w:rPr>
            </w:pPr>
          </w:p>
        </w:tc>
        <w:tc>
          <w:tcPr>
            <w:tcW w:w="780" w:type="dxa"/>
            <w:vAlign w:val="bottom"/>
            <w:tcBorders>
              <w:top w:val="single" w:sz="8" w:color="00000A"/>
              <w:right w:val="single" w:sz="8" w:color="00000A"/>
            </w:tcBorders>
          </w:tcPr>
          <w:p>
            <w:pPr>
              <w:jc w:val="right"/>
              <w:ind w:right="11"/>
              <w:spacing w:after="0"/>
              <w:rPr>
                <w:sz w:val="20"/>
                <w:szCs w:val="20"/>
                <w:color w:val="auto"/>
              </w:rPr>
            </w:pPr>
            <w:r>
              <w:rPr>
                <w:rFonts w:ascii="Arial" w:cs="Arial" w:eastAsia="Arial" w:hAnsi="Arial"/>
                <w:sz w:val="14"/>
                <w:szCs w:val="14"/>
                <w:color w:val="auto"/>
              </w:rPr>
              <w:t>1,573,532</w:t>
            </w:r>
          </w:p>
        </w:tc>
        <w:tc>
          <w:tcPr>
            <w:tcW w:w="0" w:type="dxa"/>
            <w:vAlign w:val="bottom"/>
          </w:tcPr>
          <w:p>
            <w:pPr>
              <w:spacing w:after="0"/>
              <w:rPr>
                <w:sz w:val="1"/>
                <w:szCs w:val="1"/>
                <w:color w:val="auto"/>
              </w:rPr>
            </w:pPr>
          </w:p>
        </w:tc>
      </w:tr>
      <w:tr>
        <w:trPr>
          <w:trHeight w:val="33"/>
        </w:trPr>
        <w:tc>
          <w:tcPr>
            <w:tcW w:w="2120" w:type="dxa"/>
            <w:vAlign w:val="bottom"/>
            <w:tcBorders>
              <w:left w:val="single" w:sz="8" w:color="auto"/>
              <w:right w:val="single" w:sz="8" w:color="00000A"/>
            </w:tcBorders>
            <w:gridSpan w:val="4"/>
          </w:tcPr>
          <w:p>
            <w:pPr>
              <w:spacing w:after="0"/>
              <w:rPr>
                <w:sz w:val="2"/>
                <w:szCs w:val="2"/>
                <w:color w:val="auto"/>
              </w:rPr>
            </w:pPr>
          </w:p>
        </w:tc>
        <w:tc>
          <w:tcPr>
            <w:tcW w:w="640" w:type="dxa"/>
            <w:vAlign w:val="bottom"/>
            <w:tcBorders>
              <w:bottom w:val="single" w:sz="8" w:color="auto"/>
              <w:right w:val="single" w:sz="8" w:color="00000A"/>
            </w:tcBorders>
            <w:gridSpan w:val="2"/>
          </w:tcPr>
          <w:p>
            <w:pPr>
              <w:spacing w:after="0"/>
              <w:rPr>
                <w:sz w:val="2"/>
                <w:szCs w:val="2"/>
                <w:color w:val="auto"/>
              </w:rPr>
            </w:pPr>
          </w:p>
        </w:tc>
        <w:tc>
          <w:tcPr>
            <w:tcW w:w="940" w:type="dxa"/>
            <w:vAlign w:val="bottom"/>
            <w:tcBorders>
              <w:bottom w:val="single" w:sz="8" w:color="00000A"/>
              <w:right w:val="single" w:sz="8" w:color="00000A"/>
            </w:tcBorders>
            <w:gridSpan w:val="2"/>
          </w:tcPr>
          <w:p>
            <w:pPr>
              <w:spacing w:after="0"/>
              <w:rPr>
                <w:sz w:val="2"/>
                <w:szCs w:val="2"/>
                <w:color w:val="auto"/>
              </w:rPr>
            </w:pPr>
          </w:p>
        </w:tc>
        <w:tc>
          <w:tcPr>
            <w:tcW w:w="900" w:type="dxa"/>
            <w:vAlign w:val="bottom"/>
            <w:tcBorders>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660" w:type="dxa"/>
            <w:vAlign w:val="bottom"/>
            <w:tcBorders>
              <w:bottom w:val="single" w:sz="8" w:color="00000A"/>
              <w:right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460" w:type="dxa"/>
            <w:vAlign w:val="bottom"/>
            <w:tcBorders>
              <w:bottom w:val="single" w:sz="8" w:color="00000A"/>
            </w:tcBorders>
          </w:tcPr>
          <w:p>
            <w:pPr>
              <w:spacing w:after="0"/>
              <w:rPr>
                <w:sz w:val="2"/>
                <w:szCs w:val="2"/>
                <w:color w:val="auto"/>
              </w:rPr>
            </w:pPr>
          </w:p>
        </w:tc>
        <w:tc>
          <w:tcPr>
            <w:tcW w:w="600" w:type="dxa"/>
            <w:vAlign w:val="bottom"/>
            <w:tcBorders>
              <w:bottom w:val="single" w:sz="8" w:color="00000A"/>
              <w:right w:val="single" w:sz="8" w:color="00000A"/>
            </w:tcBorders>
          </w:tcPr>
          <w:p>
            <w:pPr>
              <w:spacing w:after="0"/>
              <w:rPr>
                <w:sz w:val="2"/>
                <w:szCs w:val="2"/>
                <w:color w:val="auto"/>
              </w:rPr>
            </w:pPr>
          </w:p>
        </w:tc>
        <w:tc>
          <w:tcPr>
            <w:tcW w:w="60" w:type="dxa"/>
            <w:vAlign w:val="bottom"/>
            <w:tcBorders>
              <w:bottom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22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120" w:type="dxa"/>
            <w:vAlign w:val="bottom"/>
            <w:tcBorders>
              <w:left w:val="single" w:sz="8" w:color="auto"/>
              <w:right w:val="single" w:sz="8" w:color="00000A"/>
            </w:tcBorders>
            <w:gridSpan w:val="4"/>
          </w:tcPr>
          <w:p>
            <w:pPr>
              <w:ind w:left="40"/>
              <w:spacing w:after="0"/>
              <w:rPr>
                <w:sz w:val="20"/>
                <w:szCs w:val="20"/>
                <w:color w:val="auto"/>
              </w:rPr>
            </w:pPr>
            <w:r>
              <w:rPr>
                <w:rFonts w:ascii="Arial" w:cs="Arial" w:eastAsia="Arial" w:hAnsi="Arial"/>
                <w:sz w:val="12"/>
                <w:szCs w:val="12"/>
                <w:color w:val="auto"/>
              </w:rPr>
              <w:t>Matt Chiodo, Vice President - Sales</w:t>
            </w:r>
          </w:p>
        </w:tc>
        <w:tc>
          <w:tcPr>
            <w:tcW w:w="640" w:type="dxa"/>
            <w:vAlign w:val="bottom"/>
            <w:tcBorders>
              <w:bottom w:val="single" w:sz="8" w:color="CCEEFF"/>
              <w:right w:val="single" w:sz="8" w:color="00000A"/>
            </w:tcBorders>
            <w:gridSpan w:val="2"/>
            <w:shd w:val="clear" w:color="auto" w:fill="CCEEFF"/>
          </w:tcPr>
          <w:p>
            <w:pPr>
              <w:jc w:val="center"/>
              <w:spacing w:after="0"/>
              <w:rPr>
                <w:sz w:val="20"/>
                <w:szCs w:val="20"/>
                <w:color w:val="auto"/>
              </w:rPr>
            </w:pPr>
            <w:r>
              <w:rPr>
                <w:rFonts w:ascii="Arial" w:cs="Arial" w:eastAsia="Arial" w:hAnsi="Arial"/>
                <w:sz w:val="14"/>
                <w:szCs w:val="14"/>
                <w:color w:val="auto"/>
                <w:w w:val="96"/>
              </w:rPr>
              <w:t>2023</w:t>
            </w:r>
          </w:p>
        </w:tc>
        <w:tc>
          <w:tcPr>
            <w:tcW w:w="940" w:type="dxa"/>
            <w:vAlign w:val="bottom"/>
            <w:tcBorders>
              <w:bottom w:val="single" w:sz="8" w:color="CCEEFF"/>
              <w:right w:val="single" w:sz="8" w:color="00000A"/>
            </w:tcBorders>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449,154</w:t>
            </w:r>
          </w:p>
        </w:tc>
        <w:tc>
          <w:tcPr>
            <w:tcW w:w="900" w:type="dxa"/>
            <w:vAlign w:val="bottom"/>
            <w:tcBorders>
              <w:bottom w:val="single" w:sz="8" w:color="CCEEFF"/>
              <w:right w:val="single" w:sz="8" w:color="00000A"/>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right w:val="single" w:sz="8" w:color="00000A"/>
            </w:tcBorders>
            <w:shd w:val="clear" w:color="auto" w:fill="CCEEFF"/>
          </w:tcPr>
          <w:p>
            <w:pPr>
              <w:jc w:val="right"/>
              <w:ind w:right="12"/>
              <w:spacing w:after="0"/>
              <w:rPr>
                <w:sz w:val="20"/>
                <w:szCs w:val="20"/>
                <w:color w:val="auto"/>
              </w:rPr>
            </w:pPr>
            <w:r>
              <w:rPr>
                <w:rFonts w:ascii="Arial" w:cs="Arial" w:eastAsia="Arial" w:hAnsi="Arial"/>
                <w:sz w:val="14"/>
                <w:szCs w:val="14"/>
                <w:color w:val="auto"/>
              </w:rPr>
              <w:t>1,424,529</w:t>
            </w:r>
          </w:p>
        </w:tc>
        <w:tc>
          <w:tcPr>
            <w:tcW w:w="3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right w:val="single" w:sz="8" w:color="00000A"/>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right w:val="single" w:sz="8" w:color="00000A"/>
            </w:tcBorders>
            <w:shd w:val="clear" w:color="auto" w:fill="CCEEFF"/>
          </w:tcPr>
          <w:p>
            <w:pPr>
              <w:jc w:val="right"/>
              <w:ind w:right="10"/>
              <w:spacing w:after="0"/>
              <w:rPr>
                <w:sz w:val="20"/>
                <w:szCs w:val="20"/>
                <w:color w:val="auto"/>
              </w:rPr>
            </w:pPr>
            <w:r>
              <w:rPr>
                <w:rFonts w:ascii="Arial" w:cs="Arial" w:eastAsia="Arial" w:hAnsi="Arial"/>
                <w:sz w:val="14"/>
                <w:szCs w:val="14"/>
                <w:color w:val="auto"/>
                <w:w w:val="98"/>
              </w:rPr>
              <w:t>632,916</w:t>
            </w:r>
          </w:p>
        </w:tc>
        <w:tc>
          <w:tcPr>
            <w:tcW w:w="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right w:val="single" w:sz="8" w:color="00000A"/>
            </w:tcBorders>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right w:val="single" w:sz="8" w:color="00000A"/>
            </w:tcBorders>
            <w:shd w:val="clear" w:color="auto" w:fill="CCEEFF"/>
          </w:tcPr>
          <w:p>
            <w:pPr>
              <w:jc w:val="right"/>
              <w:ind w:right="12"/>
              <w:spacing w:after="0"/>
              <w:rPr>
                <w:sz w:val="20"/>
                <w:szCs w:val="20"/>
                <w:color w:val="auto"/>
              </w:rPr>
            </w:pPr>
            <w:r>
              <w:rPr>
                <w:rFonts w:ascii="Arial" w:cs="Arial" w:eastAsia="Arial" w:hAnsi="Arial"/>
                <w:sz w:val="14"/>
                <w:szCs w:val="14"/>
                <w:color w:val="auto"/>
              </w:rPr>
              <w:t>138,524</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right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2,645,123</w:t>
            </w: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Borders>
              <w:right w:val="single" w:sz="8" w:color="00000A"/>
            </w:tcBorders>
          </w:tcPr>
          <w:p>
            <w:pPr>
              <w:spacing w:after="0"/>
              <w:rPr>
                <w:sz w:val="16"/>
                <w:szCs w:val="16"/>
                <w:color w:val="auto"/>
              </w:rPr>
            </w:pPr>
          </w:p>
        </w:tc>
        <w:tc>
          <w:tcPr>
            <w:tcW w:w="640" w:type="dxa"/>
            <w:vAlign w:val="bottom"/>
            <w:tcBorders>
              <w:top w:val="single" w:sz="8" w:color="auto"/>
              <w:right w:val="single" w:sz="8" w:color="00000A"/>
            </w:tcBorders>
            <w:gridSpan w:val="2"/>
          </w:tcPr>
          <w:p>
            <w:pPr>
              <w:jc w:val="center"/>
              <w:spacing w:after="0"/>
              <w:rPr>
                <w:sz w:val="20"/>
                <w:szCs w:val="20"/>
                <w:color w:val="auto"/>
              </w:rPr>
            </w:pPr>
            <w:r>
              <w:rPr>
                <w:rFonts w:ascii="Arial" w:cs="Arial" w:eastAsia="Arial" w:hAnsi="Arial"/>
                <w:sz w:val="14"/>
                <w:szCs w:val="14"/>
                <w:color w:val="auto"/>
                <w:w w:val="96"/>
              </w:rPr>
              <w:t>2022</w:t>
            </w:r>
          </w:p>
        </w:tc>
        <w:tc>
          <w:tcPr>
            <w:tcW w:w="940" w:type="dxa"/>
            <w:vAlign w:val="bottom"/>
            <w:tcBorders>
              <w:top w:val="single" w:sz="8" w:color="00000A"/>
              <w:right w:val="single" w:sz="8" w:color="00000A"/>
            </w:tcBorders>
            <w:gridSpan w:val="2"/>
          </w:tcPr>
          <w:p>
            <w:pPr>
              <w:jc w:val="right"/>
              <w:ind w:right="14"/>
              <w:spacing w:after="0"/>
              <w:rPr>
                <w:sz w:val="20"/>
                <w:szCs w:val="20"/>
                <w:color w:val="auto"/>
              </w:rPr>
            </w:pPr>
            <w:r>
              <w:rPr>
                <w:rFonts w:ascii="Arial" w:cs="Arial" w:eastAsia="Arial" w:hAnsi="Arial"/>
                <w:sz w:val="14"/>
                <w:szCs w:val="14"/>
                <w:color w:val="auto"/>
              </w:rPr>
              <w:t>409,885</w:t>
            </w:r>
          </w:p>
        </w:tc>
        <w:tc>
          <w:tcPr>
            <w:tcW w:w="900" w:type="dxa"/>
            <w:vAlign w:val="bottom"/>
            <w:tcBorders>
              <w:top w:val="single" w:sz="8" w:color="00000A"/>
              <w:right w:val="single" w:sz="8" w:color="00000A"/>
            </w:tcBorders>
          </w:tcPr>
          <w:p>
            <w:pPr>
              <w:ind w:left="68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00000A"/>
              <w:right w:val="single" w:sz="8" w:color="00000A"/>
            </w:tcBorders>
          </w:tcPr>
          <w:p>
            <w:pPr>
              <w:jc w:val="right"/>
              <w:ind w:right="12"/>
              <w:spacing w:after="0"/>
              <w:rPr>
                <w:sz w:val="20"/>
                <w:szCs w:val="20"/>
                <w:color w:val="auto"/>
              </w:rPr>
            </w:pPr>
            <w:r>
              <w:rPr>
                <w:rFonts w:ascii="Arial" w:cs="Arial" w:eastAsia="Arial" w:hAnsi="Arial"/>
                <w:sz w:val="14"/>
                <w:szCs w:val="14"/>
                <w:color w:val="auto"/>
              </w:rPr>
              <w:t>631,191</w:t>
            </w:r>
          </w:p>
        </w:tc>
        <w:tc>
          <w:tcPr>
            <w:tcW w:w="300" w:type="dxa"/>
            <w:vAlign w:val="bottom"/>
            <w:tcBorders>
              <w:top w:val="single" w:sz="8" w:color="00000A"/>
            </w:tcBorders>
          </w:tcPr>
          <w:p>
            <w:pPr>
              <w:spacing w:after="0"/>
              <w:rPr>
                <w:sz w:val="16"/>
                <w:szCs w:val="16"/>
                <w:color w:val="auto"/>
              </w:rPr>
            </w:pPr>
          </w:p>
        </w:tc>
        <w:tc>
          <w:tcPr>
            <w:tcW w:w="660" w:type="dxa"/>
            <w:vAlign w:val="bottom"/>
            <w:tcBorders>
              <w:top w:val="single" w:sz="8" w:color="00000A"/>
              <w:right w:val="single" w:sz="8" w:color="00000A"/>
            </w:tcBorders>
          </w:tcPr>
          <w:p>
            <w:pPr>
              <w:ind w:left="44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00000A"/>
            </w:tcBorders>
          </w:tcPr>
          <w:p>
            <w:pPr>
              <w:spacing w:after="0"/>
              <w:rPr>
                <w:sz w:val="16"/>
                <w:szCs w:val="16"/>
                <w:color w:val="auto"/>
              </w:rPr>
            </w:pPr>
          </w:p>
        </w:tc>
        <w:tc>
          <w:tcPr>
            <w:tcW w:w="460" w:type="dxa"/>
            <w:vAlign w:val="bottom"/>
            <w:tcBorders>
              <w:top w:val="single" w:sz="8" w:color="00000A"/>
            </w:tcBorders>
          </w:tcPr>
          <w:p>
            <w:pPr>
              <w:spacing w:after="0"/>
              <w:rPr>
                <w:sz w:val="16"/>
                <w:szCs w:val="16"/>
                <w:color w:val="auto"/>
              </w:rPr>
            </w:pPr>
          </w:p>
        </w:tc>
        <w:tc>
          <w:tcPr>
            <w:tcW w:w="600" w:type="dxa"/>
            <w:vAlign w:val="bottom"/>
            <w:tcBorders>
              <w:top w:val="single" w:sz="8" w:color="00000A"/>
              <w:right w:val="single" w:sz="8" w:color="00000A"/>
            </w:tcBorders>
          </w:tcPr>
          <w:p>
            <w:pPr>
              <w:jc w:val="right"/>
              <w:ind w:right="10"/>
              <w:spacing w:after="0"/>
              <w:rPr>
                <w:sz w:val="20"/>
                <w:szCs w:val="20"/>
                <w:color w:val="auto"/>
              </w:rPr>
            </w:pPr>
            <w:r>
              <w:rPr>
                <w:rFonts w:ascii="Arial" w:cs="Arial" w:eastAsia="Arial" w:hAnsi="Arial"/>
                <w:sz w:val="14"/>
                <w:szCs w:val="14"/>
                <w:color w:val="auto"/>
                <w:w w:val="98"/>
              </w:rPr>
              <w:t>235,274</w:t>
            </w:r>
          </w:p>
        </w:tc>
        <w:tc>
          <w:tcPr>
            <w:tcW w:w="60" w:type="dxa"/>
            <w:vAlign w:val="bottom"/>
            <w:tcBorders>
              <w:top w:val="single" w:sz="8" w:color="00000A"/>
            </w:tcBorders>
          </w:tcPr>
          <w:p>
            <w:pPr>
              <w:spacing w:after="0"/>
              <w:rPr>
                <w:sz w:val="16"/>
                <w:szCs w:val="16"/>
                <w:color w:val="auto"/>
              </w:rPr>
            </w:pPr>
          </w:p>
        </w:tc>
        <w:tc>
          <w:tcPr>
            <w:tcW w:w="1160" w:type="dxa"/>
            <w:vAlign w:val="bottom"/>
            <w:tcBorders>
              <w:top w:val="single" w:sz="8" w:color="00000A"/>
              <w:right w:val="single" w:sz="8" w:color="00000A"/>
            </w:tcBorders>
          </w:tcPr>
          <w:p>
            <w:pPr>
              <w:ind w:left="94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00000A"/>
              <w:right w:val="single" w:sz="8" w:color="00000A"/>
            </w:tcBorders>
          </w:tcPr>
          <w:p>
            <w:pPr>
              <w:jc w:val="right"/>
              <w:ind w:right="12"/>
              <w:spacing w:after="0"/>
              <w:rPr>
                <w:sz w:val="20"/>
                <w:szCs w:val="20"/>
                <w:color w:val="auto"/>
              </w:rPr>
            </w:pPr>
            <w:r>
              <w:rPr>
                <w:rFonts w:ascii="Arial" w:cs="Arial" w:eastAsia="Arial" w:hAnsi="Arial"/>
                <w:sz w:val="14"/>
                <w:szCs w:val="14"/>
                <w:color w:val="auto"/>
              </w:rPr>
              <w:t>151,292</w:t>
            </w: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auto"/>
              </w:rPr>
              <w:t>1,427,642</w:t>
            </w:r>
          </w:p>
        </w:tc>
        <w:tc>
          <w:tcPr>
            <w:tcW w:w="0" w:type="dxa"/>
            <w:vAlign w:val="bottom"/>
          </w:tcPr>
          <w:p>
            <w:pPr>
              <w:spacing w:after="0"/>
              <w:rPr>
                <w:sz w:val="1"/>
                <w:szCs w:val="1"/>
                <w:color w:val="auto"/>
              </w:rPr>
            </w:pPr>
          </w:p>
        </w:tc>
      </w:tr>
      <w:tr>
        <w:trPr>
          <w:trHeight w:val="33"/>
        </w:trPr>
        <w:tc>
          <w:tcPr>
            <w:tcW w:w="580" w:type="dxa"/>
            <w:vAlign w:val="bottom"/>
            <w:tcBorders>
              <w:left w:val="single" w:sz="8" w:color="auto"/>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00000A"/>
            </w:tcBorders>
          </w:tcPr>
          <w:p>
            <w:pPr>
              <w:spacing w:after="0"/>
              <w:rPr>
                <w:sz w:val="2"/>
                <w:szCs w:val="2"/>
                <w:color w:val="auto"/>
              </w:rPr>
            </w:pPr>
          </w:p>
        </w:tc>
        <w:tc>
          <w:tcPr>
            <w:tcW w:w="640" w:type="dxa"/>
            <w:vAlign w:val="bottom"/>
            <w:tcBorders>
              <w:bottom w:val="single" w:sz="8" w:color="auto"/>
              <w:right w:val="single" w:sz="8" w:color="00000A"/>
            </w:tcBorders>
            <w:gridSpan w:val="2"/>
          </w:tcPr>
          <w:p>
            <w:pPr>
              <w:spacing w:after="0"/>
              <w:rPr>
                <w:sz w:val="2"/>
                <w:szCs w:val="2"/>
                <w:color w:val="auto"/>
              </w:rPr>
            </w:pPr>
          </w:p>
        </w:tc>
        <w:tc>
          <w:tcPr>
            <w:tcW w:w="940" w:type="dxa"/>
            <w:vAlign w:val="bottom"/>
            <w:tcBorders>
              <w:bottom w:val="single" w:sz="8" w:color="00000A"/>
              <w:right w:val="single" w:sz="8" w:color="00000A"/>
            </w:tcBorders>
            <w:gridSpan w:val="2"/>
          </w:tcPr>
          <w:p>
            <w:pPr>
              <w:spacing w:after="0"/>
              <w:rPr>
                <w:sz w:val="2"/>
                <w:szCs w:val="2"/>
                <w:color w:val="auto"/>
              </w:rPr>
            </w:pPr>
          </w:p>
        </w:tc>
        <w:tc>
          <w:tcPr>
            <w:tcW w:w="900" w:type="dxa"/>
            <w:vAlign w:val="bottom"/>
            <w:tcBorders>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660" w:type="dxa"/>
            <w:vAlign w:val="bottom"/>
            <w:tcBorders>
              <w:bottom w:val="single" w:sz="8" w:color="00000A"/>
              <w:right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460" w:type="dxa"/>
            <w:vAlign w:val="bottom"/>
            <w:tcBorders>
              <w:bottom w:val="single" w:sz="8" w:color="00000A"/>
            </w:tcBorders>
          </w:tcPr>
          <w:p>
            <w:pPr>
              <w:spacing w:after="0"/>
              <w:rPr>
                <w:sz w:val="2"/>
                <w:szCs w:val="2"/>
                <w:color w:val="auto"/>
              </w:rPr>
            </w:pPr>
          </w:p>
        </w:tc>
        <w:tc>
          <w:tcPr>
            <w:tcW w:w="600" w:type="dxa"/>
            <w:vAlign w:val="bottom"/>
            <w:tcBorders>
              <w:bottom w:val="single" w:sz="8" w:color="00000A"/>
              <w:right w:val="single" w:sz="8" w:color="00000A"/>
            </w:tcBorders>
          </w:tcPr>
          <w:p>
            <w:pPr>
              <w:spacing w:after="0"/>
              <w:rPr>
                <w:sz w:val="2"/>
                <w:szCs w:val="2"/>
                <w:color w:val="auto"/>
              </w:rPr>
            </w:pPr>
          </w:p>
        </w:tc>
        <w:tc>
          <w:tcPr>
            <w:tcW w:w="60" w:type="dxa"/>
            <w:vAlign w:val="bottom"/>
            <w:tcBorders>
              <w:bottom w:val="single" w:sz="8" w:color="00000A"/>
            </w:tcBorders>
          </w:tcPr>
          <w:p>
            <w:pPr>
              <w:spacing w:after="0"/>
              <w:rPr>
                <w:sz w:val="2"/>
                <w:szCs w:val="2"/>
                <w:color w:val="auto"/>
              </w:rPr>
            </w:pPr>
          </w:p>
        </w:tc>
        <w:tc>
          <w:tcPr>
            <w:tcW w:w="116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220" w:type="dxa"/>
            <w:vAlign w:val="bottom"/>
            <w:tcBorders>
              <w:bottom w:val="single" w:sz="8" w:color="00000A"/>
            </w:tcBorders>
          </w:tcPr>
          <w:p>
            <w:pPr>
              <w:spacing w:after="0"/>
              <w:rPr>
                <w:sz w:val="2"/>
                <w:szCs w:val="2"/>
                <w:color w:val="auto"/>
              </w:rPr>
            </w:pPr>
          </w:p>
        </w:tc>
        <w:tc>
          <w:tcPr>
            <w:tcW w:w="780" w:type="dxa"/>
            <w:vAlign w:val="bottom"/>
            <w:tcBorders>
              <w:bottom w:val="single" w:sz="8" w:color="00000A"/>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right w:val="single" w:sz="8" w:color="00000A"/>
            </w:tcBorders>
          </w:tcPr>
          <w:p>
            <w:pPr>
              <w:spacing w:after="0"/>
              <w:rPr>
                <w:sz w:val="19"/>
                <w:szCs w:val="19"/>
                <w:color w:val="auto"/>
              </w:rPr>
            </w:pPr>
          </w:p>
        </w:tc>
        <w:tc>
          <w:tcPr>
            <w:tcW w:w="640" w:type="dxa"/>
            <w:vAlign w:val="bottom"/>
            <w:tcBorders>
              <w:bottom w:val="single" w:sz="8" w:color="CCEEFF"/>
              <w:right w:val="single" w:sz="8" w:color="00000A"/>
            </w:tcBorders>
            <w:gridSpan w:val="2"/>
            <w:shd w:val="clear" w:color="auto" w:fill="CCEEFF"/>
          </w:tcPr>
          <w:p>
            <w:pPr>
              <w:jc w:val="center"/>
              <w:spacing w:after="0"/>
              <w:rPr>
                <w:sz w:val="20"/>
                <w:szCs w:val="20"/>
                <w:color w:val="auto"/>
              </w:rPr>
            </w:pPr>
            <w:r>
              <w:rPr>
                <w:rFonts w:ascii="Arial" w:cs="Arial" w:eastAsia="Arial" w:hAnsi="Arial"/>
                <w:sz w:val="14"/>
                <w:szCs w:val="14"/>
                <w:color w:val="auto"/>
                <w:w w:val="96"/>
              </w:rPr>
              <w:t>2024</w:t>
            </w:r>
          </w:p>
        </w:tc>
        <w:tc>
          <w:tcPr>
            <w:tcW w:w="940" w:type="dxa"/>
            <w:vAlign w:val="bottom"/>
            <w:tcBorders>
              <w:bottom w:val="single" w:sz="8" w:color="CCEEFF"/>
              <w:right w:val="single" w:sz="8" w:color="00000A"/>
            </w:tcBorders>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436,346</w:t>
            </w:r>
          </w:p>
        </w:tc>
        <w:tc>
          <w:tcPr>
            <w:tcW w:w="900" w:type="dxa"/>
            <w:vAlign w:val="bottom"/>
            <w:tcBorders>
              <w:bottom w:val="single" w:sz="8" w:color="CCEEFF"/>
              <w:right w:val="single" w:sz="8" w:color="00000A"/>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right w:val="single" w:sz="8" w:color="00000A"/>
            </w:tcBorders>
            <w:shd w:val="clear" w:color="auto" w:fill="CCEEFF"/>
          </w:tcPr>
          <w:p>
            <w:pPr>
              <w:jc w:val="right"/>
              <w:ind w:right="12"/>
              <w:spacing w:after="0"/>
              <w:rPr>
                <w:sz w:val="20"/>
                <w:szCs w:val="20"/>
                <w:color w:val="auto"/>
              </w:rPr>
            </w:pPr>
            <w:r>
              <w:rPr>
                <w:rFonts w:ascii="Arial" w:cs="Arial" w:eastAsia="Arial" w:hAnsi="Arial"/>
                <w:sz w:val="14"/>
                <w:szCs w:val="14"/>
                <w:color w:val="auto"/>
              </w:rPr>
              <w:t>610,918</w:t>
            </w:r>
          </w:p>
        </w:tc>
        <w:tc>
          <w:tcPr>
            <w:tcW w:w="3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right w:val="single" w:sz="8" w:color="00000A"/>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right w:val="single" w:sz="8" w:color="00000A"/>
            </w:tcBorders>
            <w:shd w:val="clear" w:color="auto" w:fill="CCEEFF"/>
          </w:tcPr>
          <w:p>
            <w:pPr>
              <w:jc w:val="right"/>
              <w:ind w:right="10"/>
              <w:spacing w:after="0"/>
              <w:rPr>
                <w:sz w:val="20"/>
                <w:szCs w:val="20"/>
                <w:color w:val="auto"/>
              </w:rPr>
            </w:pPr>
            <w:r>
              <w:rPr>
                <w:rFonts w:ascii="Arial" w:cs="Arial" w:eastAsia="Arial" w:hAnsi="Arial"/>
                <w:sz w:val="14"/>
                <w:szCs w:val="14"/>
                <w:color w:val="auto"/>
                <w:w w:val="98"/>
              </w:rPr>
              <w:t>223,839</w:t>
            </w:r>
          </w:p>
        </w:tc>
        <w:tc>
          <w:tcPr>
            <w:tcW w:w="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right w:val="single" w:sz="8" w:color="00000A"/>
            </w:tcBorders>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right w:val="single" w:sz="8" w:color="00000A"/>
            </w:tcBorders>
            <w:shd w:val="clear" w:color="auto" w:fill="CCEEFF"/>
          </w:tcPr>
          <w:p>
            <w:pPr>
              <w:jc w:val="right"/>
              <w:ind w:right="12"/>
              <w:spacing w:after="0"/>
              <w:rPr>
                <w:sz w:val="20"/>
                <w:szCs w:val="20"/>
                <w:color w:val="auto"/>
              </w:rPr>
            </w:pPr>
            <w:r>
              <w:rPr>
                <w:rFonts w:ascii="Arial" w:cs="Arial" w:eastAsia="Arial" w:hAnsi="Arial"/>
                <w:sz w:val="14"/>
                <w:szCs w:val="14"/>
                <w:color w:val="auto"/>
              </w:rPr>
              <w:t>189,273</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right w:val="single" w:sz="8" w:color="00000A"/>
            </w:tcBorders>
            <w:shd w:val="clear" w:color="auto" w:fill="CCEEFF"/>
          </w:tcPr>
          <w:p>
            <w:pPr>
              <w:jc w:val="right"/>
              <w:ind w:right="11"/>
              <w:spacing w:after="0"/>
              <w:rPr>
                <w:sz w:val="20"/>
                <w:szCs w:val="20"/>
                <w:color w:val="auto"/>
              </w:rPr>
            </w:pPr>
            <w:r>
              <w:rPr>
                <w:rFonts w:ascii="Arial" w:cs="Arial" w:eastAsia="Arial" w:hAnsi="Arial"/>
                <w:sz w:val="14"/>
                <w:szCs w:val="14"/>
                <w:color w:val="auto"/>
              </w:rPr>
              <w:t>1,460,376</w:t>
            </w:r>
          </w:p>
        </w:tc>
        <w:tc>
          <w:tcPr>
            <w:tcW w:w="0" w:type="dxa"/>
            <w:vAlign w:val="bottom"/>
          </w:tcPr>
          <w:p>
            <w:pPr>
              <w:spacing w:after="0"/>
              <w:rPr>
                <w:sz w:val="1"/>
                <w:szCs w:val="1"/>
                <w:color w:val="auto"/>
              </w:rPr>
            </w:pPr>
          </w:p>
        </w:tc>
      </w:tr>
      <w:tr>
        <w:trPr>
          <w:trHeight w:val="70"/>
        </w:trPr>
        <w:tc>
          <w:tcPr>
            <w:tcW w:w="2120" w:type="dxa"/>
            <w:vAlign w:val="bottom"/>
            <w:tcBorders>
              <w:left w:val="single" w:sz="8" w:color="auto"/>
              <w:right w:val="single" w:sz="8" w:color="00000A"/>
            </w:tcBorders>
            <w:gridSpan w:val="4"/>
          </w:tcPr>
          <w:p>
            <w:pPr>
              <w:ind w:left="40"/>
              <w:spacing w:after="0" w:line="70" w:lineRule="exact"/>
              <w:rPr>
                <w:sz w:val="20"/>
                <w:szCs w:val="20"/>
                <w:color w:val="auto"/>
              </w:rPr>
            </w:pPr>
            <w:r>
              <w:rPr>
                <w:rFonts w:ascii="Arial" w:cs="Arial" w:eastAsia="Arial" w:hAnsi="Arial"/>
                <w:sz w:val="8"/>
                <w:szCs w:val="8"/>
                <w:color w:val="auto"/>
              </w:rPr>
              <w:t>Scott Ryan, Vice President, General</w:t>
            </w:r>
          </w:p>
        </w:tc>
        <w:tc>
          <w:tcPr>
            <w:tcW w:w="640" w:type="dxa"/>
            <w:vAlign w:val="bottom"/>
            <w:tcBorders>
              <w:top w:val="single" w:sz="8" w:color="auto"/>
              <w:right w:val="single" w:sz="8" w:color="00000A"/>
            </w:tcBorders>
            <w:gridSpan w:val="2"/>
            <w:vMerge w:val="restart"/>
          </w:tcPr>
          <w:p>
            <w:pPr>
              <w:jc w:val="center"/>
              <w:spacing w:after="0"/>
              <w:rPr>
                <w:sz w:val="20"/>
                <w:szCs w:val="20"/>
                <w:color w:val="auto"/>
              </w:rPr>
            </w:pPr>
            <w:r>
              <w:rPr>
                <w:rFonts w:ascii="Arial" w:cs="Arial" w:eastAsia="Arial" w:hAnsi="Arial"/>
                <w:sz w:val="14"/>
                <w:szCs w:val="14"/>
                <w:color w:val="auto"/>
                <w:w w:val="96"/>
              </w:rPr>
              <w:t>2023</w:t>
            </w:r>
          </w:p>
        </w:tc>
        <w:tc>
          <w:tcPr>
            <w:tcW w:w="940" w:type="dxa"/>
            <w:vAlign w:val="bottom"/>
            <w:tcBorders>
              <w:top w:val="single" w:sz="8" w:color="00000A"/>
              <w:right w:val="single" w:sz="8" w:color="00000A"/>
            </w:tcBorders>
            <w:gridSpan w:val="2"/>
            <w:vMerge w:val="restart"/>
          </w:tcPr>
          <w:p>
            <w:pPr>
              <w:jc w:val="right"/>
              <w:ind w:right="14"/>
              <w:spacing w:after="0"/>
              <w:rPr>
                <w:sz w:val="20"/>
                <w:szCs w:val="20"/>
                <w:color w:val="auto"/>
              </w:rPr>
            </w:pPr>
            <w:r>
              <w:rPr>
                <w:rFonts w:ascii="Arial" w:cs="Arial" w:eastAsia="Arial" w:hAnsi="Arial"/>
                <w:sz w:val="14"/>
                <w:szCs w:val="14"/>
                <w:color w:val="auto"/>
              </w:rPr>
              <w:t>413,154</w:t>
            </w:r>
          </w:p>
        </w:tc>
        <w:tc>
          <w:tcPr>
            <w:tcW w:w="900" w:type="dxa"/>
            <w:vAlign w:val="bottom"/>
            <w:tcBorders>
              <w:top w:val="single" w:sz="8" w:color="00000A"/>
              <w:right w:val="single" w:sz="8" w:color="00000A"/>
            </w:tcBorders>
            <w:vMerge w:val="restart"/>
          </w:tcPr>
          <w:p>
            <w:pPr>
              <w:ind w:left="68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00000A"/>
              <w:right w:val="single" w:sz="8" w:color="00000A"/>
            </w:tcBorders>
            <w:vMerge w:val="restart"/>
          </w:tcPr>
          <w:p>
            <w:pPr>
              <w:jc w:val="right"/>
              <w:ind w:right="12"/>
              <w:spacing w:after="0"/>
              <w:rPr>
                <w:sz w:val="20"/>
                <w:szCs w:val="20"/>
                <w:color w:val="auto"/>
              </w:rPr>
            </w:pPr>
            <w:r>
              <w:rPr>
                <w:rFonts w:ascii="Arial" w:cs="Arial" w:eastAsia="Arial" w:hAnsi="Arial"/>
                <w:sz w:val="14"/>
                <w:szCs w:val="14"/>
                <w:color w:val="auto"/>
              </w:rPr>
              <w:t>1,299,321</w:t>
            </w:r>
          </w:p>
        </w:tc>
        <w:tc>
          <w:tcPr>
            <w:tcW w:w="300" w:type="dxa"/>
            <w:vAlign w:val="bottom"/>
            <w:tcBorders>
              <w:top w:val="single" w:sz="8" w:color="00000A"/>
            </w:tcBorders>
          </w:tcPr>
          <w:p>
            <w:pPr>
              <w:spacing w:after="0"/>
              <w:rPr>
                <w:sz w:val="6"/>
                <w:szCs w:val="6"/>
                <w:color w:val="auto"/>
              </w:rPr>
            </w:pPr>
          </w:p>
        </w:tc>
        <w:tc>
          <w:tcPr>
            <w:tcW w:w="660" w:type="dxa"/>
            <w:vAlign w:val="bottom"/>
            <w:tcBorders>
              <w:top w:val="single" w:sz="8" w:color="00000A"/>
              <w:right w:val="single" w:sz="8" w:color="00000A"/>
            </w:tcBorders>
            <w:vMerge w:val="restart"/>
          </w:tcPr>
          <w:p>
            <w:pPr>
              <w:ind w:left="44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00000A"/>
            </w:tcBorders>
          </w:tcPr>
          <w:p>
            <w:pPr>
              <w:spacing w:after="0"/>
              <w:rPr>
                <w:sz w:val="6"/>
                <w:szCs w:val="6"/>
                <w:color w:val="auto"/>
              </w:rPr>
            </w:pPr>
          </w:p>
        </w:tc>
        <w:tc>
          <w:tcPr>
            <w:tcW w:w="460" w:type="dxa"/>
            <w:vAlign w:val="bottom"/>
            <w:tcBorders>
              <w:top w:val="single" w:sz="8" w:color="00000A"/>
            </w:tcBorders>
          </w:tcPr>
          <w:p>
            <w:pPr>
              <w:spacing w:after="0"/>
              <w:rPr>
                <w:sz w:val="6"/>
                <w:szCs w:val="6"/>
                <w:color w:val="auto"/>
              </w:rPr>
            </w:pPr>
          </w:p>
        </w:tc>
        <w:tc>
          <w:tcPr>
            <w:tcW w:w="600" w:type="dxa"/>
            <w:vAlign w:val="bottom"/>
            <w:tcBorders>
              <w:top w:val="single" w:sz="8" w:color="00000A"/>
              <w:right w:val="single" w:sz="8" w:color="00000A"/>
            </w:tcBorders>
            <w:vMerge w:val="restart"/>
          </w:tcPr>
          <w:p>
            <w:pPr>
              <w:jc w:val="right"/>
              <w:ind w:right="10"/>
              <w:spacing w:after="0"/>
              <w:rPr>
                <w:sz w:val="20"/>
                <w:szCs w:val="20"/>
                <w:color w:val="auto"/>
              </w:rPr>
            </w:pPr>
            <w:r>
              <w:rPr>
                <w:rFonts w:ascii="Arial" w:cs="Arial" w:eastAsia="Arial" w:hAnsi="Arial"/>
                <w:sz w:val="14"/>
                <w:szCs w:val="14"/>
                <w:color w:val="auto"/>
                <w:w w:val="98"/>
              </w:rPr>
              <w:t>577,275</w:t>
            </w:r>
          </w:p>
        </w:tc>
        <w:tc>
          <w:tcPr>
            <w:tcW w:w="60" w:type="dxa"/>
            <w:vAlign w:val="bottom"/>
            <w:tcBorders>
              <w:top w:val="single" w:sz="8" w:color="00000A"/>
            </w:tcBorders>
          </w:tcPr>
          <w:p>
            <w:pPr>
              <w:spacing w:after="0"/>
              <w:rPr>
                <w:sz w:val="6"/>
                <w:szCs w:val="6"/>
                <w:color w:val="auto"/>
              </w:rPr>
            </w:pPr>
          </w:p>
        </w:tc>
        <w:tc>
          <w:tcPr>
            <w:tcW w:w="1160" w:type="dxa"/>
            <w:vAlign w:val="bottom"/>
            <w:tcBorders>
              <w:top w:val="single" w:sz="8" w:color="00000A"/>
              <w:right w:val="single" w:sz="8" w:color="00000A"/>
            </w:tcBorders>
            <w:vMerge w:val="restart"/>
          </w:tcPr>
          <w:p>
            <w:pPr>
              <w:ind w:left="94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00000A"/>
              <w:right w:val="single" w:sz="8" w:color="00000A"/>
            </w:tcBorders>
            <w:vMerge w:val="restart"/>
          </w:tcPr>
          <w:p>
            <w:pPr>
              <w:jc w:val="right"/>
              <w:ind w:right="12"/>
              <w:spacing w:after="0"/>
              <w:rPr>
                <w:sz w:val="20"/>
                <w:szCs w:val="20"/>
                <w:color w:val="auto"/>
              </w:rPr>
            </w:pPr>
            <w:r>
              <w:rPr>
                <w:rFonts w:ascii="Arial" w:cs="Arial" w:eastAsia="Arial" w:hAnsi="Arial"/>
                <w:sz w:val="14"/>
                <w:szCs w:val="14"/>
                <w:color w:val="auto"/>
              </w:rPr>
              <w:t>116,774</w:t>
            </w:r>
          </w:p>
        </w:tc>
        <w:tc>
          <w:tcPr>
            <w:tcW w:w="220" w:type="dxa"/>
            <w:vAlign w:val="bottom"/>
            <w:tcBorders>
              <w:top w:val="single" w:sz="8" w:color="00000A"/>
            </w:tcBorders>
          </w:tcPr>
          <w:p>
            <w:pPr>
              <w:spacing w:after="0"/>
              <w:rPr>
                <w:sz w:val="6"/>
                <w:szCs w:val="6"/>
                <w:color w:val="auto"/>
              </w:rPr>
            </w:pPr>
          </w:p>
        </w:tc>
        <w:tc>
          <w:tcPr>
            <w:tcW w:w="780" w:type="dxa"/>
            <w:vAlign w:val="bottom"/>
            <w:tcBorders>
              <w:top w:val="single" w:sz="8" w:color="00000A"/>
              <w:right w:val="single" w:sz="8" w:color="auto"/>
            </w:tcBorders>
            <w:vMerge w:val="restart"/>
          </w:tcPr>
          <w:p>
            <w:pPr>
              <w:jc w:val="right"/>
              <w:ind w:right="11"/>
              <w:spacing w:after="0"/>
              <w:rPr>
                <w:sz w:val="20"/>
                <w:szCs w:val="20"/>
                <w:color w:val="auto"/>
              </w:rPr>
            </w:pPr>
            <w:r>
              <w:rPr>
                <w:rFonts w:ascii="Arial" w:cs="Arial" w:eastAsia="Arial" w:hAnsi="Arial"/>
                <w:sz w:val="14"/>
                <w:szCs w:val="14"/>
                <w:color w:val="auto"/>
              </w:rPr>
              <w:t>2,406,524</w:t>
            </w:r>
          </w:p>
        </w:tc>
        <w:tc>
          <w:tcPr>
            <w:tcW w:w="0" w:type="dxa"/>
            <w:vAlign w:val="bottom"/>
          </w:tcPr>
          <w:p>
            <w:pPr>
              <w:spacing w:after="0"/>
              <w:rPr>
                <w:sz w:val="1"/>
                <w:szCs w:val="1"/>
                <w:color w:val="auto"/>
              </w:rPr>
            </w:pPr>
          </w:p>
        </w:tc>
      </w:tr>
      <w:tr>
        <w:trPr>
          <w:trHeight w:val="155"/>
        </w:trPr>
        <w:tc>
          <w:tcPr>
            <w:tcW w:w="2120" w:type="dxa"/>
            <w:vAlign w:val="bottom"/>
            <w:tcBorders>
              <w:left w:val="single" w:sz="8" w:color="auto"/>
              <w:right w:val="single" w:sz="8" w:color="00000A"/>
            </w:tcBorders>
            <w:gridSpan w:val="4"/>
          </w:tcPr>
          <w:p>
            <w:pPr>
              <w:ind w:left="40"/>
              <w:spacing w:after="0"/>
              <w:rPr>
                <w:sz w:val="20"/>
                <w:szCs w:val="20"/>
                <w:color w:val="auto"/>
              </w:rPr>
            </w:pPr>
            <w:r>
              <w:rPr>
                <w:rFonts w:ascii="Arial" w:cs="Arial" w:eastAsia="Arial" w:hAnsi="Arial"/>
                <w:sz w:val="12"/>
                <w:szCs w:val="12"/>
                <w:color w:val="auto"/>
              </w:rPr>
              <w:t>Counsel and Corporate Secretary</w:t>
            </w:r>
          </w:p>
        </w:tc>
        <w:tc>
          <w:tcPr>
            <w:tcW w:w="640" w:type="dxa"/>
            <w:vAlign w:val="bottom"/>
            <w:tcBorders>
              <w:bottom w:val="single" w:sz="8" w:color="auto"/>
              <w:right w:val="single" w:sz="8" w:color="00000A"/>
            </w:tcBorders>
            <w:gridSpan w:val="2"/>
            <w:vMerge w:val="continue"/>
          </w:tcPr>
          <w:p>
            <w:pPr>
              <w:spacing w:after="0"/>
              <w:rPr>
                <w:sz w:val="13"/>
                <w:szCs w:val="13"/>
                <w:color w:val="auto"/>
              </w:rPr>
            </w:pPr>
          </w:p>
        </w:tc>
        <w:tc>
          <w:tcPr>
            <w:tcW w:w="940" w:type="dxa"/>
            <w:vAlign w:val="bottom"/>
            <w:tcBorders>
              <w:bottom w:val="single" w:sz="8" w:color="00000A"/>
              <w:right w:val="single" w:sz="8" w:color="00000A"/>
            </w:tcBorders>
            <w:gridSpan w:val="2"/>
            <w:vMerge w:val="continue"/>
          </w:tcPr>
          <w:p>
            <w:pPr>
              <w:spacing w:after="0"/>
              <w:rPr>
                <w:sz w:val="13"/>
                <w:szCs w:val="13"/>
                <w:color w:val="auto"/>
              </w:rPr>
            </w:pPr>
          </w:p>
        </w:tc>
        <w:tc>
          <w:tcPr>
            <w:tcW w:w="900" w:type="dxa"/>
            <w:vAlign w:val="bottom"/>
            <w:tcBorders>
              <w:bottom w:val="single" w:sz="8" w:color="00000A"/>
              <w:right w:val="single" w:sz="8" w:color="00000A"/>
            </w:tcBorders>
            <w:vMerge w:val="continue"/>
          </w:tcPr>
          <w:p>
            <w:pPr>
              <w:spacing w:after="0"/>
              <w:rPr>
                <w:sz w:val="13"/>
                <w:szCs w:val="13"/>
                <w:color w:val="auto"/>
              </w:rPr>
            </w:pPr>
          </w:p>
        </w:tc>
        <w:tc>
          <w:tcPr>
            <w:tcW w:w="1060" w:type="dxa"/>
            <w:vAlign w:val="bottom"/>
            <w:tcBorders>
              <w:bottom w:val="single" w:sz="8" w:color="00000A"/>
              <w:right w:val="single" w:sz="8" w:color="00000A"/>
            </w:tcBorders>
            <w:vMerge w:val="continue"/>
          </w:tcPr>
          <w:p>
            <w:pPr>
              <w:spacing w:after="0"/>
              <w:rPr>
                <w:sz w:val="13"/>
                <w:szCs w:val="13"/>
                <w:color w:val="auto"/>
              </w:rPr>
            </w:pPr>
          </w:p>
        </w:tc>
        <w:tc>
          <w:tcPr>
            <w:tcW w:w="300" w:type="dxa"/>
            <w:vAlign w:val="bottom"/>
            <w:tcBorders>
              <w:bottom w:val="single" w:sz="8" w:color="00000A"/>
            </w:tcBorders>
          </w:tcPr>
          <w:p>
            <w:pPr>
              <w:spacing w:after="0"/>
              <w:rPr>
                <w:sz w:val="13"/>
                <w:szCs w:val="13"/>
                <w:color w:val="auto"/>
              </w:rPr>
            </w:pPr>
          </w:p>
        </w:tc>
        <w:tc>
          <w:tcPr>
            <w:tcW w:w="660" w:type="dxa"/>
            <w:vAlign w:val="bottom"/>
            <w:tcBorders>
              <w:bottom w:val="single" w:sz="8" w:color="00000A"/>
              <w:right w:val="single" w:sz="8" w:color="00000A"/>
            </w:tcBorders>
            <w:vMerge w:val="continue"/>
          </w:tcPr>
          <w:p>
            <w:pPr>
              <w:spacing w:after="0"/>
              <w:rPr>
                <w:sz w:val="13"/>
                <w:szCs w:val="13"/>
                <w:color w:val="auto"/>
              </w:rPr>
            </w:pPr>
          </w:p>
        </w:tc>
        <w:tc>
          <w:tcPr>
            <w:tcW w:w="160" w:type="dxa"/>
            <w:vAlign w:val="bottom"/>
            <w:tcBorders>
              <w:bottom w:val="single" w:sz="8" w:color="00000A"/>
            </w:tcBorders>
          </w:tcPr>
          <w:p>
            <w:pPr>
              <w:spacing w:after="0"/>
              <w:rPr>
                <w:sz w:val="13"/>
                <w:szCs w:val="13"/>
                <w:color w:val="auto"/>
              </w:rPr>
            </w:pPr>
          </w:p>
        </w:tc>
        <w:tc>
          <w:tcPr>
            <w:tcW w:w="460" w:type="dxa"/>
            <w:vAlign w:val="bottom"/>
            <w:tcBorders>
              <w:bottom w:val="single" w:sz="8" w:color="00000A"/>
            </w:tcBorders>
          </w:tcPr>
          <w:p>
            <w:pPr>
              <w:spacing w:after="0"/>
              <w:rPr>
                <w:sz w:val="13"/>
                <w:szCs w:val="13"/>
                <w:color w:val="auto"/>
              </w:rPr>
            </w:pPr>
          </w:p>
        </w:tc>
        <w:tc>
          <w:tcPr>
            <w:tcW w:w="600" w:type="dxa"/>
            <w:vAlign w:val="bottom"/>
            <w:tcBorders>
              <w:bottom w:val="single" w:sz="8" w:color="00000A"/>
              <w:right w:val="single" w:sz="8" w:color="00000A"/>
            </w:tcBorders>
            <w:vMerge w:val="continue"/>
          </w:tcPr>
          <w:p>
            <w:pPr>
              <w:spacing w:after="0"/>
              <w:rPr>
                <w:sz w:val="13"/>
                <w:szCs w:val="13"/>
                <w:color w:val="auto"/>
              </w:rPr>
            </w:pPr>
          </w:p>
        </w:tc>
        <w:tc>
          <w:tcPr>
            <w:tcW w:w="60" w:type="dxa"/>
            <w:vAlign w:val="bottom"/>
            <w:tcBorders>
              <w:bottom w:val="single" w:sz="8" w:color="00000A"/>
            </w:tcBorders>
          </w:tcPr>
          <w:p>
            <w:pPr>
              <w:spacing w:after="0"/>
              <w:rPr>
                <w:sz w:val="13"/>
                <w:szCs w:val="13"/>
                <w:color w:val="auto"/>
              </w:rPr>
            </w:pPr>
          </w:p>
        </w:tc>
        <w:tc>
          <w:tcPr>
            <w:tcW w:w="1160" w:type="dxa"/>
            <w:vAlign w:val="bottom"/>
            <w:tcBorders>
              <w:bottom w:val="single" w:sz="8" w:color="00000A"/>
              <w:right w:val="single" w:sz="8" w:color="00000A"/>
            </w:tcBorders>
            <w:vMerge w:val="continue"/>
          </w:tcPr>
          <w:p>
            <w:pPr>
              <w:spacing w:after="0"/>
              <w:rPr>
                <w:sz w:val="13"/>
                <w:szCs w:val="13"/>
                <w:color w:val="auto"/>
              </w:rPr>
            </w:pPr>
          </w:p>
        </w:tc>
        <w:tc>
          <w:tcPr>
            <w:tcW w:w="1200" w:type="dxa"/>
            <w:vAlign w:val="bottom"/>
            <w:tcBorders>
              <w:bottom w:val="single" w:sz="8" w:color="00000A"/>
              <w:right w:val="single" w:sz="8" w:color="00000A"/>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8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Borders>
              <w:right w:val="single" w:sz="8" w:color="00000A"/>
            </w:tcBorders>
          </w:tcPr>
          <w:p>
            <w:pPr>
              <w:spacing w:after="0"/>
              <w:rPr>
                <w:sz w:val="17"/>
                <w:szCs w:val="17"/>
                <w:color w:val="auto"/>
              </w:rPr>
            </w:pPr>
          </w:p>
        </w:tc>
        <w:tc>
          <w:tcPr>
            <w:tcW w:w="640" w:type="dxa"/>
            <w:vAlign w:val="bottom"/>
            <w:tcBorders>
              <w:bottom w:val="single" w:sz="8" w:color="CCEEFF"/>
              <w:right w:val="single" w:sz="8" w:color="00000A"/>
            </w:tcBorders>
            <w:gridSpan w:val="2"/>
            <w:shd w:val="clear" w:color="auto" w:fill="CCEEFF"/>
          </w:tcPr>
          <w:p>
            <w:pPr>
              <w:jc w:val="center"/>
              <w:spacing w:after="0"/>
              <w:rPr>
                <w:sz w:val="20"/>
                <w:szCs w:val="20"/>
                <w:color w:val="auto"/>
              </w:rPr>
            </w:pPr>
            <w:r>
              <w:rPr>
                <w:rFonts w:ascii="Arial" w:cs="Arial" w:eastAsia="Arial" w:hAnsi="Arial"/>
                <w:sz w:val="14"/>
                <w:szCs w:val="14"/>
                <w:color w:val="auto"/>
                <w:w w:val="96"/>
              </w:rPr>
              <w:t>2022</w:t>
            </w:r>
          </w:p>
        </w:tc>
        <w:tc>
          <w:tcPr>
            <w:tcW w:w="940" w:type="dxa"/>
            <w:vAlign w:val="bottom"/>
            <w:tcBorders>
              <w:bottom w:val="single" w:sz="8" w:color="CCEEFF"/>
              <w:right w:val="single" w:sz="8" w:color="00000A"/>
            </w:tcBorders>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371,346</w:t>
            </w:r>
          </w:p>
        </w:tc>
        <w:tc>
          <w:tcPr>
            <w:tcW w:w="900" w:type="dxa"/>
            <w:vAlign w:val="bottom"/>
            <w:tcBorders>
              <w:bottom w:val="single" w:sz="8" w:color="CCEEFF"/>
              <w:right w:val="single" w:sz="8" w:color="00000A"/>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right w:val="single" w:sz="8" w:color="00000A"/>
            </w:tcBorders>
            <w:shd w:val="clear" w:color="auto" w:fill="CCEEFF"/>
          </w:tcPr>
          <w:p>
            <w:pPr>
              <w:jc w:val="right"/>
              <w:ind w:right="12"/>
              <w:spacing w:after="0"/>
              <w:rPr>
                <w:sz w:val="20"/>
                <w:szCs w:val="20"/>
                <w:color w:val="auto"/>
              </w:rPr>
            </w:pPr>
            <w:r>
              <w:rPr>
                <w:rFonts w:ascii="Arial" w:cs="Arial" w:eastAsia="Arial" w:hAnsi="Arial"/>
                <w:sz w:val="14"/>
                <w:szCs w:val="14"/>
                <w:color w:val="auto"/>
              </w:rPr>
              <w:t>570,386</w:t>
            </w:r>
          </w:p>
        </w:tc>
        <w:tc>
          <w:tcPr>
            <w:tcW w:w="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right w:val="single" w:sz="8" w:color="00000A"/>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right w:val="single" w:sz="8" w:color="00000A"/>
            </w:tcBorders>
            <w:shd w:val="clear" w:color="auto" w:fill="CCEEFF"/>
          </w:tcPr>
          <w:p>
            <w:pPr>
              <w:jc w:val="right"/>
              <w:ind w:right="10"/>
              <w:spacing w:after="0"/>
              <w:rPr>
                <w:sz w:val="20"/>
                <w:szCs w:val="20"/>
                <w:color w:val="auto"/>
              </w:rPr>
            </w:pPr>
            <w:r>
              <w:rPr>
                <w:rFonts w:ascii="Arial" w:cs="Arial" w:eastAsia="Arial" w:hAnsi="Arial"/>
                <w:sz w:val="14"/>
                <w:szCs w:val="14"/>
                <w:color w:val="auto"/>
                <w:w w:val="98"/>
              </w:rPr>
              <w:t>212,597</w:t>
            </w:r>
          </w:p>
        </w:tc>
        <w:tc>
          <w:tcPr>
            <w:tcW w:w="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right w:val="single" w:sz="8" w:color="00000A"/>
            </w:tcBorders>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right w:val="single" w:sz="8" w:color="00000A"/>
            </w:tcBorders>
            <w:shd w:val="clear" w:color="auto" w:fill="CCEEFF"/>
          </w:tcPr>
          <w:p>
            <w:pPr>
              <w:jc w:val="right"/>
              <w:ind w:right="12"/>
              <w:spacing w:after="0"/>
              <w:rPr>
                <w:sz w:val="20"/>
                <w:szCs w:val="20"/>
                <w:color w:val="auto"/>
              </w:rPr>
            </w:pPr>
            <w:r>
              <w:rPr>
                <w:rFonts w:ascii="Arial" w:cs="Arial" w:eastAsia="Arial" w:hAnsi="Arial"/>
                <w:sz w:val="14"/>
                <w:szCs w:val="14"/>
                <w:color w:val="auto"/>
              </w:rPr>
              <w:t>115,855</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right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1,270,184</w:t>
            </w:r>
          </w:p>
        </w:tc>
        <w:tc>
          <w:tcPr>
            <w:tcW w:w="0" w:type="dxa"/>
            <w:vAlign w:val="bottom"/>
          </w:tcPr>
          <w:p>
            <w:pPr>
              <w:spacing w:after="0"/>
              <w:rPr>
                <w:sz w:val="1"/>
                <w:szCs w:val="1"/>
                <w:color w:val="auto"/>
              </w:rPr>
            </w:pPr>
          </w:p>
        </w:tc>
      </w:tr>
      <w:tr>
        <w:trPr>
          <w:trHeight w:val="20"/>
        </w:trPr>
        <w:tc>
          <w:tcPr>
            <w:tcW w:w="58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right w:val="single" w:sz="8" w:color="00000A"/>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Borders>
              <w:right w:val="single" w:sz="8" w:color="00000A"/>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right w:val="single" w:sz="8" w:color="00000A"/>
            </w:tcBorders>
            <w:shd w:val="clear" w:color="auto" w:fill="000000"/>
          </w:tcPr>
          <w:p>
            <w:pPr>
              <w:spacing w:after="0" w:line="20" w:lineRule="exact"/>
              <w:rPr>
                <w:sz w:val="1"/>
                <w:szCs w:val="1"/>
                <w:color w:val="auto"/>
              </w:rPr>
            </w:pPr>
          </w:p>
        </w:tc>
        <w:tc>
          <w:tcPr>
            <w:tcW w:w="900" w:type="dxa"/>
            <w:vAlign w:val="bottom"/>
            <w:tcBorders>
              <w:right w:val="single" w:sz="8" w:color="00000A"/>
            </w:tcBorders>
            <w:shd w:val="clear" w:color="auto" w:fill="000000"/>
          </w:tcPr>
          <w:p>
            <w:pPr>
              <w:spacing w:after="0" w:line="20" w:lineRule="exact"/>
              <w:rPr>
                <w:sz w:val="1"/>
                <w:szCs w:val="1"/>
                <w:color w:val="auto"/>
              </w:rPr>
            </w:pPr>
          </w:p>
        </w:tc>
        <w:tc>
          <w:tcPr>
            <w:tcW w:w="1060" w:type="dxa"/>
            <w:vAlign w:val="bottom"/>
            <w:tcBorders>
              <w:right w:val="single" w:sz="8" w:color="00000A"/>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tcBorders>
              <w:right w:val="single" w:sz="8" w:color="00000A"/>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Borders>
              <w:right w:val="single" w:sz="8" w:color="00000A"/>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60" w:type="dxa"/>
            <w:vAlign w:val="bottom"/>
            <w:tcBorders>
              <w:right w:val="single" w:sz="8" w:color="00000A"/>
            </w:tcBorders>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jc w:val="both"/>
        <w:ind w:left="460" w:right="40" w:hanging="440"/>
        <w:spacing w:after="0" w:line="215"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amounts shown in this column for 2024 include the aggregate grant date fair market value of RS granted in 2024 and the aggregate grant date fair market value of PSAs awarded for the 2024-2026 performance period at target. The value of the PSAs at grant date if maximum performance is achieved would be as follows: Mr. Downing - $3,817,602; Mr. Boehm - $1,240,934, Mr. Nash - $1,197,772; Mr. Chiodo - $867,963; and Mr. Ryan - $795,614. The amounts in this column for 2024, 2023 and 2022 for the outstanding RS award are solely the value of the aggregate grant date fair value. The values in this column are computed in accordance with FASB ASC Topic 718 (as opposed to what is included in the Company's financial statements). See the Company's Annual Report (Footnote 5) for the years ended December 31, 2024, 2023, and 2022 for the assumptions made in the valuation of the RS grants and PSA grants. The actual number of RS shares granted and PSA shares granted is shown in the "Grants of Plan-Based Awards" table included in this Proxy Statement. Dividends for RS grants are and will be paid on the shares, if, and to the same extent, paid on the Company's common stock. Dividend equivalents are earned and accumulated over the performance period for PSAs, if, and at a similar rate and to the same extent, paid on the Company's common stock. NEOs are eligible to receive RS awards and PSA awards at the discretion of the Compensation Committee and the Board in accordance with the 2019 Omnibus Plan as discussed in the "Compensation Discussion and Analysis" section of this Proxy Statement.</w:t>
      </w:r>
    </w:p>
    <w:p>
      <w:pPr>
        <w:spacing w:after="0" w:line="10" w:lineRule="exact"/>
        <w:rPr>
          <w:rFonts w:ascii="Arial" w:cs="Arial" w:eastAsia="Arial" w:hAnsi="Arial"/>
          <w:sz w:val="17"/>
          <w:szCs w:val="17"/>
          <w:color w:val="auto"/>
        </w:rPr>
      </w:pPr>
    </w:p>
    <w:p>
      <w:pPr>
        <w:ind w:left="460" w:hanging="440"/>
        <w:spacing w:after="0"/>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There were no stock option awards to the NEOs in 2024, 2023, or 2022.</w:t>
      </w:r>
    </w:p>
    <w:p>
      <w:pPr>
        <w:spacing w:after="0" w:line="29" w:lineRule="exact"/>
        <w:rPr>
          <w:rFonts w:ascii="Arial" w:cs="Arial" w:eastAsia="Arial" w:hAnsi="Arial"/>
          <w:sz w:val="17"/>
          <w:szCs w:val="17"/>
          <w:color w:val="auto"/>
        </w:rPr>
      </w:pPr>
    </w:p>
    <w:p>
      <w:pPr>
        <w:ind w:left="460" w:right="40" w:hanging="440"/>
        <w:spacing w:after="0" w:line="237"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Amounts set forth relate to performance-based bonuses earned under the Annual Incentive Plan based on the achievement of performance metrics set forth therein and are discussed further in the "Compensation Discussion and Analysis" section of this Proxy Statement.</w:t>
      </w:r>
    </w:p>
    <w:p>
      <w:pPr>
        <w:spacing w:after="0" w:line="6" w:lineRule="exact"/>
        <w:rPr>
          <w:rFonts w:ascii="Arial" w:cs="Arial" w:eastAsia="Arial" w:hAnsi="Arial"/>
          <w:sz w:val="17"/>
          <w:szCs w:val="17"/>
          <w:color w:val="auto"/>
        </w:rPr>
      </w:pPr>
    </w:p>
    <w:p>
      <w:pPr>
        <w:jc w:val="both"/>
        <w:ind w:left="460" w:right="40" w:hanging="440"/>
        <w:spacing w:after="0"/>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Other compensation includes the sum of RS dividends, PSA deemed dividends, matching contributions by the Company pursuant to its 401(k) Plan, matching contributions by the Company pursuant to its Deferred Compensation Plan, and the use of Company automobiles or reimbursement for the use of personal automobiles pursuant to the Company's policy for use of such vehicles, detailed in the table set forth below. Other compensation also includes membership fees at local country clubs, housing allowance in the case of Mr. Chiodo, and aggregate incremental costs associated with the personal use of Company aircraft, which is subject to income inclusion as a taxable fringe benefit.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845" w:right="3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58"/>
        </w:trPr>
        <w:tc>
          <w:tcPr>
            <w:tcW w:w="17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91"/>
              <w:spacing w:after="0" w:line="158" w:lineRule="exact"/>
              <w:rPr>
                <w:sz w:val="20"/>
                <w:szCs w:val="20"/>
                <w:color w:val="auto"/>
              </w:rPr>
            </w:pPr>
            <w:r>
              <w:rPr>
                <w:rFonts w:ascii="Arial" w:cs="Arial" w:eastAsia="Arial" w:hAnsi="Arial"/>
                <w:sz w:val="14"/>
                <w:szCs w:val="14"/>
                <w:b w:val="1"/>
                <w:bCs w:val="1"/>
                <w:color w:val="auto"/>
                <w:w w:val="99"/>
              </w:rPr>
              <w:t>Restricted</w:t>
            </w:r>
          </w:p>
        </w:tc>
        <w:tc>
          <w:tcPr>
            <w:tcW w:w="116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8"/>
              </w:rPr>
              <w:t>Performance</w:t>
            </w:r>
          </w:p>
        </w:tc>
        <w:tc>
          <w:tcPr>
            <w:tcW w:w="1500" w:type="dxa"/>
            <w:vAlign w:val="bottom"/>
            <w:tcBorders>
              <w:top w:val="single" w:sz="8" w:color="auto"/>
            </w:tcBorders>
            <w:vMerge w:val="restart"/>
          </w:tcPr>
          <w:p>
            <w:pPr>
              <w:jc w:val="right"/>
              <w:ind w:right="171"/>
              <w:spacing w:after="0"/>
              <w:rPr>
                <w:sz w:val="20"/>
                <w:szCs w:val="20"/>
                <w:color w:val="auto"/>
              </w:rPr>
            </w:pPr>
            <w:r>
              <w:rPr>
                <w:rFonts w:ascii="Arial" w:cs="Arial" w:eastAsia="Arial" w:hAnsi="Arial"/>
                <w:sz w:val="14"/>
                <w:szCs w:val="14"/>
                <w:b w:val="1"/>
                <w:bCs w:val="1"/>
                <w:color w:val="auto"/>
              </w:rPr>
              <w:t>401(k) Employer</w:t>
            </w:r>
          </w:p>
        </w:tc>
        <w:tc>
          <w:tcPr>
            <w:tcW w:w="128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b w:val="1"/>
                <w:bCs w:val="1"/>
                <w:color w:val="auto"/>
              </w:rPr>
              <w:t>NQDC Employer</w:t>
            </w:r>
          </w:p>
        </w:tc>
        <w:tc>
          <w:tcPr>
            <w:tcW w:w="11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4"/>
                <w:szCs w:val="14"/>
                <w:b w:val="1"/>
                <w:bCs w:val="1"/>
                <w:color w:val="auto"/>
              </w:rPr>
              <w:t>Personal Use of</w:t>
            </w:r>
          </w:p>
        </w:tc>
        <w:tc>
          <w:tcPr>
            <w:tcW w:w="10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4"/>
                <w:szCs w:val="14"/>
                <w:b w:val="1"/>
                <w:bCs w:val="1"/>
                <w:color w:val="auto"/>
              </w:rPr>
              <w:t>Personal use</w:t>
            </w:r>
          </w:p>
        </w:tc>
        <w:tc>
          <w:tcPr>
            <w:tcW w:w="1040" w:type="dxa"/>
            <w:vAlign w:val="bottom"/>
            <w:tcBorders>
              <w:top w:val="single" w:sz="8" w:color="auto"/>
            </w:tcBorders>
            <w:vMerge w:val="restart"/>
          </w:tcPr>
          <w:p>
            <w:pPr>
              <w:jc w:val="right"/>
              <w:ind w:right="291"/>
              <w:spacing w:after="0"/>
              <w:rPr>
                <w:sz w:val="20"/>
                <w:szCs w:val="20"/>
                <w:color w:val="auto"/>
              </w:rPr>
            </w:pPr>
            <w:r>
              <w:rPr>
                <w:rFonts w:ascii="Arial" w:cs="Arial" w:eastAsia="Arial" w:hAnsi="Arial"/>
                <w:sz w:val="14"/>
                <w:szCs w:val="14"/>
                <w:b w:val="1"/>
                <w:bCs w:val="1"/>
                <w:color w:val="auto"/>
              </w:rPr>
              <w:t>Other</w:t>
            </w:r>
          </w:p>
        </w:tc>
        <w:tc>
          <w:tcPr>
            <w:tcW w:w="1320" w:type="dxa"/>
            <w:vAlign w:val="bottom"/>
            <w:tcBorders>
              <w:top w:val="single" w:sz="8" w:color="auto"/>
              <w:right w:val="single" w:sz="8" w:color="auto"/>
            </w:tcBorders>
            <w:vMerge w:val="restart"/>
          </w:tcPr>
          <w:p>
            <w:pPr>
              <w:jc w:val="right"/>
              <w:ind w:right="251"/>
              <w:spacing w:after="0"/>
              <w:rPr>
                <w:sz w:val="20"/>
                <w:szCs w:val="20"/>
                <w:color w:val="auto"/>
              </w:rPr>
            </w:pPr>
            <w:r>
              <w:rPr>
                <w:rFonts w:ascii="Arial" w:cs="Arial" w:eastAsia="Arial" w:hAnsi="Arial"/>
                <w:sz w:val="14"/>
                <w:szCs w:val="14"/>
                <w:b w:val="1"/>
                <w:bCs w:val="1"/>
                <w:color w:val="auto"/>
              </w:rPr>
              <w:t>Total Other</w:t>
            </w:r>
          </w:p>
        </w:tc>
        <w:tc>
          <w:tcPr>
            <w:tcW w:w="0" w:type="dxa"/>
            <w:vAlign w:val="bottom"/>
          </w:tcPr>
          <w:p>
            <w:pPr>
              <w:spacing w:after="0"/>
              <w:rPr>
                <w:sz w:val="1"/>
                <w:szCs w:val="1"/>
                <w:color w:val="auto"/>
              </w:rPr>
            </w:pPr>
          </w:p>
        </w:tc>
      </w:tr>
      <w:tr>
        <w:trPr>
          <w:trHeight w:val="138"/>
        </w:trPr>
        <w:tc>
          <w:tcPr>
            <w:tcW w:w="172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880" w:type="dxa"/>
            <w:vAlign w:val="bottom"/>
          </w:tcPr>
          <w:p>
            <w:pPr>
              <w:jc w:val="center"/>
              <w:ind w:right="91"/>
              <w:spacing w:after="0" w:line="139" w:lineRule="exact"/>
              <w:rPr>
                <w:sz w:val="20"/>
                <w:szCs w:val="20"/>
                <w:color w:val="auto"/>
              </w:rPr>
            </w:pPr>
            <w:r>
              <w:rPr>
                <w:rFonts w:ascii="Arial" w:cs="Arial" w:eastAsia="Arial" w:hAnsi="Arial"/>
                <w:sz w:val="14"/>
                <w:szCs w:val="14"/>
                <w:b w:val="1"/>
                <w:bCs w:val="1"/>
                <w:color w:val="auto"/>
                <w:w w:val="94"/>
              </w:rPr>
              <w:t>Stock</w:t>
            </w:r>
          </w:p>
        </w:tc>
        <w:tc>
          <w:tcPr>
            <w:tcW w:w="11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Share Deemed</w:t>
            </w:r>
          </w:p>
        </w:tc>
        <w:tc>
          <w:tcPr>
            <w:tcW w:w="150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2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Dividends ($)</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Dividends ($)</w:t>
            </w:r>
          </w:p>
        </w:tc>
        <w:tc>
          <w:tcPr>
            <w:tcW w:w="15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Match ($)</w:t>
            </w:r>
          </w:p>
        </w:tc>
        <w:tc>
          <w:tcPr>
            <w:tcW w:w="12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Match ($)</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Automobiles ($)</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of Aircraft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Perquisites ($)</w:t>
            </w:r>
          </w:p>
        </w:tc>
        <w:tc>
          <w:tcPr>
            <w:tcW w:w="132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82"/>
        </w:trPr>
        <w:tc>
          <w:tcPr>
            <w:tcW w:w="17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Steve Downing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41,500</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137,642</w:t>
            </w:r>
          </w:p>
        </w:tc>
        <w:tc>
          <w:tcPr>
            <w:tcW w:w="1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17,250</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59,935</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25,288</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73,253</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9,900</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364,768</w:t>
            </w:r>
          </w:p>
        </w:tc>
        <w:tc>
          <w:tcPr>
            <w:tcW w:w="0" w:type="dxa"/>
            <w:vAlign w:val="bottom"/>
          </w:tcPr>
          <w:p>
            <w:pPr>
              <w:spacing w:after="0"/>
              <w:rPr>
                <w:sz w:val="1"/>
                <w:szCs w:val="1"/>
                <w:color w:val="auto"/>
              </w:rPr>
            </w:pPr>
          </w:p>
        </w:tc>
      </w:tr>
      <w:tr>
        <w:trPr>
          <w:trHeight w:val="186"/>
        </w:trPr>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Neil Boehm</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auto"/>
              </w:rPr>
              <w:t>11,530</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44,099</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17,250</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43,930</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24,508</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46,800</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9,900</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198,017</w:t>
            </w:r>
          </w:p>
        </w:tc>
        <w:tc>
          <w:tcPr>
            <w:tcW w:w="0" w:type="dxa"/>
            <w:vAlign w:val="bottom"/>
          </w:tcPr>
          <w:p>
            <w:pPr>
              <w:spacing w:after="0"/>
              <w:rPr>
                <w:sz w:val="1"/>
                <w:szCs w:val="1"/>
                <w:color w:val="auto"/>
              </w:rPr>
            </w:pPr>
          </w:p>
        </w:tc>
      </w:tr>
      <w:tr>
        <w:trPr>
          <w:trHeight w:val="186"/>
        </w:trPr>
        <w:tc>
          <w:tcPr>
            <w:tcW w:w="17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Kevin Nash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12,819</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47,772</w:t>
            </w:r>
          </w:p>
        </w:tc>
        <w:tc>
          <w:tcPr>
            <w:tcW w:w="1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17,250</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24,217</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25,288</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94,863</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9,900</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232,109</w:t>
            </w:r>
          </w:p>
        </w:tc>
        <w:tc>
          <w:tcPr>
            <w:tcW w:w="0" w:type="dxa"/>
            <w:vAlign w:val="bottom"/>
          </w:tcPr>
          <w:p>
            <w:pPr>
              <w:spacing w:after="0"/>
              <w:rPr>
                <w:sz w:val="1"/>
                <w:szCs w:val="1"/>
                <w:color w:val="auto"/>
              </w:rPr>
            </w:pPr>
          </w:p>
        </w:tc>
      </w:tr>
      <w:tr>
        <w:trPr>
          <w:trHeight w:val="186"/>
        </w:trPr>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Matt Chiodo</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auto"/>
              </w:rPr>
              <w:t>9,564</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39,236</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17,250</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19,416</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28,592</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44,008</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28,440</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186,506</w:t>
            </w:r>
          </w:p>
        </w:tc>
        <w:tc>
          <w:tcPr>
            <w:tcW w:w="0" w:type="dxa"/>
            <w:vAlign w:val="bottom"/>
          </w:tcPr>
          <w:p>
            <w:pPr>
              <w:spacing w:after="0"/>
              <w:rPr>
                <w:sz w:val="1"/>
                <w:szCs w:val="1"/>
                <w:color w:val="auto"/>
              </w:rPr>
            </w:pPr>
          </w:p>
        </w:tc>
      </w:tr>
      <w:tr>
        <w:trPr>
          <w:trHeight w:val="186"/>
        </w:trPr>
        <w:tc>
          <w:tcPr>
            <w:tcW w:w="17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Scott Ryan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8,715</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35,804</w:t>
            </w:r>
          </w:p>
        </w:tc>
        <w:tc>
          <w:tcPr>
            <w:tcW w:w="1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17,250</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15,006</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26,588</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63,451</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22,459</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189,273</w:t>
            </w:r>
          </w:p>
        </w:tc>
        <w:tc>
          <w:tcPr>
            <w:tcW w:w="0" w:type="dxa"/>
            <w:vAlign w:val="bottom"/>
          </w:tcPr>
          <w:p>
            <w:pPr>
              <w:spacing w:after="0"/>
              <w:rPr>
                <w:sz w:val="1"/>
                <w:szCs w:val="1"/>
                <w:color w:val="auto"/>
              </w:rPr>
            </w:pPr>
          </w:p>
        </w:tc>
      </w:tr>
    </w:tbl>
    <w:p>
      <w:pPr>
        <w:spacing w:after="0" w:line="352" w:lineRule="exact"/>
        <w:rPr>
          <w:sz w:val="20"/>
          <w:szCs w:val="20"/>
          <w:color w:val="auto"/>
        </w:rPr>
      </w:pPr>
    </w:p>
    <w:p>
      <w:pPr>
        <w:ind w:left="20"/>
        <w:spacing w:after="0"/>
        <w:rPr>
          <w:sz w:val="20"/>
          <w:szCs w:val="20"/>
          <w:color w:val="auto"/>
        </w:rPr>
      </w:pPr>
      <w:r>
        <w:rPr>
          <w:rFonts w:ascii="Arial" w:cs="Arial" w:eastAsia="Arial" w:hAnsi="Arial"/>
          <w:sz w:val="19"/>
          <w:szCs w:val="19"/>
          <w:b w:val="1"/>
          <w:bCs w:val="1"/>
          <w:u w:val="single" w:color="auto"/>
          <w:color w:val="auto"/>
        </w:rPr>
        <w:t>ant of Plan-Based Awards</w:t>
      </w:r>
    </w:p>
    <w:p>
      <w:pPr>
        <w:spacing w:after="0" w:line="288" w:lineRule="exact"/>
        <w:rPr>
          <w:sz w:val="20"/>
          <w:szCs w:val="20"/>
          <w:color w:val="auto"/>
        </w:rPr>
      </w:pPr>
    </w:p>
    <w:p>
      <w:pPr>
        <w:ind w:left="100" w:right="20" w:firstLine="309"/>
        <w:spacing w:after="0" w:line="281" w:lineRule="auto"/>
        <w:rPr>
          <w:sz w:val="20"/>
          <w:szCs w:val="20"/>
          <w:color w:val="auto"/>
        </w:rPr>
      </w:pPr>
      <w:r>
        <w:rPr>
          <w:rFonts w:ascii="Arial" w:cs="Arial" w:eastAsia="Arial" w:hAnsi="Arial"/>
          <w:sz w:val="17"/>
          <w:szCs w:val="17"/>
          <w:color w:val="auto"/>
        </w:rPr>
        <w:t>The following table discloses the actual number of RS awards and PSAs granted and the grant date of those awards. It also captures potential future payouts under the Company's non-equity and 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-1270</wp:posOffset>
            </wp:positionV>
            <wp:extent cx="7146925" cy="1562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6925" cy="1562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9"/>
          <w:szCs w:val="19"/>
          <w:b w:val="1"/>
          <w:bCs w:val="1"/>
          <w:color w:val="auto"/>
        </w:rPr>
        <w:t>Grants of Plan-Based Awards for 2024</w:t>
      </w:r>
    </w:p>
    <w:p>
      <w:pPr>
        <w:spacing w:after="0" w:line="35" w:lineRule="exact"/>
        <w:rPr>
          <w:sz w:val="20"/>
          <w:szCs w:val="20"/>
          <w:color w:val="auto"/>
        </w:rPr>
      </w:pPr>
    </w:p>
    <w:tbl>
      <w:tblPr>
        <w:tblLayout w:type="fixed"/>
        <w:tblInd w:w="100" w:type="dxa"/>
        <w:tblCellMar>
          <w:top w:w="0" w:type="dxa"/>
          <w:left w:w="0" w:type="dxa"/>
          <w:bottom w:w="0" w:type="dxa"/>
          <w:right w:w="0" w:type="dxa"/>
        </w:tblCellMar>
      </w:tblPr>
      <w:tr>
        <w:trPr>
          <w:trHeight w:val="297"/>
        </w:trPr>
        <w:tc>
          <w:tcPr>
            <w:tcW w:w="130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center"/>
              <w:ind w:left="15"/>
              <w:spacing w:after="0"/>
              <w:rPr>
                <w:sz w:val="20"/>
                <w:szCs w:val="20"/>
                <w:color w:val="auto"/>
              </w:rPr>
            </w:pPr>
            <w:r>
              <w:rPr>
                <w:rFonts w:ascii="Arial" w:cs="Arial" w:eastAsia="Arial" w:hAnsi="Arial"/>
                <w:sz w:val="12"/>
                <w:szCs w:val="12"/>
                <w:b w:val="1"/>
                <w:bCs w:val="1"/>
                <w:color w:val="auto"/>
                <w:w w:val="95"/>
              </w:rPr>
              <w:t>(2)</w:t>
            </w: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(3)</w:t>
            </w:r>
          </w:p>
        </w:tc>
        <w:tc>
          <w:tcPr>
            <w:tcW w:w="700" w:type="dxa"/>
            <w:vAlign w:val="bottom"/>
            <w:tcBorders>
              <w:top w:val="single" w:sz="8" w:color="auto"/>
              <w:right w:val="single" w:sz="8" w:color="auto"/>
            </w:tcBorders>
          </w:tcPr>
          <w:p>
            <w:pPr>
              <w:spacing w:after="0"/>
              <w:rPr>
                <w:sz w:val="24"/>
                <w:szCs w:val="24"/>
                <w:color w:val="auto"/>
              </w:rPr>
            </w:pPr>
          </w:p>
        </w:tc>
        <w:tc>
          <w:tcPr>
            <w:tcW w:w="9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(4)</w:t>
            </w:r>
          </w:p>
        </w:tc>
        <w:tc>
          <w:tcPr>
            <w:tcW w:w="1220" w:type="dxa"/>
            <w:vAlign w:val="bottom"/>
            <w:tcBorders>
              <w:top w:val="single" w:sz="8" w:color="auto"/>
              <w:right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30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720" w:type="dxa"/>
            <w:vAlign w:val="bottom"/>
            <w:tcBorders>
              <w:right w:val="single" w:sz="8" w:color="auto"/>
            </w:tcBorders>
            <w:gridSpan w:val="5"/>
            <w:vMerge w:val="restart"/>
          </w:tcPr>
          <w:p>
            <w:pPr>
              <w:jc w:val="center"/>
              <w:ind w:right="33"/>
              <w:spacing w:after="0" w:line="121" w:lineRule="exact"/>
              <w:rPr>
                <w:sz w:val="20"/>
                <w:szCs w:val="20"/>
                <w:color w:val="auto"/>
              </w:rPr>
            </w:pPr>
            <w:r>
              <w:rPr>
                <w:rFonts w:ascii="Arial" w:cs="Arial" w:eastAsia="Arial" w:hAnsi="Arial"/>
                <w:sz w:val="12"/>
                <w:szCs w:val="12"/>
                <w:b w:val="1"/>
                <w:bCs w:val="1"/>
                <w:color w:val="auto"/>
              </w:rPr>
              <w:t>Estimated Future Payouts Under Non-Equity</w:t>
            </w:r>
          </w:p>
        </w:tc>
        <w:tc>
          <w:tcPr>
            <w:tcW w:w="2180" w:type="dxa"/>
            <w:vAlign w:val="bottom"/>
            <w:tcBorders>
              <w:right w:val="single" w:sz="8" w:color="auto"/>
            </w:tcBorders>
            <w:gridSpan w:val="3"/>
            <w:vMerge w:val="restart"/>
          </w:tcPr>
          <w:p>
            <w:pPr>
              <w:jc w:val="center"/>
              <w:spacing w:after="0" w:line="121" w:lineRule="exact"/>
              <w:rPr>
                <w:sz w:val="20"/>
                <w:szCs w:val="20"/>
                <w:color w:val="auto"/>
              </w:rPr>
            </w:pPr>
            <w:r>
              <w:rPr>
                <w:rFonts w:ascii="Arial" w:cs="Arial" w:eastAsia="Arial" w:hAnsi="Arial"/>
                <w:sz w:val="12"/>
                <w:szCs w:val="12"/>
                <w:b w:val="1"/>
                <w:bCs w:val="1"/>
                <w:color w:val="auto"/>
                <w:w w:val="99"/>
              </w:rPr>
              <w:t>Estimated Future Payouts Under</w:t>
            </w:r>
          </w:p>
        </w:tc>
        <w:tc>
          <w:tcPr>
            <w:tcW w:w="900" w:type="dxa"/>
            <w:vAlign w:val="bottom"/>
            <w:tcBorders>
              <w:right w:val="single" w:sz="8" w:color="auto"/>
            </w:tcBorders>
            <w:vMerge w:val="continue"/>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restart"/>
          </w:tcPr>
          <w:p>
            <w:pPr>
              <w:jc w:val="center"/>
              <w:ind w:right="19"/>
              <w:spacing w:after="0"/>
              <w:rPr>
                <w:sz w:val="20"/>
                <w:szCs w:val="20"/>
                <w:color w:val="auto"/>
              </w:rPr>
            </w:pPr>
            <w:r>
              <w:rPr>
                <w:rFonts w:ascii="Arial" w:cs="Arial" w:eastAsia="Arial" w:hAnsi="Arial"/>
                <w:sz w:val="12"/>
                <w:szCs w:val="12"/>
                <w:b w:val="1"/>
                <w:bCs w:val="1"/>
                <w:color w:val="auto"/>
                <w:w w:val="95"/>
              </w:rPr>
              <w:t>(5)</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130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720" w:type="dxa"/>
            <w:vAlign w:val="bottom"/>
            <w:tcBorders>
              <w:right w:val="single" w:sz="8" w:color="auto"/>
            </w:tcBorders>
            <w:gridSpan w:val="5"/>
            <w:vMerge w:val="continue"/>
          </w:tcPr>
          <w:p>
            <w:pPr>
              <w:spacing w:after="0"/>
              <w:rPr>
                <w:sz w:val="3"/>
                <w:szCs w:val="3"/>
                <w:color w:val="auto"/>
              </w:rPr>
            </w:pPr>
          </w:p>
        </w:tc>
        <w:tc>
          <w:tcPr>
            <w:tcW w:w="2180" w:type="dxa"/>
            <w:vAlign w:val="bottom"/>
            <w:tcBorders>
              <w:right w:val="single" w:sz="8" w:color="auto"/>
            </w:tcBorders>
            <w:gridSpan w:val="3"/>
            <w:vMerge w:val="continue"/>
          </w:tcPr>
          <w:p>
            <w:pPr>
              <w:spacing w:after="0"/>
              <w:rPr>
                <w:sz w:val="3"/>
                <w:szCs w:val="3"/>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All Other</w:t>
            </w:r>
          </w:p>
        </w:tc>
        <w:tc>
          <w:tcPr>
            <w:tcW w:w="122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13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spacing w:after="0" w:line="116" w:lineRule="exact"/>
              <w:rPr>
                <w:sz w:val="20"/>
                <w:szCs w:val="20"/>
                <w:color w:val="auto"/>
              </w:rPr>
            </w:pPr>
            <w:r>
              <w:rPr>
                <w:rFonts w:ascii="Arial" w:cs="Arial" w:eastAsia="Arial" w:hAnsi="Arial"/>
                <w:sz w:val="12"/>
                <w:szCs w:val="12"/>
                <w:b w:val="1"/>
                <w:bCs w:val="1"/>
                <w:color w:val="auto"/>
              </w:rPr>
              <w:t>Incentive Plans</w:t>
            </w:r>
          </w:p>
        </w:tc>
        <w:tc>
          <w:tcPr>
            <w:tcW w:w="940" w:type="dxa"/>
            <w:vAlign w:val="bottom"/>
            <w:tcBorders>
              <w:right w:val="single" w:sz="8" w:color="auto"/>
            </w:tcBorders>
          </w:tcPr>
          <w:p>
            <w:pPr>
              <w:spacing w:after="0"/>
              <w:rPr>
                <w:sz w:val="10"/>
                <w:szCs w:val="10"/>
                <w:color w:val="auto"/>
              </w:rPr>
            </w:pPr>
          </w:p>
        </w:tc>
        <w:tc>
          <w:tcPr>
            <w:tcW w:w="2180" w:type="dxa"/>
            <w:vAlign w:val="bottom"/>
            <w:tcBorders>
              <w:right w:val="single" w:sz="8" w:color="auto"/>
            </w:tcBorders>
            <w:gridSpan w:val="3"/>
          </w:tcPr>
          <w:p>
            <w:pPr>
              <w:jc w:val="center"/>
              <w:spacing w:after="0" w:line="116" w:lineRule="exact"/>
              <w:rPr>
                <w:sz w:val="20"/>
                <w:szCs w:val="20"/>
                <w:color w:val="auto"/>
              </w:rPr>
            </w:pPr>
            <w:r>
              <w:rPr>
                <w:rFonts w:ascii="Arial" w:cs="Arial" w:eastAsia="Arial" w:hAnsi="Arial"/>
                <w:sz w:val="12"/>
                <w:szCs w:val="12"/>
                <w:b w:val="1"/>
                <w:bCs w:val="1"/>
                <w:color w:val="auto"/>
              </w:rPr>
              <w:t>Equity Incentive Plan Awards</w:t>
            </w:r>
          </w:p>
        </w:tc>
        <w:tc>
          <w:tcPr>
            <w:tcW w:w="90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9"/>
              </w:rPr>
              <w:t>All Other Option</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8"/>
              </w:rPr>
              <w:t>Exercise or</w:t>
            </w:r>
          </w:p>
        </w:tc>
        <w:tc>
          <w:tcPr>
            <w:tcW w:w="1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130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900" w:type="dxa"/>
            <w:vAlign w:val="bottom"/>
            <w:tcBorders>
              <w:right w:val="single" w:sz="8" w:color="auto"/>
            </w:tcBorders>
          </w:tcPr>
          <w:p>
            <w:pPr>
              <w:jc w:val="center"/>
              <w:spacing w:after="0" w:line="58" w:lineRule="exact"/>
              <w:rPr>
                <w:sz w:val="20"/>
                <w:szCs w:val="20"/>
                <w:color w:val="auto"/>
              </w:rPr>
            </w:pPr>
            <w:r>
              <w:rPr>
                <w:rFonts w:ascii="Arial" w:cs="Arial" w:eastAsia="Arial" w:hAnsi="Arial"/>
                <w:sz w:val="6"/>
                <w:szCs w:val="6"/>
                <w:b w:val="1"/>
                <w:bCs w:val="1"/>
                <w:color w:val="auto"/>
              </w:rPr>
              <w:t>Stock Awards:</w:t>
            </w:r>
          </w:p>
        </w:tc>
        <w:tc>
          <w:tcPr>
            <w:tcW w:w="1220" w:type="dxa"/>
            <w:vAlign w:val="bottom"/>
            <w:tcBorders>
              <w:right w:val="single" w:sz="8" w:color="auto"/>
            </w:tcBorders>
            <w:vMerge w:val="continue"/>
          </w:tcPr>
          <w:p>
            <w:pPr>
              <w:spacing w:after="0"/>
              <w:rPr>
                <w:sz w:val="4"/>
                <w:szCs w:val="4"/>
                <w:color w:val="auto"/>
              </w:rPr>
            </w:pPr>
          </w:p>
        </w:tc>
        <w:tc>
          <w:tcPr>
            <w:tcW w:w="90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jc w:val="center"/>
              <w:ind w:right="39"/>
              <w:spacing w:after="0" w:line="58" w:lineRule="exact"/>
              <w:rPr>
                <w:sz w:val="20"/>
                <w:szCs w:val="20"/>
                <w:color w:val="auto"/>
              </w:rPr>
            </w:pPr>
            <w:r>
              <w:rPr>
                <w:rFonts w:ascii="Arial" w:cs="Arial" w:eastAsia="Arial" w:hAnsi="Arial"/>
                <w:sz w:val="6"/>
                <w:szCs w:val="6"/>
                <w:b w:val="1"/>
                <w:bCs w:val="1"/>
                <w:color w:val="auto"/>
              </w:rPr>
              <w:t>Grant Date Fair</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3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w w:val="99"/>
              </w:rPr>
              <w:t>Number of</w:t>
            </w:r>
          </w:p>
        </w:tc>
        <w:tc>
          <w:tcPr>
            <w:tcW w:w="12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w w:val="99"/>
              </w:rPr>
              <w:t>Awards: Number of</w:t>
            </w:r>
          </w:p>
        </w:tc>
        <w:tc>
          <w:tcPr>
            <w:tcW w:w="900" w:type="dxa"/>
            <w:vAlign w:val="bottom"/>
            <w:tcBorders>
              <w:right w:val="single" w:sz="8" w:color="auto"/>
            </w:tcBorders>
          </w:tcPr>
          <w:p>
            <w:pPr>
              <w:jc w:val="right"/>
              <w:ind w:right="16"/>
              <w:spacing w:after="0" w:line="116" w:lineRule="exact"/>
              <w:rPr>
                <w:sz w:val="20"/>
                <w:szCs w:val="20"/>
                <w:color w:val="auto"/>
              </w:rPr>
            </w:pPr>
            <w:r>
              <w:rPr>
                <w:rFonts w:ascii="Arial" w:cs="Arial" w:eastAsia="Arial" w:hAnsi="Arial"/>
                <w:sz w:val="12"/>
                <w:szCs w:val="12"/>
                <w:b w:val="1"/>
                <w:bCs w:val="1"/>
                <w:color w:val="auto"/>
              </w:rPr>
              <w:t>Base Price of</w:t>
            </w:r>
          </w:p>
        </w:tc>
        <w:tc>
          <w:tcPr>
            <w:tcW w:w="100" w:type="dxa"/>
            <w:vAlign w:val="bottom"/>
          </w:tcPr>
          <w:p>
            <w:pPr>
              <w:spacing w:after="0"/>
              <w:rPr>
                <w:sz w:val="10"/>
                <w:szCs w:val="10"/>
                <w:color w:val="auto"/>
              </w:rPr>
            </w:pPr>
          </w:p>
        </w:tc>
        <w:tc>
          <w:tcPr>
            <w:tcW w:w="980" w:type="dxa"/>
            <w:vAlign w:val="bottom"/>
          </w:tcPr>
          <w:p>
            <w:pPr>
              <w:jc w:val="center"/>
              <w:ind w:right="59"/>
              <w:spacing w:after="0" w:line="116" w:lineRule="exact"/>
              <w:rPr>
                <w:sz w:val="20"/>
                <w:szCs w:val="20"/>
                <w:color w:val="auto"/>
              </w:rPr>
            </w:pPr>
            <w:r>
              <w:rPr>
                <w:rFonts w:ascii="Arial" w:cs="Arial" w:eastAsia="Arial" w:hAnsi="Arial"/>
                <w:sz w:val="12"/>
                <w:szCs w:val="12"/>
                <w:b w:val="1"/>
                <w:bCs w:val="1"/>
                <w:color w:val="auto"/>
                <w:w w:val="99"/>
              </w:rPr>
              <w:t>Value of Stock</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3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5"/>
              </w:rPr>
              <w:t>(1)</w:t>
            </w:r>
          </w:p>
        </w:tc>
        <w:tc>
          <w:tcPr>
            <w:tcW w:w="100" w:type="dxa"/>
            <w:vAlign w:val="bottom"/>
          </w:tcPr>
          <w:p>
            <w:pPr>
              <w:spacing w:after="0"/>
              <w:rPr>
                <w:sz w:val="10"/>
                <w:szCs w:val="10"/>
                <w:color w:val="auto"/>
              </w:rPr>
            </w:pPr>
          </w:p>
        </w:tc>
        <w:tc>
          <w:tcPr>
            <w:tcW w:w="780" w:type="dxa"/>
            <w:vAlign w:val="bottom"/>
            <w:tcBorders>
              <w:right w:val="single" w:sz="8" w:color="auto"/>
            </w:tcBorders>
            <w:vMerge w:val="restart"/>
          </w:tcPr>
          <w:p>
            <w:pPr>
              <w:jc w:val="right"/>
              <w:ind w:right="75"/>
              <w:spacing w:after="0"/>
              <w:rPr>
                <w:sz w:val="20"/>
                <w:szCs w:val="20"/>
                <w:color w:val="auto"/>
              </w:rPr>
            </w:pPr>
            <w:r>
              <w:rPr>
                <w:rFonts w:ascii="Arial" w:cs="Arial" w:eastAsia="Arial" w:hAnsi="Arial"/>
                <w:sz w:val="12"/>
                <w:szCs w:val="12"/>
                <w:b w:val="1"/>
                <w:bCs w:val="1"/>
                <w:color w:val="auto"/>
                <w:w w:val="99"/>
              </w:rPr>
              <w:t>Thres-hold</w:t>
            </w:r>
          </w:p>
        </w:tc>
        <w:tc>
          <w:tcPr>
            <w:tcW w:w="80" w:type="dxa"/>
            <w:vAlign w:val="bottom"/>
          </w:tcPr>
          <w:p>
            <w:pPr>
              <w:spacing w:after="0"/>
              <w:rPr>
                <w:sz w:val="10"/>
                <w:szCs w:val="10"/>
                <w:color w:val="auto"/>
              </w:rPr>
            </w:pPr>
          </w:p>
        </w:tc>
        <w:tc>
          <w:tcPr>
            <w:tcW w:w="820" w:type="dxa"/>
            <w:vAlign w:val="bottom"/>
            <w:tcBorders>
              <w:right w:val="single" w:sz="8" w:color="auto"/>
            </w:tcBorders>
            <w:vMerge w:val="restart"/>
          </w:tcPr>
          <w:p>
            <w:pPr>
              <w:jc w:val="right"/>
              <w:ind w:right="235"/>
              <w:spacing w:after="0"/>
              <w:rPr>
                <w:sz w:val="20"/>
                <w:szCs w:val="20"/>
                <w:color w:val="auto"/>
              </w:rPr>
            </w:pPr>
            <w:r>
              <w:rPr>
                <w:rFonts w:ascii="Arial" w:cs="Arial" w:eastAsia="Arial" w:hAnsi="Arial"/>
                <w:sz w:val="12"/>
                <w:szCs w:val="12"/>
                <w:b w:val="1"/>
                <w:bCs w:val="1"/>
                <w:color w:val="auto"/>
              </w:rPr>
              <w:t>Target</w:t>
            </w:r>
          </w:p>
        </w:tc>
        <w:tc>
          <w:tcPr>
            <w:tcW w:w="10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restart"/>
          </w:tcPr>
          <w:p>
            <w:pPr>
              <w:jc w:val="right"/>
              <w:ind w:right="15"/>
              <w:spacing w:after="0"/>
              <w:rPr>
                <w:sz w:val="20"/>
                <w:szCs w:val="20"/>
                <w:color w:val="auto"/>
              </w:rPr>
            </w:pPr>
            <w:r>
              <w:rPr>
                <w:rFonts w:ascii="Arial" w:cs="Arial" w:eastAsia="Arial" w:hAnsi="Arial"/>
                <w:sz w:val="12"/>
                <w:szCs w:val="12"/>
                <w:b w:val="1"/>
                <w:bCs w:val="1"/>
                <w:color w:val="auto"/>
                <w:w w:val="99"/>
              </w:rPr>
              <w:t>Thres-hold</w:t>
            </w:r>
          </w:p>
        </w:tc>
        <w:tc>
          <w:tcPr>
            <w:tcW w:w="7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Maxi-mum</w:t>
            </w:r>
          </w:p>
        </w:tc>
        <w:tc>
          <w:tcPr>
            <w:tcW w:w="90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rPr>
              <w:t>Shares of</w:t>
            </w:r>
          </w:p>
        </w:tc>
        <w:tc>
          <w:tcPr>
            <w:tcW w:w="12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rPr>
              <w:t>Securities</w:t>
            </w:r>
          </w:p>
        </w:tc>
        <w:tc>
          <w:tcPr>
            <w:tcW w:w="90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rPr>
              <w:t>Option</w:t>
            </w:r>
          </w:p>
        </w:tc>
        <w:tc>
          <w:tcPr>
            <w:tcW w:w="100" w:type="dxa"/>
            <w:vAlign w:val="bottom"/>
          </w:tcPr>
          <w:p>
            <w:pPr>
              <w:spacing w:after="0"/>
              <w:rPr>
                <w:sz w:val="10"/>
                <w:szCs w:val="10"/>
                <w:color w:val="auto"/>
              </w:rPr>
            </w:pPr>
          </w:p>
        </w:tc>
        <w:tc>
          <w:tcPr>
            <w:tcW w:w="980" w:type="dxa"/>
            <w:vAlign w:val="bottom"/>
          </w:tcPr>
          <w:p>
            <w:pPr>
              <w:jc w:val="center"/>
              <w:ind w:right="39"/>
              <w:spacing w:after="0" w:line="116" w:lineRule="exact"/>
              <w:rPr>
                <w:sz w:val="20"/>
                <w:szCs w:val="20"/>
                <w:color w:val="auto"/>
              </w:rPr>
            </w:pPr>
            <w:r>
              <w:rPr>
                <w:rFonts w:ascii="Arial" w:cs="Arial" w:eastAsia="Arial" w:hAnsi="Arial"/>
                <w:sz w:val="12"/>
                <w:szCs w:val="12"/>
                <w:b w:val="1"/>
                <w:bCs w:val="1"/>
                <w:color w:val="auto"/>
              </w:rPr>
              <w:t>and Option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rPr>
              <w:t>Name</w:t>
            </w:r>
          </w:p>
        </w:tc>
        <w:tc>
          <w:tcPr>
            <w:tcW w:w="84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Borders>
              <w:right w:val="single" w:sz="8" w:color="auto"/>
            </w:tcBorders>
            <w:vMerge w:val="restart"/>
          </w:tcPr>
          <w:p>
            <w:pPr>
              <w:jc w:val="right"/>
              <w:ind w:right="93"/>
              <w:spacing w:after="0"/>
              <w:rPr>
                <w:sz w:val="20"/>
                <w:szCs w:val="20"/>
                <w:color w:val="auto"/>
              </w:rPr>
            </w:pPr>
            <w:r>
              <w:rPr>
                <w:rFonts w:ascii="Arial" w:cs="Arial" w:eastAsia="Arial" w:hAnsi="Arial"/>
                <w:sz w:val="12"/>
                <w:szCs w:val="12"/>
                <w:b w:val="1"/>
                <w:bCs w:val="1"/>
                <w:color w:val="auto"/>
              </w:rPr>
              <w:t>Maximum ($)</w:t>
            </w:r>
          </w:p>
        </w:tc>
        <w:tc>
          <w:tcPr>
            <w:tcW w:w="720" w:type="dxa"/>
            <w:vAlign w:val="bottom"/>
            <w:tcBorders>
              <w:right w:val="single" w:sz="8" w:color="auto"/>
            </w:tcBorders>
            <w:vMerge w:val="continue"/>
          </w:tcPr>
          <w:p>
            <w:pPr>
              <w:spacing w:after="0"/>
              <w:rPr>
                <w:sz w:val="11"/>
                <w:szCs w:val="1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8"/>
              </w:rPr>
              <w:t>Target (#)</w:t>
            </w:r>
          </w:p>
        </w:tc>
        <w:tc>
          <w:tcPr>
            <w:tcW w:w="70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8"/>
              </w:rPr>
              <w:t>Stock or Units</w:t>
            </w:r>
          </w:p>
        </w:tc>
        <w:tc>
          <w:tcPr>
            <w:tcW w:w="122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rPr>
              <w:t>Underlying Options</w:t>
            </w:r>
          </w:p>
        </w:tc>
        <w:tc>
          <w:tcPr>
            <w:tcW w:w="90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rPr>
              <w:t>Awards</w:t>
            </w:r>
          </w:p>
        </w:tc>
        <w:tc>
          <w:tcPr>
            <w:tcW w:w="100" w:type="dxa"/>
            <w:vAlign w:val="bottom"/>
          </w:tcPr>
          <w:p>
            <w:pPr>
              <w:spacing w:after="0"/>
              <w:rPr>
                <w:sz w:val="11"/>
                <w:szCs w:val="11"/>
                <w:color w:val="auto"/>
              </w:rPr>
            </w:pPr>
          </w:p>
        </w:tc>
        <w:tc>
          <w:tcPr>
            <w:tcW w:w="980" w:type="dxa"/>
            <w:vAlign w:val="bottom"/>
          </w:tcPr>
          <w:p>
            <w:pPr>
              <w:jc w:val="center"/>
              <w:ind w:right="39"/>
              <w:spacing w:after="0" w:line="129" w:lineRule="exact"/>
              <w:rPr>
                <w:sz w:val="20"/>
                <w:szCs w:val="20"/>
                <w:color w:val="auto"/>
              </w:rPr>
            </w:pPr>
            <w:r>
              <w:rPr>
                <w:rFonts w:ascii="Arial" w:cs="Arial" w:eastAsia="Arial" w:hAnsi="Arial"/>
                <w:sz w:val="12"/>
                <w:szCs w:val="12"/>
                <w:b w:val="1"/>
                <w:bCs w:val="1"/>
                <w:color w:val="auto"/>
              </w:rPr>
              <w:t>Awards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300" w:type="dxa"/>
            <w:vAlign w:val="bottom"/>
            <w:tcBorders>
              <w:bottom w:val="single" w:sz="8" w:color="auto"/>
              <w:right w:val="single" w:sz="8" w:color="auto"/>
            </w:tcBorders>
            <w:vMerge w:val="continue"/>
          </w:tcPr>
          <w:p>
            <w:pPr>
              <w:spacing w:after="0"/>
              <w:rPr>
                <w:sz w:val="14"/>
                <w:szCs w:val="14"/>
                <w:color w:val="auto"/>
              </w:rPr>
            </w:pPr>
          </w:p>
        </w:tc>
        <w:tc>
          <w:tcPr>
            <w:tcW w:w="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b w:val="1"/>
                <w:bCs w:val="1"/>
                <w:color w:val="auto"/>
              </w:rPr>
              <w:t>Grant Date</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ind w:right="315"/>
              <w:spacing w:after="0"/>
              <w:rPr>
                <w:sz w:val="20"/>
                <w:szCs w:val="20"/>
                <w:color w:val="auto"/>
              </w:rPr>
            </w:pPr>
            <w:r>
              <w:rPr>
                <w:rFonts w:ascii="Arial" w:cs="Arial" w:eastAsia="Arial" w:hAnsi="Arial"/>
                <w:sz w:val="12"/>
                <w:szCs w:val="12"/>
                <w:b w:val="1"/>
                <w:bCs w:val="1"/>
                <w:color w:val="auto"/>
              </w:rPr>
              <w:t>($)</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right"/>
              <w:ind w:right="335"/>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tcPr>
          <w:p>
            <w:pPr>
              <w:jc w:val="right"/>
              <w:ind w:right="235"/>
              <w:spacing w:after="0"/>
              <w:rPr>
                <w:sz w:val="20"/>
                <w:szCs w:val="20"/>
                <w:color w:val="auto"/>
              </w:rPr>
            </w:pPr>
            <w:r>
              <w:rPr>
                <w:rFonts w:ascii="Arial" w:cs="Arial" w:eastAsia="Arial" w:hAnsi="Arial"/>
                <w:sz w:val="12"/>
                <w:szCs w:val="12"/>
                <w:b w:val="1"/>
                <w:bCs w:val="1"/>
                <w:color w:val="auto"/>
              </w:rPr>
              <w:t>(#)</w:t>
            </w: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700" w:type="dxa"/>
            <w:vAlign w:val="bottom"/>
            <w:tcBorders>
              <w:bottom w:val="single" w:sz="8" w:color="auto"/>
              <w:right w:val="single" w:sz="8" w:color="auto"/>
            </w:tcBorders>
          </w:tcPr>
          <w:p>
            <w:pPr>
              <w:jc w:val="right"/>
              <w:ind w:right="214"/>
              <w:spacing w:after="0"/>
              <w:rPr>
                <w:sz w:val="20"/>
                <w:szCs w:val="20"/>
                <w:color w:val="auto"/>
              </w:rPr>
            </w:pPr>
            <w:r>
              <w:rPr>
                <w:rFonts w:ascii="Arial" w:cs="Arial" w:eastAsia="Arial" w:hAnsi="Arial"/>
                <w:sz w:val="12"/>
                <w:szCs w:val="12"/>
                <w:b w:val="1"/>
                <w:bCs w:val="1"/>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($/Sh)</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9"/>
              <w:spacing w:after="0"/>
              <w:rPr>
                <w:sz w:val="20"/>
                <w:szCs w:val="20"/>
                <w:color w:val="auto"/>
              </w:rPr>
            </w:pPr>
            <w:r>
              <w:rPr>
                <w:rFonts w:ascii="Arial" w:cs="Arial" w:eastAsia="Arial" w:hAnsi="Arial"/>
                <w:sz w:val="12"/>
                <w:szCs w:val="12"/>
                <w:b w:val="1"/>
                <w:bCs w:val="1"/>
                <w:color w:val="auto"/>
              </w:rPr>
              <w:t>($)</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30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Steve Downing</w:t>
            </w:r>
          </w:p>
        </w:tc>
        <w:tc>
          <w:tcPr>
            <w:tcW w:w="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02/15/24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467,500</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935,000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1,870,000</w:t>
            </w:r>
          </w:p>
        </w:tc>
        <w:tc>
          <w:tcPr>
            <w:tcW w:w="72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34,008</w:t>
            </w:r>
          </w:p>
        </w:tc>
        <w:tc>
          <w:tcPr>
            <w:tcW w:w="760" w:type="dxa"/>
            <w:vAlign w:val="bottom"/>
            <w:tcBorders>
              <w:bottom w:val="single" w:sz="8" w:color="auto"/>
              <w:right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68,016</w:t>
            </w:r>
          </w:p>
        </w:tc>
        <w:tc>
          <w:tcPr>
            <w:tcW w:w="700" w:type="dxa"/>
            <w:vAlign w:val="bottom"/>
            <w:tcBorders>
              <w:bottom w:val="single" w:sz="8" w:color="auto"/>
              <w:right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136,032</w:t>
            </w:r>
          </w:p>
        </w:tc>
        <w:tc>
          <w:tcPr>
            <w:tcW w:w="9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4"/>
                <w:szCs w:val="14"/>
                <w:color w:val="auto"/>
              </w:rPr>
              <w:t>29,150</w:t>
            </w:r>
          </w:p>
        </w:tc>
        <w:tc>
          <w:tcPr>
            <w:tcW w:w="1220" w:type="dxa"/>
            <w:vAlign w:val="bottom"/>
            <w:tcBorders>
              <w:bottom w:val="single" w:sz="8" w:color="auto"/>
              <w:right w:val="single" w:sz="8" w:color="auto"/>
            </w:tcBorders>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2,386,001</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Neil Boehm</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02/15/24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4"/>
                <w:szCs w:val="14"/>
                <w:color w:val="auto"/>
              </w:rPr>
              <w:t>215,625</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4"/>
                <w:szCs w:val="14"/>
                <w:color w:val="auto"/>
              </w:rPr>
              <w:t>431,250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4"/>
                <w:szCs w:val="14"/>
                <w:color w:val="auto"/>
              </w:rPr>
              <w:t>862,500</w:t>
            </w:r>
          </w:p>
        </w:tc>
        <w:tc>
          <w:tcPr>
            <w:tcW w:w="72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4"/>
                <w:szCs w:val="14"/>
                <w:color w:val="auto"/>
              </w:rPr>
              <w:t>11,055</w:t>
            </w:r>
          </w:p>
        </w:tc>
        <w:tc>
          <w:tcPr>
            <w:tcW w:w="76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4"/>
                <w:szCs w:val="14"/>
                <w:color w:val="auto"/>
              </w:rPr>
              <w:t>22,109</w:t>
            </w:r>
          </w:p>
        </w:tc>
        <w:tc>
          <w:tcPr>
            <w:tcW w:w="70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4"/>
                <w:szCs w:val="14"/>
                <w:color w:val="auto"/>
              </w:rPr>
              <w:t>44,218</w:t>
            </w:r>
          </w:p>
        </w:tc>
        <w:tc>
          <w:tcPr>
            <w:tcW w:w="9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4"/>
                <w:szCs w:val="14"/>
                <w:color w:val="auto"/>
              </w:rPr>
              <w:t>9,476</w:t>
            </w:r>
          </w:p>
        </w:tc>
        <w:tc>
          <w:tcPr>
            <w:tcW w:w="1220" w:type="dxa"/>
            <w:vAlign w:val="bottom"/>
            <w:tcBorders>
              <w:bottom w:val="single" w:sz="8" w:color="auto"/>
              <w:right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748,607</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0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Kevin Nash</w:t>
            </w:r>
          </w:p>
        </w:tc>
        <w:tc>
          <w:tcPr>
            <w:tcW w:w="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02/15/24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208,125</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416,250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832,500</w:t>
            </w:r>
          </w:p>
        </w:tc>
        <w:tc>
          <w:tcPr>
            <w:tcW w:w="72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10,670</w:t>
            </w:r>
          </w:p>
        </w:tc>
        <w:tc>
          <w:tcPr>
            <w:tcW w:w="760" w:type="dxa"/>
            <w:vAlign w:val="bottom"/>
            <w:tcBorders>
              <w:bottom w:val="single" w:sz="8" w:color="auto"/>
              <w:right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21,340</w:t>
            </w:r>
          </w:p>
        </w:tc>
        <w:tc>
          <w:tcPr>
            <w:tcW w:w="700" w:type="dxa"/>
            <w:vAlign w:val="bottom"/>
            <w:tcBorders>
              <w:bottom w:val="single" w:sz="8" w:color="auto"/>
              <w:right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42,680</w:t>
            </w:r>
          </w:p>
        </w:tc>
        <w:tc>
          <w:tcPr>
            <w:tcW w:w="9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4"/>
                <w:szCs w:val="14"/>
                <w:color w:val="auto"/>
              </w:rPr>
              <w:t>9,146</w:t>
            </w:r>
          </w:p>
        </w:tc>
        <w:tc>
          <w:tcPr>
            <w:tcW w:w="1220" w:type="dxa"/>
            <w:vAlign w:val="bottom"/>
            <w:tcBorders>
              <w:bottom w:val="single" w:sz="8" w:color="auto"/>
              <w:right w:val="single" w:sz="8" w:color="auto"/>
            </w:tcBorders>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775,584</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Matt Chiodo</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02/15/24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4"/>
                <w:szCs w:val="14"/>
                <w:color w:val="auto"/>
              </w:rPr>
              <w:t>180,000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4"/>
                <w:szCs w:val="14"/>
                <w:color w:val="auto"/>
              </w:rPr>
              <w:t>360,000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4"/>
                <w:szCs w:val="14"/>
                <w:color w:val="auto"/>
              </w:rPr>
              <w:t>720,000</w:t>
            </w:r>
          </w:p>
        </w:tc>
        <w:tc>
          <w:tcPr>
            <w:tcW w:w="72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4"/>
                <w:szCs w:val="14"/>
                <w:color w:val="auto"/>
              </w:rPr>
              <w:t>7,732</w:t>
            </w:r>
          </w:p>
        </w:tc>
        <w:tc>
          <w:tcPr>
            <w:tcW w:w="76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4"/>
                <w:szCs w:val="14"/>
                <w:color w:val="auto"/>
              </w:rPr>
              <w:t>15,464</w:t>
            </w:r>
          </w:p>
        </w:tc>
        <w:tc>
          <w:tcPr>
            <w:tcW w:w="70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4"/>
                <w:szCs w:val="14"/>
                <w:color w:val="auto"/>
              </w:rPr>
              <w:t>30,928</w:t>
            </w:r>
          </w:p>
        </w:tc>
        <w:tc>
          <w:tcPr>
            <w:tcW w:w="9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4"/>
                <w:szCs w:val="14"/>
                <w:color w:val="auto"/>
              </w:rPr>
              <w:t>6,628</w:t>
            </w:r>
          </w:p>
        </w:tc>
        <w:tc>
          <w:tcPr>
            <w:tcW w:w="1220" w:type="dxa"/>
            <w:vAlign w:val="bottom"/>
            <w:tcBorders>
              <w:bottom w:val="single" w:sz="8" w:color="auto"/>
              <w:right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542,477</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0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Scott Ryan</w:t>
            </w:r>
          </w:p>
        </w:tc>
        <w:tc>
          <w:tcPr>
            <w:tcW w:w="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02/15/24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165,000</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330,000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660,000</w:t>
            </w:r>
          </w:p>
        </w:tc>
        <w:tc>
          <w:tcPr>
            <w:tcW w:w="72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7,088</w:t>
            </w:r>
          </w:p>
        </w:tc>
        <w:tc>
          <w:tcPr>
            <w:tcW w:w="760" w:type="dxa"/>
            <w:vAlign w:val="bottom"/>
            <w:tcBorders>
              <w:bottom w:val="single" w:sz="8" w:color="auto"/>
              <w:right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14,175</w:t>
            </w:r>
          </w:p>
        </w:tc>
        <w:tc>
          <w:tcPr>
            <w:tcW w:w="700" w:type="dxa"/>
            <w:vAlign w:val="bottom"/>
            <w:tcBorders>
              <w:bottom w:val="single" w:sz="8" w:color="auto"/>
              <w:right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28,350</w:t>
            </w:r>
          </w:p>
        </w:tc>
        <w:tc>
          <w:tcPr>
            <w:tcW w:w="9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4"/>
                <w:szCs w:val="14"/>
                <w:color w:val="auto"/>
              </w:rPr>
              <w:t>6,075</w:t>
            </w:r>
          </w:p>
        </w:tc>
        <w:tc>
          <w:tcPr>
            <w:tcW w:w="1220" w:type="dxa"/>
            <w:vAlign w:val="bottom"/>
            <w:tcBorders>
              <w:bottom w:val="single" w:sz="8" w:color="auto"/>
              <w:right w:val="single" w:sz="8" w:color="auto"/>
            </w:tcBorders>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497,259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Grant Date is the date when the Compensation Committee's recommendation was approved by the entire Board.</w:t>
      </w:r>
    </w:p>
    <w:p>
      <w:pPr>
        <w:spacing w:after="0" w:line="30" w:lineRule="exact"/>
        <w:rPr>
          <w:sz w:val="20"/>
          <w:szCs w:val="20"/>
          <w:color w:val="auto"/>
        </w:rPr>
      </w:pPr>
    </w:p>
    <w:p>
      <w:pPr>
        <w:jc w:val="both"/>
        <w:ind w:left="380" w:right="340"/>
        <w:spacing w:after="0" w:line="214" w:lineRule="auto"/>
        <w:rPr>
          <w:sz w:val="20"/>
          <w:szCs w:val="20"/>
          <w:color w:val="auto"/>
        </w:rPr>
      </w:pPr>
      <w:r>
        <w:rPr>
          <w:rFonts w:ascii="Arial" w:cs="Arial" w:eastAsia="Arial" w:hAnsi="Arial"/>
          <w:sz w:val="17"/>
          <w:szCs w:val="17"/>
          <w:color w:val="auto"/>
        </w:rPr>
        <w:t>For 2024 under the Annual Incentive Plan, the Compensation Committee has established ratios of 50% of base salary for the President and CEO and 37.5% of base salary for the other NEOs upon achievement of the threshold, 100% of base salary for the President and CEO and 75% of base salary for the other NEOs upon achievement of the target, and another 100% of base salary for the President and CEO and</w:t>
      </w:r>
    </w:p>
    <w:p>
      <w:pPr>
        <w:spacing w:after="0" w:line="2" w:lineRule="exact"/>
        <w:rPr>
          <w:sz w:val="20"/>
          <w:szCs w:val="20"/>
          <w:color w:val="auto"/>
        </w:rPr>
      </w:pPr>
    </w:p>
    <w:p>
      <w:pPr>
        <w:jc w:val="both"/>
        <w:ind w:left="380" w:right="340"/>
        <w:spacing w:after="0" w:line="210" w:lineRule="auto"/>
        <w:rPr>
          <w:sz w:val="20"/>
          <w:szCs w:val="20"/>
          <w:color w:val="auto"/>
        </w:rPr>
      </w:pPr>
      <w:r>
        <w:rPr>
          <w:rFonts w:ascii="Arial" w:cs="Arial" w:eastAsia="Arial" w:hAnsi="Arial"/>
          <w:sz w:val="17"/>
          <w:szCs w:val="17"/>
          <w:color w:val="auto"/>
        </w:rPr>
        <w:t>another 75% of base salary for the other NEOs upon achievement of the maximum, representing potential payments to NEOs. At their February 2024 meetings, the Compensation Committee and the Board also established thresholds, targets, and maximums for the Revenue, Operating Income, and Earnings per Diluted Share performance metrics. As such, the columns reflect potential payments for</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each NEO under the Annual Incentive Plan.</w:t>
      </w:r>
    </w:p>
    <w:p>
      <w:pPr>
        <w:spacing w:after="0" w:line="14" w:lineRule="exact"/>
        <w:rPr>
          <w:sz w:val="20"/>
          <w:szCs w:val="20"/>
          <w:color w:val="auto"/>
        </w:rPr>
      </w:pPr>
    </w:p>
    <w:p>
      <w:pPr>
        <w:jc w:val="both"/>
        <w:ind w:left="380" w:right="340"/>
        <w:spacing w:after="0" w:line="214" w:lineRule="auto"/>
        <w:rPr>
          <w:sz w:val="20"/>
          <w:szCs w:val="20"/>
          <w:color w:val="auto"/>
        </w:rPr>
      </w:pPr>
      <w:r>
        <w:rPr>
          <w:rFonts w:ascii="Arial" w:cs="Arial" w:eastAsia="Arial" w:hAnsi="Arial"/>
          <w:sz w:val="17"/>
          <w:szCs w:val="17"/>
          <w:color w:val="auto"/>
        </w:rPr>
        <w:t>These columns reflect the potential issuance of shares of common stock for each NEO under the PSA component of the Long-Term Incentive Plan for 2024. PSAs accounted for seventy percent (70%) of the Long-Term Incentive Plan awards in 2024, as discussed in the Long-Term Incentive Plan section of "Compensation Discussion and Analysis". Such PSAs cliff vest at the end of a three year period based</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on the Company's performance against established metrics as discussed in "Compensation Discussion and Analysis".</w:t>
      </w:r>
    </w:p>
    <w:p>
      <w:pPr>
        <w:spacing w:after="0" w:line="20" w:lineRule="exact"/>
        <w:rPr>
          <w:sz w:val="20"/>
          <w:szCs w:val="20"/>
          <w:color w:val="auto"/>
        </w:rPr>
      </w:pPr>
    </w:p>
    <w:p>
      <w:pPr>
        <w:jc w:val="both"/>
        <w:ind w:left="380" w:right="340"/>
        <w:spacing w:after="0" w:line="255" w:lineRule="auto"/>
        <w:rPr>
          <w:sz w:val="20"/>
          <w:szCs w:val="20"/>
          <w:color w:val="auto"/>
        </w:rPr>
      </w:pPr>
      <w:r>
        <w:rPr>
          <w:rFonts w:ascii="Arial" w:cs="Arial" w:eastAsia="Arial" w:hAnsi="Arial"/>
          <w:sz w:val="17"/>
          <w:szCs w:val="17"/>
          <w:color w:val="auto"/>
        </w:rPr>
        <w:t>Included in this column are the number of shares of restricted common stock awarded under the Long-Term Incentive Plan at target (see also footnote (2) above). RS accounted for thirty percent (30%) of the Long-Term Incentive Plan awards in 2024 as discussed in the Long-Term Incentive Plan section of "Compensation Discussion and Analysis." Such RS cliff vests three (3) years from the grant date.</w:t>
      </w:r>
    </w:p>
    <w:p>
      <w:pPr>
        <w:spacing w:after="0" w:line="21" w:lineRule="exact"/>
        <w:rPr>
          <w:sz w:val="20"/>
          <w:szCs w:val="20"/>
          <w:color w:val="auto"/>
        </w:rPr>
      </w:pPr>
    </w:p>
    <w:p>
      <w:pPr>
        <w:jc w:val="both"/>
        <w:ind w:left="380" w:right="340"/>
        <w:spacing w:after="0" w:line="254" w:lineRule="auto"/>
        <w:rPr>
          <w:sz w:val="20"/>
          <w:szCs w:val="20"/>
          <w:color w:val="auto"/>
        </w:rPr>
      </w:pPr>
      <w:r>
        <w:rPr>
          <w:rFonts w:ascii="Arial" w:cs="Arial" w:eastAsia="Arial" w:hAnsi="Arial"/>
          <w:sz w:val="17"/>
          <w:szCs w:val="17"/>
          <w:color w:val="auto"/>
        </w:rPr>
        <w:t>This column represents the fair value (at grant date) of RS awards and PSAs granted to each of the NEOs in 2024 at target. See the Company's Annual Report on Form 10-K, Note 5, for the year ended December 31, 2024 for the assumptions made in the valuation of RS awards and PSAs. See also footnote (1) the "Summary Compensation Table" for the value of PSAs at grant date if maximum performance is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60"/>
          </w:cols>
          <w:pgMar w:left="220" w:top="879" w:right="319" w:bottom="1440" w:gutter="0" w:footer="0" w:header="0"/>
        </w:sectPr>
      </w:pPr>
    </w:p>
    <w:bookmarkStart w:id="37" w:name="page38"/>
    <w:bookmarkEnd w:id="37"/>
    <w:p>
      <w:pPr>
        <w:spacing w:after="0"/>
        <w:rPr>
          <w:sz w:val="20"/>
          <w:szCs w:val="20"/>
          <w:color w:val="auto"/>
        </w:rPr>
      </w:pPr>
      <w:r>
        <w:rPr>
          <w:rFonts w:ascii="Arial" w:cs="Arial" w:eastAsia="Arial" w:hAnsi="Arial"/>
          <w:sz w:val="19"/>
          <w:szCs w:val="19"/>
          <w:b w:val="1"/>
          <w:bCs w:val="1"/>
          <w:u w:val="single" w:color="auto"/>
          <w:color w:val="auto"/>
        </w:rPr>
        <w:t>Outstanding Equity Awards at Fiscal Year End</w:t>
      </w:r>
    </w:p>
    <w:p>
      <w:pPr>
        <w:spacing w:after="0" w:line="25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shows outstanding stock option awards classified as exercisable and unexercisable as of December 31, 2024, for the</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860" w:type="dxa"/>
            <w:vAlign w:val="bottom"/>
          </w:tcPr>
          <w:p>
            <w:pPr>
              <w:spacing w:after="0"/>
              <w:rPr>
                <w:sz w:val="20"/>
                <w:szCs w:val="20"/>
                <w:color w:val="auto"/>
              </w:rPr>
            </w:pPr>
            <w:r>
              <w:rPr>
                <w:rFonts w:ascii="Arial" w:cs="Arial" w:eastAsia="Arial" w:hAnsi="Arial"/>
                <w:sz w:val="17"/>
                <w:szCs w:val="17"/>
                <w:color w:val="auto"/>
              </w:rPr>
              <w:t>NEOs.</w:t>
            </w:r>
          </w:p>
        </w:tc>
        <w:tc>
          <w:tcPr>
            <w:tcW w:w="300" w:type="dxa"/>
            <w:vAlign w:val="bottom"/>
          </w:tcPr>
          <w:p>
            <w:pPr>
              <w:ind w:left="20"/>
              <w:spacing w:after="0"/>
              <w:rPr>
                <w:sz w:val="20"/>
                <w:szCs w:val="20"/>
                <w:color w:val="auto"/>
              </w:rPr>
            </w:pPr>
            <w:r>
              <w:rPr>
                <w:rFonts w:ascii="Arial" w:cs="Arial" w:eastAsia="Arial" w:hAnsi="Arial"/>
                <w:sz w:val="17"/>
                <w:szCs w:val="17"/>
                <w:color w:val="auto"/>
              </w:rPr>
              <w:t>It</w:t>
            </w:r>
          </w:p>
        </w:tc>
        <w:tc>
          <w:tcPr>
            <w:tcW w:w="800" w:type="dxa"/>
            <w:vAlign w:val="bottom"/>
          </w:tcPr>
          <w:p>
            <w:pPr>
              <w:ind w:left="180"/>
              <w:spacing w:after="0"/>
              <w:rPr>
                <w:sz w:val="20"/>
                <w:szCs w:val="20"/>
                <w:color w:val="auto"/>
              </w:rPr>
            </w:pPr>
            <w:r>
              <w:rPr>
                <w:rFonts w:ascii="Arial" w:cs="Arial" w:eastAsia="Arial" w:hAnsi="Arial"/>
                <w:sz w:val="17"/>
                <w:szCs w:val="17"/>
                <w:color w:val="auto"/>
              </w:rPr>
              <w:t>also</w:t>
            </w:r>
          </w:p>
        </w:tc>
        <w:tc>
          <w:tcPr>
            <w:tcW w:w="580" w:type="dxa"/>
            <w:vAlign w:val="bottom"/>
          </w:tcPr>
          <w:p>
            <w:pPr>
              <w:ind w:left="80"/>
              <w:spacing w:after="0"/>
              <w:rPr>
                <w:sz w:val="20"/>
                <w:szCs w:val="20"/>
                <w:color w:val="auto"/>
              </w:rPr>
            </w:pPr>
            <w:r>
              <w:rPr>
                <w:rFonts w:ascii="Arial" w:cs="Arial" w:eastAsia="Arial" w:hAnsi="Arial"/>
                <w:sz w:val="17"/>
                <w:szCs w:val="17"/>
                <w:color w:val="auto"/>
                <w:w w:val="99"/>
              </w:rPr>
              <w:t>shows</w:t>
            </w:r>
          </w:p>
        </w:tc>
        <w:tc>
          <w:tcPr>
            <w:tcW w:w="600" w:type="dxa"/>
            <w:vAlign w:val="bottom"/>
            <w:gridSpan w:val="2"/>
          </w:tcPr>
          <w:p>
            <w:pPr>
              <w:ind w:left="340"/>
              <w:spacing w:after="0"/>
              <w:rPr>
                <w:sz w:val="20"/>
                <w:szCs w:val="20"/>
                <w:color w:val="auto"/>
              </w:rPr>
            </w:pPr>
            <w:r>
              <w:rPr>
                <w:rFonts w:ascii="Arial" w:cs="Arial" w:eastAsia="Arial" w:hAnsi="Arial"/>
                <w:sz w:val="17"/>
                <w:szCs w:val="17"/>
                <w:color w:val="auto"/>
              </w:rPr>
              <w:t>RS</w:t>
            </w:r>
          </w:p>
        </w:tc>
        <w:tc>
          <w:tcPr>
            <w:tcW w:w="940" w:type="dxa"/>
            <w:vAlign w:val="bottom"/>
            <w:gridSpan w:val="2"/>
          </w:tcPr>
          <w:p>
            <w:pPr>
              <w:ind w:left="360"/>
              <w:spacing w:after="0"/>
              <w:rPr>
                <w:sz w:val="20"/>
                <w:szCs w:val="20"/>
                <w:color w:val="auto"/>
              </w:rPr>
            </w:pPr>
            <w:r>
              <w:rPr>
                <w:rFonts w:ascii="Arial" w:cs="Arial" w:eastAsia="Arial" w:hAnsi="Arial"/>
                <w:sz w:val="17"/>
                <w:szCs w:val="17"/>
                <w:color w:val="auto"/>
              </w:rPr>
              <w:t>awards</w:t>
            </w:r>
          </w:p>
        </w:tc>
        <w:tc>
          <w:tcPr>
            <w:tcW w:w="980" w:type="dxa"/>
            <w:vAlign w:val="bottom"/>
          </w:tcPr>
          <w:p>
            <w:pPr>
              <w:jc w:val="center"/>
              <w:spacing w:after="0"/>
              <w:rPr>
                <w:sz w:val="20"/>
                <w:szCs w:val="20"/>
                <w:color w:val="auto"/>
              </w:rPr>
            </w:pPr>
            <w:r>
              <w:rPr>
                <w:rFonts w:ascii="Arial" w:cs="Arial" w:eastAsia="Arial" w:hAnsi="Arial"/>
                <w:sz w:val="17"/>
                <w:szCs w:val="17"/>
                <w:color w:val="auto"/>
              </w:rPr>
              <w:t>and</w:t>
            </w:r>
          </w:p>
        </w:tc>
        <w:tc>
          <w:tcPr>
            <w:tcW w:w="760" w:type="dxa"/>
            <w:vAlign w:val="bottom"/>
            <w:gridSpan w:val="2"/>
          </w:tcPr>
          <w:p>
            <w:pPr>
              <w:ind w:left="20"/>
              <w:spacing w:after="0"/>
              <w:rPr>
                <w:sz w:val="20"/>
                <w:szCs w:val="20"/>
                <w:color w:val="auto"/>
              </w:rPr>
            </w:pPr>
            <w:r>
              <w:rPr>
                <w:rFonts w:ascii="Arial" w:cs="Arial" w:eastAsia="Arial" w:hAnsi="Arial"/>
                <w:sz w:val="17"/>
                <w:szCs w:val="17"/>
                <w:color w:val="auto"/>
              </w:rPr>
              <w:t>PSAs</w:t>
            </w:r>
          </w:p>
        </w:tc>
        <w:tc>
          <w:tcPr>
            <w:tcW w:w="480" w:type="dxa"/>
            <w:vAlign w:val="bottom"/>
          </w:tcPr>
          <w:p>
            <w:pPr>
              <w:ind w:left="60"/>
              <w:spacing w:after="0"/>
              <w:rPr>
                <w:sz w:val="20"/>
                <w:szCs w:val="20"/>
                <w:color w:val="auto"/>
              </w:rPr>
            </w:pPr>
            <w:r>
              <w:rPr>
                <w:rFonts w:ascii="Arial" w:cs="Arial" w:eastAsia="Arial" w:hAnsi="Arial"/>
                <w:sz w:val="17"/>
                <w:szCs w:val="17"/>
                <w:color w:val="auto"/>
              </w:rPr>
              <w:t>not</w:t>
            </w:r>
          </w:p>
        </w:tc>
        <w:tc>
          <w:tcPr>
            <w:tcW w:w="800" w:type="dxa"/>
            <w:vAlign w:val="bottom"/>
          </w:tcPr>
          <w:p>
            <w:pPr>
              <w:ind w:left="200"/>
              <w:spacing w:after="0"/>
              <w:rPr>
                <w:sz w:val="20"/>
                <w:szCs w:val="20"/>
                <w:color w:val="auto"/>
              </w:rPr>
            </w:pPr>
            <w:r>
              <w:rPr>
                <w:rFonts w:ascii="Arial" w:cs="Arial" w:eastAsia="Arial" w:hAnsi="Arial"/>
                <w:sz w:val="17"/>
                <w:szCs w:val="17"/>
                <w:color w:val="auto"/>
              </w:rPr>
              <w:t>yet</w:t>
            </w:r>
          </w:p>
        </w:tc>
        <w:tc>
          <w:tcPr>
            <w:tcW w:w="520" w:type="dxa"/>
            <w:vAlign w:val="bottom"/>
          </w:tcPr>
          <w:p>
            <w:pPr>
              <w:spacing w:after="0"/>
              <w:rPr>
                <w:sz w:val="20"/>
                <w:szCs w:val="20"/>
                <w:color w:val="auto"/>
              </w:rPr>
            </w:pPr>
            <w:r>
              <w:rPr>
                <w:rFonts w:ascii="Arial" w:cs="Arial" w:eastAsia="Arial" w:hAnsi="Arial"/>
                <w:sz w:val="17"/>
                <w:szCs w:val="17"/>
                <w:color w:val="auto"/>
                <w:w w:val="99"/>
              </w:rPr>
              <w:t>vested</w:t>
            </w:r>
          </w:p>
        </w:tc>
        <w:tc>
          <w:tcPr>
            <w:tcW w:w="540" w:type="dxa"/>
            <w:vAlign w:val="bottom"/>
            <w:gridSpan w:val="2"/>
          </w:tcPr>
          <w:p>
            <w:pPr>
              <w:ind w:left="340"/>
              <w:spacing w:after="0"/>
              <w:rPr>
                <w:sz w:val="20"/>
                <w:szCs w:val="20"/>
                <w:color w:val="auto"/>
              </w:rPr>
            </w:pPr>
            <w:r>
              <w:rPr>
                <w:rFonts w:ascii="Arial" w:cs="Arial" w:eastAsia="Arial" w:hAnsi="Arial"/>
                <w:sz w:val="17"/>
                <w:szCs w:val="17"/>
                <w:color w:val="auto"/>
                <w:w w:val="99"/>
              </w:rPr>
              <w:t>as</w:t>
            </w:r>
          </w:p>
        </w:tc>
        <w:tc>
          <w:tcPr>
            <w:tcW w:w="900" w:type="dxa"/>
            <w:vAlign w:val="bottom"/>
          </w:tcPr>
          <w:p>
            <w:pPr>
              <w:jc w:val="right"/>
              <w:ind w:right="340"/>
              <w:spacing w:after="0"/>
              <w:rPr>
                <w:sz w:val="20"/>
                <w:szCs w:val="20"/>
                <w:color w:val="auto"/>
              </w:rPr>
            </w:pPr>
            <w:r>
              <w:rPr>
                <w:rFonts w:ascii="Arial" w:cs="Arial" w:eastAsia="Arial" w:hAnsi="Arial"/>
                <w:sz w:val="17"/>
                <w:szCs w:val="17"/>
                <w:color w:val="auto"/>
              </w:rPr>
              <w:t>of</w:t>
            </w:r>
          </w:p>
        </w:tc>
        <w:tc>
          <w:tcPr>
            <w:tcW w:w="980" w:type="dxa"/>
            <w:vAlign w:val="bottom"/>
          </w:tcPr>
          <w:p>
            <w:pPr>
              <w:jc w:val="right"/>
              <w:ind w:right="161"/>
              <w:spacing w:after="0"/>
              <w:rPr>
                <w:sz w:val="20"/>
                <w:szCs w:val="20"/>
                <w:color w:val="auto"/>
              </w:rPr>
            </w:pPr>
            <w:r>
              <w:rPr>
                <w:rFonts w:ascii="Arial" w:cs="Arial" w:eastAsia="Arial" w:hAnsi="Arial"/>
                <w:sz w:val="17"/>
                <w:szCs w:val="17"/>
                <w:color w:val="auto"/>
                <w:w w:val="94"/>
              </w:rPr>
              <w:t>December</w:t>
            </w:r>
          </w:p>
        </w:tc>
        <w:tc>
          <w:tcPr>
            <w:tcW w:w="460" w:type="dxa"/>
            <w:vAlign w:val="bottom"/>
          </w:tcPr>
          <w:p>
            <w:pPr>
              <w:jc w:val="right"/>
              <w:ind w:right="4"/>
              <w:spacing w:after="0"/>
              <w:rPr>
                <w:sz w:val="20"/>
                <w:szCs w:val="20"/>
                <w:color w:val="auto"/>
              </w:rPr>
            </w:pPr>
            <w:r>
              <w:rPr>
                <w:rFonts w:ascii="Arial" w:cs="Arial" w:eastAsia="Arial" w:hAnsi="Arial"/>
                <w:sz w:val="17"/>
                <w:szCs w:val="17"/>
                <w:color w:val="auto"/>
              </w:rPr>
              <w:t>31,</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215"/>
        </w:trPr>
        <w:tc>
          <w:tcPr>
            <w:tcW w:w="860" w:type="dxa"/>
            <w:vAlign w:val="bottom"/>
            <w:tcBorders>
              <w:top w:val="single" w:sz="8" w:color="auto"/>
              <w:left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6520" w:type="dxa"/>
            <w:vAlign w:val="bottom"/>
            <w:tcBorders>
              <w:top w:val="single" w:sz="8" w:color="auto"/>
              <w:bottom w:val="single" w:sz="8" w:color="auto"/>
            </w:tcBorders>
            <w:gridSpan w:val="13"/>
          </w:tcPr>
          <w:p>
            <w:pPr>
              <w:jc w:val="right"/>
              <w:ind w:right="600"/>
              <w:spacing w:after="0"/>
              <w:rPr>
                <w:sz w:val="20"/>
                <w:szCs w:val="20"/>
                <w:color w:val="auto"/>
              </w:rPr>
            </w:pPr>
            <w:r>
              <w:rPr>
                <w:rFonts w:ascii="Arial" w:cs="Arial" w:eastAsia="Arial" w:hAnsi="Arial"/>
                <w:sz w:val="17"/>
                <w:szCs w:val="17"/>
                <w:b w:val="1"/>
                <w:bCs w:val="1"/>
                <w:color w:val="auto"/>
              </w:rPr>
              <w:t>Outstanding Equity Awards at Fiscal Year-End at December 31, 2024</w:t>
            </w:r>
          </w:p>
        </w:tc>
        <w:tc>
          <w:tcPr>
            <w:tcW w:w="9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860" w:type="dxa"/>
            <w:vAlign w:val="bottom"/>
            <w:tcBorders>
              <w:left w:val="single" w:sz="8" w:color="auto"/>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Option Awards</w:t>
            </w:r>
          </w:p>
        </w:tc>
        <w:tc>
          <w:tcPr>
            <w:tcW w:w="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381"/>
              <w:spacing w:after="0"/>
              <w:rPr>
                <w:sz w:val="20"/>
                <w:szCs w:val="20"/>
                <w:color w:val="auto"/>
              </w:rPr>
            </w:pPr>
            <w:r>
              <w:rPr>
                <w:rFonts w:ascii="Arial" w:cs="Arial" w:eastAsia="Arial" w:hAnsi="Arial"/>
                <w:sz w:val="14"/>
                <w:szCs w:val="14"/>
                <w:b w:val="1"/>
                <w:bCs w:val="1"/>
                <w:color w:val="auto"/>
              </w:rPr>
              <w:t>Stock Awards</w:t>
            </w:r>
          </w:p>
        </w:tc>
        <w:tc>
          <w:tcPr>
            <w:tcW w:w="46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860" w:type="dxa"/>
            <w:vAlign w:val="bottom"/>
            <w:tcBorders>
              <w:lef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580" w:type="dxa"/>
            <w:vAlign w:val="bottom"/>
          </w:tcPr>
          <w:p>
            <w:pPr>
              <w:jc w:val="center"/>
              <w:ind w:left="364"/>
              <w:spacing w:after="0" w:line="97" w:lineRule="exact"/>
              <w:rPr>
                <w:sz w:val="20"/>
                <w:szCs w:val="20"/>
                <w:color w:val="auto"/>
              </w:rPr>
            </w:pPr>
            <w:r>
              <w:rPr>
                <w:rFonts w:ascii="Arial" w:cs="Arial" w:eastAsia="Arial" w:hAnsi="Arial"/>
                <w:sz w:val="10"/>
                <w:szCs w:val="10"/>
                <w:b w:val="1"/>
                <w:bCs w:val="1"/>
                <w:color w:val="auto"/>
                <w:w w:val="97"/>
              </w:rPr>
              <w:t>(1)</w:t>
            </w:r>
          </w:p>
        </w:tc>
        <w:tc>
          <w:tcPr>
            <w:tcW w:w="46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Equity Incentive</w:t>
            </w:r>
          </w:p>
        </w:tc>
        <w:tc>
          <w:tcPr>
            <w:tcW w:w="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0"/>
                <w:szCs w:val="10"/>
                <w:b w:val="1"/>
                <w:bCs w:val="1"/>
                <w:color w:val="auto"/>
              </w:rPr>
              <w:t>(5)</w:t>
            </w:r>
          </w:p>
        </w:tc>
        <w:tc>
          <w:tcPr>
            <w:tcW w:w="460" w:type="dxa"/>
            <w:vAlign w:val="bottom"/>
          </w:tcPr>
          <w:p>
            <w:pPr>
              <w:spacing w:after="0"/>
              <w:rPr>
                <w:sz w:val="8"/>
                <w:szCs w:val="8"/>
                <w:color w:val="auto"/>
              </w:rPr>
            </w:pPr>
          </w:p>
        </w:tc>
        <w:tc>
          <w:tcPr>
            <w:tcW w:w="720" w:type="dxa"/>
            <w:vAlign w:val="bottom"/>
            <w:tcBorders>
              <w:right w:val="single" w:sz="8" w:color="auto"/>
            </w:tcBorders>
            <w:vMerge w:val="restart"/>
          </w:tcPr>
          <w:p>
            <w:pPr>
              <w:jc w:val="center"/>
              <w:ind w:right="420"/>
              <w:spacing w:after="0"/>
              <w:rPr>
                <w:sz w:val="20"/>
                <w:szCs w:val="20"/>
                <w:color w:val="auto"/>
              </w:rPr>
            </w:pPr>
            <w:r>
              <w:rPr>
                <w:rFonts w:ascii="Arial" w:cs="Arial" w:eastAsia="Arial" w:hAnsi="Arial"/>
                <w:sz w:val="10"/>
                <w:szCs w:val="10"/>
                <w:b w:val="1"/>
                <w:bCs w:val="1"/>
                <w:color w:val="auto"/>
                <w:w w:val="97"/>
              </w:rPr>
              <w:t>(6)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860" w:type="dxa"/>
            <w:vAlign w:val="bottom"/>
            <w:tcBorders>
              <w:lef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gridSpan w:val="2"/>
          </w:tcPr>
          <w:p>
            <w:pPr>
              <w:jc w:val="center"/>
              <w:spacing w:after="0" w:line="104" w:lineRule="exact"/>
              <w:rPr>
                <w:sz w:val="20"/>
                <w:szCs w:val="20"/>
                <w:color w:val="auto"/>
              </w:rPr>
            </w:pPr>
            <w:r>
              <w:rPr>
                <w:rFonts w:ascii="Arial" w:cs="Arial" w:eastAsia="Arial" w:hAnsi="Arial"/>
                <w:sz w:val="10"/>
                <w:szCs w:val="10"/>
                <w:b w:val="1"/>
                <w:bCs w:val="1"/>
                <w:color w:val="auto"/>
              </w:rPr>
              <w:t>Number</w:t>
            </w:r>
          </w:p>
        </w:tc>
        <w:tc>
          <w:tcPr>
            <w:tcW w:w="140" w:type="dxa"/>
            <w:vAlign w:val="bottom"/>
          </w:tcPr>
          <w:p>
            <w:pPr>
              <w:spacing w:after="0"/>
              <w:rPr>
                <w:sz w:val="8"/>
                <w:szCs w:val="8"/>
                <w:color w:val="auto"/>
              </w:rPr>
            </w:pPr>
          </w:p>
        </w:tc>
        <w:tc>
          <w:tcPr>
            <w:tcW w:w="880" w:type="dxa"/>
            <w:vAlign w:val="bottom"/>
            <w:tcBorders>
              <w:right w:val="single" w:sz="8" w:color="auto"/>
            </w:tcBorders>
            <w:vMerge w:val="restart"/>
          </w:tcPr>
          <w:p>
            <w:pPr>
              <w:jc w:val="center"/>
              <w:ind w:right="101"/>
              <w:spacing w:after="0"/>
              <w:rPr>
                <w:sz w:val="20"/>
                <w:szCs w:val="20"/>
                <w:color w:val="auto"/>
              </w:rPr>
            </w:pPr>
            <w:r>
              <w:rPr>
                <w:rFonts w:ascii="Arial" w:cs="Arial" w:eastAsia="Arial" w:hAnsi="Arial"/>
                <w:sz w:val="10"/>
                <w:szCs w:val="10"/>
                <w:b w:val="1"/>
                <w:bCs w:val="1"/>
                <w:color w:val="auto"/>
              </w:rPr>
              <w:t>Number of</w:t>
            </w:r>
          </w:p>
        </w:tc>
        <w:tc>
          <w:tcPr>
            <w:tcW w:w="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rPr>
              <w:t>Equity Incentive</w:t>
            </w:r>
          </w:p>
        </w:tc>
        <w:tc>
          <w:tcPr>
            <w:tcW w:w="460" w:type="dxa"/>
            <w:vAlign w:val="bottom"/>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860" w:type="dxa"/>
            <w:vAlign w:val="bottom"/>
            <w:tcBorders>
              <w:lef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580" w:type="dxa"/>
            <w:vAlign w:val="bottom"/>
          </w:tcPr>
          <w:p>
            <w:pPr>
              <w:jc w:val="center"/>
              <w:ind w:left="384"/>
              <w:spacing w:after="0" w:line="104" w:lineRule="exact"/>
              <w:rPr>
                <w:sz w:val="20"/>
                <w:szCs w:val="20"/>
                <w:color w:val="auto"/>
              </w:rPr>
            </w:pPr>
            <w:r>
              <w:rPr>
                <w:rFonts w:ascii="Arial" w:cs="Arial" w:eastAsia="Arial" w:hAnsi="Arial"/>
                <w:sz w:val="10"/>
                <w:szCs w:val="10"/>
                <w:b w:val="1"/>
                <w:bCs w:val="1"/>
                <w:color w:val="auto"/>
              </w:rPr>
              <w:t>of</w:t>
            </w:r>
          </w:p>
        </w:tc>
        <w:tc>
          <w:tcPr>
            <w:tcW w:w="46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Plan Awards:</w:t>
            </w:r>
          </w:p>
        </w:tc>
        <w:tc>
          <w:tcPr>
            <w:tcW w:w="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0"/>
                <w:szCs w:val="10"/>
                <w:b w:val="1"/>
                <w:bCs w:val="1"/>
                <w:color w:val="auto"/>
              </w:rPr>
              <w:t>(3)</w:t>
            </w:r>
          </w:p>
        </w:tc>
        <w:tc>
          <w:tcPr>
            <w:tcW w:w="80" w:type="dxa"/>
            <w:vAlign w:val="bottom"/>
          </w:tcPr>
          <w:p>
            <w:pPr>
              <w:spacing w:after="0"/>
              <w:rPr>
                <w:sz w:val="8"/>
                <w:szCs w:val="8"/>
                <w:color w:val="auto"/>
              </w:rPr>
            </w:pPr>
          </w:p>
        </w:tc>
        <w:tc>
          <w:tcPr>
            <w:tcW w:w="900" w:type="dxa"/>
            <w:vAlign w:val="bottom"/>
            <w:tcBorders>
              <w:right w:val="single" w:sz="8" w:color="auto"/>
            </w:tcBorders>
            <w:vMerge w:val="restart"/>
          </w:tcPr>
          <w:p>
            <w:pPr>
              <w:jc w:val="center"/>
              <w:ind w:right="60"/>
              <w:spacing w:after="0"/>
              <w:rPr>
                <w:sz w:val="20"/>
                <w:szCs w:val="20"/>
                <w:color w:val="auto"/>
              </w:rPr>
            </w:pPr>
            <w:r>
              <w:rPr>
                <w:rFonts w:ascii="Arial" w:cs="Arial" w:eastAsia="Arial" w:hAnsi="Arial"/>
                <w:sz w:val="10"/>
                <w:szCs w:val="10"/>
                <w:b w:val="1"/>
                <w:bCs w:val="1"/>
                <w:color w:val="auto"/>
              </w:rPr>
              <w:t>(4)</w:t>
            </w:r>
          </w:p>
        </w:tc>
        <w:tc>
          <w:tcPr>
            <w:tcW w:w="98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rPr>
              <w:t>Plan Awards:</w:t>
            </w:r>
          </w:p>
        </w:tc>
        <w:tc>
          <w:tcPr>
            <w:tcW w:w="1180" w:type="dxa"/>
            <w:vAlign w:val="bottom"/>
            <w:tcBorders>
              <w:right w:val="single" w:sz="8" w:color="auto"/>
            </w:tcBorders>
            <w:gridSpan w:val="2"/>
          </w:tcPr>
          <w:p>
            <w:pPr>
              <w:jc w:val="center"/>
              <w:spacing w:after="0" w:line="104" w:lineRule="exact"/>
              <w:rPr>
                <w:sz w:val="20"/>
                <w:szCs w:val="20"/>
                <w:color w:val="auto"/>
              </w:rPr>
            </w:pPr>
            <w:r>
              <w:rPr>
                <w:rFonts w:ascii="Arial" w:cs="Arial" w:eastAsia="Arial" w:hAnsi="Arial"/>
                <w:sz w:val="10"/>
                <w:szCs w:val="10"/>
                <w:b w:val="1"/>
                <w:bCs w:val="1"/>
                <w:color w:val="auto"/>
              </w:rPr>
              <w:t>Equity Incentive Plan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860" w:type="dxa"/>
            <w:vAlign w:val="bottom"/>
            <w:tcBorders>
              <w:lef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gridSpan w:val="2"/>
          </w:tcPr>
          <w:p>
            <w:pPr>
              <w:jc w:val="center"/>
              <w:spacing w:after="0" w:line="104" w:lineRule="exact"/>
              <w:rPr>
                <w:sz w:val="20"/>
                <w:szCs w:val="20"/>
                <w:color w:val="auto"/>
              </w:rPr>
            </w:pPr>
            <w:r>
              <w:rPr>
                <w:rFonts w:ascii="Arial" w:cs="Arial" w:eastAsia="Arial" w:hAnsi="Arial"/>
                <w:sz w:val="10"/>
                <w:szCs w:val="10"/>
                <w:b w:val="1"/>
                <w:bCs w:val="1"/>
                <w:color w:val="auto"/>
              </w:rPr>
              <w:t>Securities</w:t>
            </w:r>
          </w:p>
        </w:tc>
        <w:tc>
          <w:tcPr>
            <w:tcW w:w="140" w:type="dxa"/>
            <w:vAlign w:val="bottom"/>
          </w:tcPr>
          <w:p>
            <w:pPr>
              <w:spacing w:after="0"/>
              <w:rPr>
                <w:sz w:val="8"/>
                <w:szCs w:val="8"/>
                <w:color w:val="auto"/>
              </w:rPr>
            </w:pPr>
          </w:p>
        </w:tc>
        <w:tc>
          <w:tcPr>
            <w:tcW w:w="880" w:type="dxa"/>
            <w:vAlign w:val="bottom"/>
            <w:tcBorders>
              <w:right w:val="single" w:sz="8" w:color="auto"/>
            </w:tcBorders>
          </w:tcPr>
          <w:p>
            <w:pPr>
              <w:jc w:val="center"/>
              <w:ind w:right="101"/>
              <w:spacing w:after="0" w:line="104" w:lineRule="exact"/>
              <w:rPr>
                <w:sz w:val="20"/>
                <w:szCs w:val="20"/>
                <w:color w:val="auto"/>
              </w:rPr>
            </w:pPr>
            <w:r>
              <w:rPr>
                <w:rFonts w:ascii="Arial" w:cs="Arial" w:eastAsia="Arial" w:hAnsi="Arial"/>
                <w:sz w:val="10"/>
                <w:szCs w:val="10"/>
                <w:b w:val="1"/>
                <w:bCs w:val="1"/>
                <w:color w:val="auto"/>
              </w:rPr>
              <w:t>Securities</w:t>
            </w:r>
          </w:p>
        </w:tc>
        <w:tc>
          <w:tcPr>
            <w:tcW w:w="60" w:type="dxa"/>
            <w:vAlign w:val="bottom"/>
          </w:tcPr>
          <w:p>
            <w:pPr>
              <w:spacing w:after="0"/>
              <w:rPr>
                <w:sz w:val="8"/>
                <w:szCs w:val="8"/>
                <w:color w:val="auto"/>
              </w:rPr>
            </w:pPr>
          </w:p>
        </w:tc>
        <w:tc>
          <w:tcPr>
            <w:tcW w:w="98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Number of</w:t>
            </w:r>
          </w:p>
        </w:tc>
        <w:tc>
          <w:tcPr>
            <w:tcW w:w="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99"/>
              </w:rPr>
              <w:t>Number of</w:t>
            </w:r>
          </w:p>
        </w:tc>
        <w:tc>
          <w:tcPr>
            <w:tcW w:w="1180" w:type="dxa"/>
            <w:vAlign w:val="bottom"/>
            <w:tcBorders>
              <w:right w:val="single" w:sz="8" w:color="auto"/>
            </w:tcBorders>
            <w:gridSpan w:val="2"/>
          </w:tcPr>
          <w:p>
            <w:pPr>
              <w:jc w:val="center"/>
              <w:spacing w:after="0" w:line="104" w:lineRule="exact"/>
              <w:rPr>
                <w:sz w:val="20"/>
                <w:szCs w:val="20"/>
                <w:color w:val="auto"/>
              </w:rPr>
            </w:pPr>
            <w:r>
              <w:rPr>
                <w:rFonts w:ascii="Arial" w:cs="Arial" w:eastAsia="Arial" w:hAnsi="Arial"/>
                <w:sz w:val="10"/>
                <w:szCs w:val="10"/>
                <w:b w:val="1"/>
                <w:bCs w:val="1"/>
                <w:color w:val="auto"/>
              </w:rPr>
              <w:t>Awards: Market or</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860" w:type="dxa"/>
            <w:vAlign w:val="bottom"/>
            <w:tcBorders>
              <w:lef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gridSpan w:val="2"/>
          </w:tcPr>
          <w:p>
            <w:pPr>
              <w:jc w:val="center"/>
              <w:spacing w:after="0" w:line="104" w:lineRule="exact"/>
              <w:rPr>
                <w:sz w:val="20"/>
                <w:szCs w:val="20"/>
                <w:color w:val="auto"/>
              </w:rPr>
            </w:pPr>
            <w:r>
              <w:rPr>
                <w:rFonts w:ascii="Arial" w:cs="Arial" w:eastAsia="Arial" w:hAnsi="Arial"/>
                <w:sz w:val="10"/>
                <w:szCs w:val="10"/>
                <w:b w:val="1"/>
                <w:bCs w:val="1"/>
                <w:color w:val="auto"/>
              </w:rPr>
              <w:t>Underlying</w:t>
            </w:r>
          </w:p>
        </w:tc>
        <w:tc>
          <w:tcPr>
            <w:tcW w:w="140" w:type="dxa"/>
            <w:vAlign w:val="bottom"/>
          </w:tcPr>
          <w:p>
            <w:pPr>
              <w:spacing w:after="0"/>
              <w:rPr>
                <w:sz w:val="8"/>
                <w:szCs w:val="8"/>
                <w:color w:val="auto"/>
              </w:rPr>
            </w:pPr>
          </w:p>
        </w:tc>
        <w:tc>
          <w:tcPr>
            <w:tcW w:w="880" w:type="dxa"/>
            <w:vAlign w:val="bottom"/>
            <w:tcBorders>
              <w:right w:val="single" w:sz="8" w:color="auto"/>
            </w:tcBorders>
          </w:tcPr>
          <w:p>
            <w:pPr>
              <w:jc w:val="center"/>
              <w:ind w:right="101"/>
              <w:spacing w:after="0" w:line="104" w:lineRule="exact"/>
              <w:rPr>
                <w:sz w:val="20"/>
                <w:szCs w:val="20"/>
                <w:color w:val="auto"/>
              </w:rPr>
            </w:pPr>
            <w:r>
              <w:rPr>
                <w:rFonts w:ascii="Arial" w:cs="Arial" w:eastAsia="Arial" w:hAnsi="Arial"/>
                <w:sz w:val="10"/>
                <w:szCs w:val="10"/>
                <w:b w:val="1"/>
                <w:bCs w:val="1"/>
                <w:color w:val="auto"/>
                <w:w w:val="99"/>
              </w:rPr>
              <w:t>Underlying</w:t>
            </w:r>
          </w:p>
        </w:tc>
        <w:tc>
          <w:tcPr>
            <w:tcW w:w="60" w:type="dxa"/>
            <w:vAlign w:val="bottom"/>
          </w:tcPr>
          <w:p>
            <w:pPr>
              <w:spacing w:after="0"/>
              <w:rPr>
                <w:sz w:val="8"/>
                <w:szCs w:val="8"/>
                <w:color w:val="auto"/>
              </w:rPr>
            </w:pPr>
          </w:p>
        </w:tc>
        <w:tc>
          <w:tcPr>
            <w:tcW w:w="98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Securities</w:t>
            </w:r>
          </w:p>
        </w:tc>
        <w:tc>
          <w:tcPr>
            <w:tcW w:w="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rPr>
              <w:t>(2)</w:t>
            </w:r>
          </w:p>
        </w:tc>
        <w:tc>
          <w:tcPr>
            <w:tcW w:w="48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gridSpan w:val="2"/>
          </w:tcPr>
          <w:p>
            <w:pPr>
              <w:jc w:val="center"/>
              <w:spacing w:after="0" w:line="104" w:lineRule="exact"/>
              <w:rPr>
                <w:sz w:val="20"/>
                <w:szCs w:val="20"/>
                <w:color w:val="auto"/>
              </w:rPr>
            </w:pPr>
            <w:r>
              <w:rPr>
                <w:rFonts w:ascii="Arial" w:cs="Arial" w:eastAsia="Arial" w:hAnsi="Arial"/>
                <w:sz w:val="10"/>
                <w:szCs w:val="10"/>
                <w:b w:val="1"/>
                <w:bCs w:val="1"/>
                <w:color w:val="auto"/>
              </w:rPr>
              <w:t>Number of Shares</w:t>
            </w:r>
          </w:p>
        </w:tc>
        <w:tc>
          <w:tcPr>
            <w:tcW w:w="80" w:type="dxa"/>
            <w:vAlign w:val="bottom"/>
          </w:tcPr>
          <w:p>
            <w:pPr>
              <w:spacing w:after="0"/>
              <w:rPr>
                <w:sz w:val="8"/>
                <w:szCs w:val="8"/>
                <w:color w:val="auto"/>
              </w:rPr>
            </w:pPr>
          </w:p>
        </w:tc>
        <w:tc>
          <w:tcPr>
            <w:tcW w:w="900" w:type="dxa"/>
            <w:vAlign w:val="bottom"/>
            <w:tcBorders>
              <w:right w:val="single" w:sz="8" w:color="auto"/>
            </w:tcBorders>
          </w:tcPr>
          <w:p>
            <w:pPr>
              <w:jc w:val="center"/>
              <w:ind w:right="80"/>
              <w:spacing w:after="0" w:line="104" w:lineRule="exact"/>
              <w:rPr>
                <w:sz w:val="20"/>
                <w:szCs w:val="20"/>
                <w:color w:val="auto"/>
              </w:rPr>
            </w:pPr>
            <w:r>
              <w:rPr>
                <w:rFonts w:ascii="Arial" w:cs="Arial" w:eastAsia="Arial" w:hAnsi="Arial"/>
                <w:sz w:val="10"/>
                <w:szCs w:val="10"/>
                <w:b w:val="1"/>
                <w:bCs w:val="1"/>
                <w:color w:val="auto"/>
              </w:rPr>
              <w:t>Market Value of</w:t>
            </w:r>
          </w:p>
        </w:tc>
        <w:tc>
          <w:tcPr>
            <w:tcW w:w="98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rPr>
              <w:t>Unearned Shares,</w:t>
            </w:r>
          </w:p>
        </w:tc>
        <w:tc>
          <w:tcPr>
            <w:tcW w:w="1180" w:type="dxa"/>
            <w:vAlign w:val="bottom"/>
            <w:tcBorders>
              <w:right w:val="single" w:sz="8" w:color="auto"/>
            </w:tcBorders>
            <w:gridSpan w:val="2"/>
          </w:tcPr>
          <w:p>
            <w:pPr>
              <w:jc w:val="center"/>
              <w:spacing w:after="0" w:line="104" w:lineRule="exact"/>
              <w:rPr>
                <w:sz w:val="20"/>
                <w:szCs w:val="20"/>
                <w:color w:val="auto"/>
              </w:rPr>
            </w:pPr>
            <w:r>
              <w:rPr>
                <w:rFonts w:ascii="Arial" w:cs="Arial" w:eastAsia="Arial" w:hAnsi="Arial"/>
                <w:sz w:val="10"/>
                <w:szCs w:val="10"/>
                <w:b w:val="1"/>
                <w:bCs w:val="1"/>
                <w:color w:val="auto"/>
              </w:rPr>
              <w:t>Payout Value of</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860" w:type="dxa"/>
            <w:vAlign w:val="bottom"/>
            <w:tcBorders>
              <w:lef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gridSpan w:val="2"/>
          </w:tcPr>
          <w:p>
            <w:pPr>
              <w:jc w:val="center"/>
              <w:spacing w:after="0" w:line="104" w:lineRule="exact"/>
              <w:rPr>
                <w:sz w:val="20"/>
                <w:szCs w:val="20"/>
                <w:color w:val="auto"/>
              </w:rPr>
            </w:pPr>
            <w:r>
              <w:rPr>
                <w:rFonts w:ascii="Arial" w:cs="Arial" w:eastAsia="Arial" w:hAnsi="Arial"/>
                <w:sz w:val="10"/>
                <w:szCs w:val="10"/>
                <w:b w:val="1"/>
                <w:bCs w:val="1"/>
                <w:color w:val="auto"/>
              </w:rPr>
              <w:t>Unexercised</w:t>
            </w:r>
          </w:p>
        </w:tc>
        <w:tc>
          <w:tcPr>
            <w:tcW w:w="140" w:type="dxa"/>
            <w:vAlign w:val="bottom"/>
          </w:tcPr>
          <w:p>
            <w:pPr>
              <w:spacing w:after="0"/>
              <w:rPr>
                <w:sz w:val="8"/>
                <w:szCs w:val="8"/>
                <w:color w:val="auto"/>
              </w:rPr>
            </w:pPr>
          </w:p>
        </w:tc>
        <w:tc>
          <w:tcPr>
            <w:tcW w:w="880" w:type="dxa"/>
            <w:vAlign w:val="bottom"/>
            <w:tcBorders>
              <w:right w:val="single" w:sz="8" w:color="auto"/>
            </w:tcBorders>
          </w:tcPr>
          <w:p>
            <w:pPr>
              <w:jc w:val="center"/>
              <w:ind w:right="101"/>
              <w:spacing w:after="0" w:line="104" w:lineRule="exact"/>
              <w:rPr>
                <w:sz w:val="20"/>
                <w:szCs w:val="20"/>
                <w:color w:val="auto"/>
              </w:rPr>
            </w:pPr>
            <w:r>
              <w:rPr>
                <w:rFonts w:ascii="Arial" w:cs="Arial" w:eastAsia="Arial" w:hAnsi="Arial"/>
                <w:sz w:val="10"/>
                <w:szCs w:val="10"/>
                <w:b w:val="1"/>
                <w:bCs w:val="1"/>
                <w:color w:val="auto"/>
              </w:rPr>
              <w:t>Unexercised</w:t>
            </w:r>
          </w:p>
        </w:tc>
        <w:tc>
          <w:tcPr>
            <w:tcW w:w="60" w:type="dxa"/>
            <w:vAlign w:val="bottom"/>
          </w:tcPr>
          <w:p>
            <w:pPr>
              <w:spacing w:after="0"/>
              <w:rPr>
                <w:sz w:val="8"/>
                <w:szCs w:val="8"/>
                <w:color w:val="auto"/>
              </w:rPr>
            </w:pPr>
          </w:p>
        </w:tc>
        <w:tc>
          <w:tcPr>
            <w:tcW w:w="98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Underlying</w:t>
            </w:r>
          </w:p>
        </w:tc>
        <w:tc>
          <w:tcPr>
            <w:tcW w:w="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gridSpan w:val="2"/>
          </w:tcPr>
          <w:p>
            <w:pPr>
              <w:jc w:val="center"/>
              <w:spacing w:after="0" w:line="104" w:lineRule="exact"/>
              <w:rPr>
                <w:sz w:val="20"/>
                <w:szCs w:val="20"/>
                <w:color w:val="auto"/>
              </w:rPr>
            </w:pPr>
            <w:r>
              <w:rPr>
                <w:rFonts w:ascii="Arial" w:cs="Arial" w:eastAsia="Arial" w:hAnsi="Arial"/>
                <w:sz w:val="10"/>
                <w:szCs w:val="10"/>
                <w:b w:val="1"/>
                <w:bCs w:val="1"/>
                <w:color w:val="auto"/>
              </w:rPr>
              <w:t>or Units of Stock</w:t>
            </w:r>
          </w:p>
        </w:tc>
        <w:tc>
          <w:tcPr>
            <w:tcW w:w="980" w:type="dxa"/>
            <w:vAlign w:val="bottom"/>
            <w:tcBorders>
              <w:right w:val="single" w:sz="8" w:color="auto"/>
            </w:tcBorders>
            <w:gridSpan w:val="2"/>
          </w:tcPr>
          <w:p>
            <w:pPr>
              <w:jc w:val="center"/>
              <w:spacing w:after="0" w:line="104" w:lineRule="exact"/>
              <w:rPr>
                <w:sz w:val="20"/>
                <w:szCs w:val="20"/>
                <w:color w:val="auto"/>
              </w:rPr>
            </w:pPr>
            <w:r>
              <w:rPr>
                <w:rFonts w:ascii="Arial" w:cs="Arial" w:eastAsia="Arial" w:hAnsi="Arial"/>
                <w:sz w:val="10"/>
                <w:szCs w:val="10"/>
                <w:b w:val="1"/>
                <w:bCs w:val="1"/>
                <w:color w:val="auto"/>
              </w:rPr>
              <w:t>Shares or Units of</w:t>
            </w:r>
          </w:p>
        </w:tc>
        <w:tc>
          <w:tcPr>
            <w:tcW w:w="98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rPr>
              <w:t>Units or Other</w:t>
            </w:r>
          </w:p>
        </w:tc>
        <w:tc>
          <w:tcPr>
            <w:tcW w:w="1180" w:type="dxa"/>
            <w:vAlign w:val="bottom"/>
            <w:tcBorders>
              <w:right w:val="single" w:sz="8" w:color="auto"/>
            </w:tcBorders>
            <w:gridSpan w:val="2"/>
          </w:tcPr>
          <w:p>
            <w:pPr>
              <w:jc w:val="center"/>
              <w:spacing w:after="0" w:line="104" w:lineRule="exact"/>
              <w:rPr>
                <w:sz w:val="20"/>
                <w:szCs w:val="20"/>
                <w:color w:val="auto"/>
              </w:rPr>
            </w:pPr>
            <w:r>
              <w:rPr>
                <w:rFonts w:ascii="Arial" w:cs="Arial" w:eastAsia="Arial" w:hAnsi="Arial"/>
                <w:sz w:val="10"/>
                <w:szCs w:val="10"/>
                <w:b w:val="1"/>
                <w:bCs w:val="1"/>
                <w:color w:val="auto"/>
              </w:rPr>
              <w:t>Unearned Shares,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860" w:type="dxa"/>
            <w:vAlign w:val="bottom"/>
            <w:tcBorders>
              <w:lef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gridSpan w:val="2"/>
          </w:tcPr>
          <w:p>
            <w:pPr>
              <w:jc w:val="center"/>
              <w:spacing w:after="0" w:line="104" w:lineRule="exact"/>
              <w:rPr>
                <w:sz w:val="20"/>
                <w:szCs w:val="20"/>
                <w:color w:val="auto"/>
              </w:rPr>
            </w:pPr>
            <w:r>
              <w:rPr>
                <w:rFonts w:ascii="Arial" w:cs="Arial" w:eastAsia="Arial" w:hAnsi="Arial"/>
                <w:sz w:val="10"/>
                <w:szCs w:val="10"/>
                <w:b w:val="1"/>
                <w:bCs w:val="1"/>
                <w:color w:val="auto"/>
              </w:rPr>
              <w:t>Options</w:t>
            </w:r>
          </w:p>
        </w:tc>
        <w:tc>
          <w:tcPr>
            <w:tcW w:w="140" w:type="dxa"/>
            <w:vAlign w:val="bottom"/>
          </w:tcPr>
          <w:p>
            <w:pPr>
              <w:spacing w:after="0"/>
              <w:rPr>
                <w:sz w:val="8"/>
                <w:szCs w:val="8"/>
                <w:color w:val="auto"/>
              </w:rPr>
            </w:pPr>
          </w:p>
        </w:tc>
        <w:tc>
          <w:tcPr>
            <w:tcW w:w="880" w:type="dxa"/>
            <w:vAlign w:val="bottom"/>
            <w:tcBorders>
              <w:right w:val="single" w:sz="8" w:color="auto"/>
            </w:tcBorders>
          </w:tcPr>
          <w:p>
            <w:pPr>
              <w:jc w:val="center"/>
              <w:ind w:right="101"/>
              <w:spacing w:after="0" w:line="104" w:lineRule="exact"/>
              <w:rPr>
                <w:sz w:val="20"/>
                <w:szCs w:val="20"/>
                <w:color w:val="auto"/>
              </w:rPr>
            </w:pPr>
            <w:r>
              <w:rPr>
                <w:rFonts w:ascii="Arial" w:cs="Arial" w:eastAsia="Arial" w:hAnsi="Arial"/>
                <w:sz w:val="10"/>
                <w:szCs w:val="10"/>
                <w:b w:val="1"/>
                <w:bCs w:val="1"/>
                <w:color w:val="auto"/>
              </w:rPr>
              <w:t>Options</w:t>
            </w:r>
          </w:p>
        </w:tc>
        <w:tc>
          <w:tcPr>
            <w:tcW w:w="60" w:type="dxa"/>
            <w:vAlign w:val="bottom"/>
          </w:tcPr>
          <w:p>
            <w:pPr>
              <w:spacing w:after="0"/>
              <w:rPr>
                <w:sz w:val="8"/>
                <w:szCs w:val="8"/>
                <w:color w:val="auto"/>
              </w:rPr>
            </w:pPr>
          </w:p>
        </w:tc>
        <w:tc>
          <w:tcPr>
            <w:tcW w:w="98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Unexercised</w:t>
            </w:r>
          </w:p>
        </w:tc>
        <w:tc>
          <w:tcPr>
            <w:tcW w:w="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rPr>
              <w:t>Option</w:t>
            </w:r>
          </w:p>
        </w:tc>
        <w:tc>
          <w:tcPr>
            <w:tcW w:w="48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gridSpan w:val="2"/>
          </w:tcPr>
          <w:p>
            <w:pPr>
              <w:jc w:val="center"/>
              <w:spacing w:after="0" w:line="104" w:lineRule="exact"/>
              <w:rPr>
                <w:sz w:val="20"/>
                <w:szCs w:val="20"/>
                <w:color w:val="auto"/>
              </w:rPr>
            </w:pPr>
            <w:r>
              <w:rPr>
                <w:rFonts w:ascii="Arial" w:cs="Arial" w:eastAsia="Arial" w:hAnsi="Arial"/>
                <w:sz w:val="10"/>
                <w:szCs w:val="10"/>
                <w:b w:val="1"/>
                <w:bCs w:val="1"/>
                <w:color w:val="auto"/>
              </w:rPr>
              <w:t>That Have Not</w:t>
            </w:r>
          </w:p>
        </w:tc>
        <w:tc>
          <w:tcPr>
            <w:tcW w:w="980" w:type="dxa"/>
            <w:vAlign w:val="bottom"/>
            <w:tcBorders>
              <w:right w:val="single" w:sz="8" w:color="auto"/>
            </w:tcBorders>
            <w:gridSpan w:val="2"/>
          </w:tcPr>
          <w:p>
            <w:pPr>
              <w:jc w:val="center"/>
              <w:spacing w:after="0" w:line="104" w:lineRule="exact"/>
              <w:rPr>
                <w:sz w:val="20"/>
                <w:szCs w:val="20"/>
                <w:color w:val="auto"/>
              </w:rPr>
            </w:pPr>
            <w:r>
              <w:rPr>
                <w:rFonts w:ascii="Arial" w:cs="Arial" w:eastAsia="Arial" w:hAnsi="Arial"/>
                <w:sz w:val="10"/>
                <w:szCs w:val="10"/>
                <w:b w:val="1"/>
                <w:bCs w:val="1"/>
                <w:color w:val="auto"/>
              </w:rPr>
              <w:t>Stock That Have</w:t>
            </w:r>
          </w:p>
        </w:tc>
        <w:tc>
          <w:tcPr>
            <w:tcW w:w="98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rPr>
              <w:t>Rights That Have</w:t>
            </w:r>
          </w:p>
        </w:tc>
        <w:tc>
          <w:tcPr>
            <w:tcW w:w="1180" w:type="dxa"/>
            <w:vAlign w:val="bottom"/>
            <w:tcBorders>
              <w:right w:val="single" w:sz="8" w:color="auto"/>
            </w:tcBorders>
            <w:gridSpan w:val="2"/>
          </w:tcPr>
          <w:p>
            <w:pPr>
              <w:jc w:val="center"/>
              <w:spacing w:after="0" w:line="104" w:lineRule="exact"/>
              <w:rPr>
                <w:sz w:val="20"/>
                <w:szCs w:val="20"/>
                <w:color w:val="auto"/>
              </w:rPr>
            </w:pPr>
            <w:r>
              <w:rPr>
                <w:rFonts w:ascii="Arial" w:cs="Arial" w:eastAsia="Arial" w:hAnsi="Arial"/>
                <w:sz w:val="10"/>
                <w:szCs w:val="10"/>
                <w:b w:val="1"/>
                <w:bCs w:val="1"/>
                <w:color w:val="auto"/>
              </w:rPr>
              <w:t>Units or Other Rights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86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580" w:type="dxa"/>
            <w:vAlign w:val="bottom"/>
          </w:tcPr>
          <w:p>
            <w:pPr>
              <w:jc w:val="center"/>
              <w:ind w:left="364"/>
              <w:spacing w:after="0" w:line="104" w:lineRule="exact"/>
              <w:rPr>
                <w:sz w:val="20"/>
                <w:szCs w:val="20"/>
                <w:color w:val="auto"/>
              </w:rPr>
            </w:pPr>
            <w:r>
              <w:rPr>
                <w:rFonts w:ascii="Arial" w:cs="Arial" w:eastAsia="Arial" w:hAnsi="Arial"/>
                <w:sz w:val="10"/>
                <w:szCs w:val="10"/>
                <w:b w:val="1"/>
                <w:bCs w:val="1"/>
                <w:color w:val="auto"/>
                <w:w w:val="97"/>
              </w:rPr>
              <w:t>(#)</w:t>
            </w:r>
          </w:p>
        </w:tc>
        <w:tc>
          <w:tcPr>
            <w:tcW w:w="46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Borders>
              <w:right w:val="single" w:sz="8" w:color="auto"/>
            </w:tcBorders>
          </w:tcPr>
          <w:p>
            <w:pPr>
              <w:jc w:val="center"/>
              <w:ind w:right="101"/>
              <w:spacing w:after="0" w:line="104" w:lineRule="exact"/>
              <w:rPr>
                <w:sz w:val="20"/>
                <w:szCs w:val="20"/>
                <w:color w:val="auto"/>
              </w:rPr>
            </w:pPr>
            <w:r>
              <w:rPr>
                <w:rFonts w:ascii="Arial" w:cs="Arial" w:eastAsia="Arial" w:hAnsi="Arial"/>
                <w:sz w:val="10"/>
                <w:szCs w:val="10"/>
                <w:b w:val="1"/>
                <w:bCs w:val="1"/>
                <w:color w:val="auto"/>
                <w:w w:val="97"/>
              </w:rPr>
              <w:t>(#)</w:t>
            </w:r>
          </w:p>
        </w:tc>
        <w:tc>
          <w:tcPr>
            <w:tcW w:w="60" w:type="dxa"/>
            <w:vAlign w:val="bottom"/>
          </w:tcPr>
          <w:p>
            <w:pPr>
              <w:spacing w:after="0"/>
              <w:rPr>
                <w:sz w:val="8"/>
                <w:szCs w:val="8"/>
                <w:color w:val="auto"/>
              </w:rPr>
            </w:pPr>
          </w:p>
        </w:tc>
        <w:tc>
          <w:tcPr>
            <w:tcW w:w="98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Unearned Options</w:t>
            </w:r>
          </w:p>
        </w:tc>
        <w:tc>
          <w:tcPr>
            <w:tcW w:w="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rPr>
              <w:t>Exercise</w:t>
            </w:r>
          </w:p>
        </w:tc>
        <w:tc>
          <w:tcPr>
            <w:tcW w:w="12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0"/>
                <w:szCs w:val="10"/>
                <w:b w:val="1"/>
                <w:bCs w:val="1"/>
                <w:color w:val="auto"/>
              </w:rPr>
              <w:t>Option Expiration Date</w:t>
            </w:r>
          </w:p>
        </w:tc>
        <w:tc>
          <w:tcPr>
            <w:tcW w:w="980" w:type="dxa"/>
            <w:vAlign w:val="bottom"/>
            <w:tcBorders>
              <w:right w:val="single" w:sz="8" w:color="auto"/>
            </w:tcBorders>
            <w:gridSpan w:val="2"/>
          </w:tcPr>
          <w:p>
            <w:pPr>
              <w:jc w:val="center"/>
              <w:spacing w:after="0" w:line="104" w:lineRule="exact"/>
              <w:rPr>
                <w:sz w:val="20"/>
                <w:szCs w:val="20"/>
                <w:color w:val="auto"/>
              </w:rPr>
            </w:pPr>
            <w:r>
              <w:rPr>
                <w:rFonts w:ascii="Arial" w:cs="Arial" w:eastAsia="Arial" w:hAnsi="Arial"/>
                <w:sz w:val="10"/>
                <w:szCs w:val="10"/>
                <w:b w:val="1"/>
                <w:bCs w:val="1"/>
                <w:color w:val="auto"/>
              </w:rPr>
              <w:t>Vested</w:t>
            </w:r>
          </w:p>
        </w:tc>
        <w:tc>
          <w:tcPr>
            <w:tcW w:w="80" w:type="dxa"/>
            <w:vAlign w:val="bottom"/>
          </w:tcPr>
          <w:p>
            <w:pPr>
              <w:spacing w:after="0"/>
              <w:rPr>
                <w:sz w:val="8"/>
                <w:szCs w:val="8"/>
                <w:color w:val="auto"/>
              </w:rPr>
            </w:pPr>
          </w:p>
        </w:tc>
        <w:tc>
          <w:tcPr>
            <w:tcW w:w="900" w:type="dxa"/>
            <w:vAlign w:val="bottom"/>
            <w:tcBorders>
              <w:right w:val="single" w:sz="8" w:color="auto"/>
            </w:tcBorders>
          </w:tcPr>
          <w:p>
            <w:pPr>
              <w:jc w:val="center"/>
              <w:ind w:right="60"/>
              <w:spacing w:after="0" w:line="104" w:lineRule="exact"/>
              <w:rPr>
                <w:sz w:val="20"/>
                <w:szCs w:val="20"/>
                <w:color w:val="auto"/>
              </w:rPr>
            </w:pPr>
            <w:r>
              <w:rPr>
                <w:rFonts w:ascii="Arial" w:cs="Arial" w:eastAsia="Arial" w:hAnsi="Arial"/>
                <w:sz w:val="10"/>
                <w:szCs w:val="10"/>
                <w:b w:val="1"/>
                <w:bCs w:val="1"/>
                <w:color w:val="auto"/>
              </w:rPr>
              <w:t>Not Vested</w:t>
            </w:r>
          </w:p>
        </w:tc>
        <w:tc>
          <w:tcPr>
            <w:tcW w:w="98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rPr>
              <w:t>Not Vested</w:t>
            </w:r>
          </w:p>
        </w:tc>
        <w:tc>
          <w:tcPr>
            <w:tcW w:w="1180" w:type="dxa"/>
            <w:vAlign w:val="bottom"/>
            <w:tcBorders>
              <w:right w:val="single" w:sz="8" w:color="auto"/>
            </w:tcBorders>
            <w:gridSpan w:val="2"/>
          </w:tcPr>
          <w:p>
            <w:pPr>
              <w:jc w:val="center"/>
              <w:spacing w:after="0" w:line="104" w:lineRule="exact"/>
              <w:rPr>
                <w:sz w:val="20"/>
                <w:szCs w:val="20"/>
                <w:color w:val="auto"/>
              </w:rPr>
            </w:pPr>
            <w:r>
              <w:rPr>
                <w:rFonts w:ascii="Arial" w:cs="Arial" w:eastAsia="Arial" w:hAnsi="Arial"/>
                <w:sz w:val="10"/>
                <w:szCs w:val="10"/>
                <w:b w:val="1"/>
                <w:bCs w:val="1"/>
                <w:color w:val="auto"/>
              </w:rPr>
              <w:t>That Have Not Vested</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860" w:type="dxa"/>
            <w:vAlign w:val="bottom"/>
            <w:tcBorders>
              <w:left w:val="single" w:sz="8" w:color="auto"/>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rPr>
              <w:t>Exercisable</w:t>
            </w: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ind w:right="101"/>
              <w:spacing w:after="0"/>
              <w:rPr>
                <w:sz w:val="20"/>
                <w:szCs w:val="20"/>
                <w:color w:val="auto"/>
              </w:rPr>
            </w:pPr>
            <w:r>
              <w:rPr>
                <w:rFonts w:ascii="Arial" w:cs="Arial" w:eastAsia="Arial" w:hAnsi="Arial"/>
                <w:sz w:val="10"/>
                <w:szCs w:val="10"/>
                <w:b w:val="1"/>
                <w:bCs w:val="1"/>
                <w:color w:val="auto"/>
              </w:rPr>
              <w:t>Unexercisable</w:t>
            </w:r>
          </w:p>
        </w:tc>
        <w:tc>
          <w:tcPr>
            <w:tcW w:w="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w:t>
            </w:r>
          </w:p>
        </w:tc>
        <w:tc>
          <w:tcPr>
            <w:tcW w:w="4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rPr>
              <w:t>Price ($)</w:t>
            </w:r>
          </w:p>
        </w:tc>
        <w:tc>
          <w:tcPr>
            <w:tcW w:w="1280" w:type="dxa"/>
            <w:vAlign w:val="bottom"/>
            <w:tcBorders>
              <w:bottom w:val="single" w:sz="8" w:color="auto"/>
              <w:right w:val="single" w:sz="8" w:color="auto"/>
            </w:tcBorders>
            <w:gridSpan w:val="2"/>
            <w:vMerge w:val="continue"/>
          </w:tcPr>
          <w:p>
            <w:pPr>
              <w:spacing w:after="0"/>
              <w:rPr>
                <w:sz w:val="13"/>
                <w:szCs w:val="13"/>
                <w:color w:val="auto"/>
              </w:rPr>
            </w:pPr>
          </w:p>
        </w:tc>
        <w:tc>
          <w:tcPr>
            <w:tcW w:w="9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rPr>
              <w:t>(#)</w:t>
            </w: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center"/>
              <w:ind w:right="60"/>
              <w:spacing w:after="0"/>
              <w:rPr>
                <w:sz w:val="20"/>
                <w:szCs w:val="20"/>
                <w:color w:val="auto"/>
              </w:rPr>
            </w:pPr>
            <w:r>
              <w:rPr>
                <w:rFonts w:ascii="Arial" w:cs="Arial" w:eastAsia="Arial" w:hAnsi="Arial"/>
                <w:sz w:val="10"/>
                <w:szCs w:val="10"/>
                <w:b w:val="1"/>
                <w:bCs w:val="1"/>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jc w:val="center"/>
              <w:ind w:right="420"/>
              <w:spacing w:after="0"/>
              <w:rPr>
                <w:sz w:val="20"/>
                <w:szCs w:val="20"/>
                <w:color w:val="auto"/>
              </w:rPr>
            </w:pPr>
            <w:r>
              <w:rPr>
                <w:rFonts w:ascii="Arial" w:cs="Arial" w:eastAsia="Arial" w:hAnsi="Arial"/>
                <w:sz w:val="10"/>
                <w:szCs w:val="10"/>
                <w:b w:val="1"/>
                <w:bCs w:val="1"/>
                <w:color w:val="auto"/>
                <w:w w:val="97"/>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6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Borders>
              <w:right w:val="single" w:sz="8" w:color="CCEEFF"/>
            </w:tcBorders>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1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17-Feb-2025</w:t>
            </w:r>
          </w:p>
        </w:tc>
        <w:tc>
          <w:tcPr>
            <w:tcW w:w="5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51,664</w:t>
            </w:r>
          </w:p>
        </w:tc>
        <w:tc>
          <w:tcPr>
            <w:tcW w:w="46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1,950,997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60" w:type="dxa"/>
            <w:vAlign w:val="bottom"/>
            <w:tcBorders>
              <w:lef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980" w:type="dxa"/>
            <w:vAlign w:val="bottom"/>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2"/>
                <w:szCs w:val="12"/>
                <w:color w:val="auto"/>
              </w:rPr>
              <w:t>18-Feb-2025</w:t>
            </w:r>
          </w:p>
        </w:tc>
        <w:tc>
          <w:tcPr>
            <w:tcW w:w="520" w:type="dxa"/>
            <w:vAlign w:val="bottom"/>
          </w:tcPr>
          <w:p>
            <w:pPr>
              <w:spacing w:after="0"/>
              <w:rPr>
                <w:sz w:val="16"/>
                <w:szCs w:val="16"/>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w w:val="97"/>
              </w:rPr>
              <w:t>27,863</w:t>
            </w:r>
          </w:p>
        </w:tc>
        <w:tc>
          <w:tcPr>
            <w:tcW w:w="8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800,504</w:t>
            </w:r>
          </w:p>
        </w:tc>
        <w:tc>
          <w:tcPr>
            <w:tcW w:w="9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6"/>
                <w:szCs w:val="16"/>
                <w:color w:val="auto"/>
              </w:rPr>
            </w:pPr>
          </w:p>
        </w:tc>
        <w:tc>
          <w:tcPr>
            <w:tcW w:w="72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Borders>
              <w:right w:val="single" w:sz="8" w:color="CCEEFF"/>
            </w:tcBorders>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16-Feb-2026</w:t>
            </w:r>
          </w:p>
        </w:tc>
        <w:tc>
          <w:tcPr>
            <w:tcW w:w="5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77,049</w:t>
            </w:r>
          </w:p>
        </w:tc>
        <w:tc>
          <w:tcPr>
            <w:tcW w:w="46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2,213,618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60" w:type="dxa"/>
            <w:vAlign w:val="bottom"/>
            <w:tcBorders>
              <w:left w:val="single" w:sz="8" w:color="auto"/>
            </w:tcBorders>
            <w:vMerge w:val="restart"/>
          </w:tcPr>
          <w:p>
            <w:pPr>
              <w:ind w:left="40"/>
              <w:spacing w:after="0"/>
              <w:rPr>
                <w:sz w:val="20"/>
                <w:szCs w:val="20"/>
                <w:color w:val="auto"/>
              </w:rPr>
            </w:pPr>
            <w:r>
              <w:rPr>
                <w:rFonts w:ascii="Arial" w:cs="Arial" w:eastAsia="Arial" w:hAnsi="Arial"/>
                <w:sz w:val="12"/>
                <w:szCs w:val="12"/>
                <w:color w:val="auto"/>
                <w:w w:val="99"/>
              </w:rPr>
              <w:t>Steve Downing</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980" w:type="dxa"/>
            <w:vAlign w:val="bottom"/>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Arial" w:cs="Arial" w:eastAsia="Arial" w:hAnsi="Arial"/>
                <w:sz w:val="12"/>
                <w:szCs w:val="12"/>
                <w:color w:val="auto"/>
              </w:rPr>
              <w:t>16-Feb-2026</w:t>
            </w:r>
          </w:p>
        </w:tc>
        <w:tc>
          <w:tcPr>
            <w:tcW w:w="520" w:type="dxa"/>
            <w:vAlign w:val="bottom"/>
          </w:tcPr>
          <w:p>
            <w:pPr>
              <w:spacing w:after="0"/>
              <w:rPr>
                <w:sz w:val="15"/>
                <w:szCs w:val="15"/>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1"/>
              <w:spacing w:after="0"/>
              <w:rPr>
                <w:sz w:val="20"/>
                <w:szCs w:val="20"/>
                <w:color w:val="auto"/>
              </w:rPr>
            </w:pPr>
            <w:r>
              <w:rPr>
                <w:rFonts w:ascii="Arial" w:cs="Arial" w:eastAsia="Arial" w:hAnsi="Arial"/>
                <w:sz w:val="12"/>
                <w:szCs w:val="12"/>
                <w:color w:val="auto"/>
              </w:rPr>
              <w:t>30,159</w:t>
            </w:r>
          </w:p>
        </w:tc>
        <w:tc>
          <w:tcPr>
            <w:tcW w:w="460" w:type="dxa"/>
            <w:vAlign w:val="bottom"/>
          </w:tcPr>
          <w:p>
            <w:pPr>
              <w:spacing w:after="0"/>
              <w:rPr>
                <w:sz w:val="15"/>
                <w:szCs w:val="15"/>
                <w:color w:val="auto"/>
              </w:rPr>
            </w:pPr>
          </w:p>
        </w:tc>
        <w:tc>
          <w:tcPr>
            <w:tcW w:w="72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color w:val="auto"/>
              </w:rPr>
              <w:t>866,468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860" w:type="dxa"/>
            <w:vAlign w:val="bottom"/>
            <w:tcBorders>
              <w:left w:val="single" w:sz="8" w:color="auto"/>
            </w:tcBorders>
            <w:vMerge w:val="continue"/>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Borders>
              <w:right w:val="single" w:sz="8" w:color="CCEEFF"/>
            </w:tcBorders>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vMerge w:val="restart"/>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980" w:type="dxa"/>
            <w:vAlign w:val="bottom"/>
            <w:vMerge w:val="restart"/>
            <w:shd w:val="clear" w:color="auto" w:fill="CCEEFF"/>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Borders>
              <w:right w:val="single" w:sz="8" w:color="CCEEFF"/>
            </w:tcBorders>
            <w:shd w:val="clear" w:color="auto" w:fill="CCEEFF"/>
          </w:tcPr>
          <w:p>
            <w:pPr>
              <w:spacing w:after="0"/>
              <w:rPr>
                <w:sz w:val="7"/>
                <w:szCs w:val="7"/>
                <w:color w:val="auto"/>
              </w:rPr>
            </w:pPr>
          </w:p>
        </w:tc>
        <w:tc>
          <w:tcPr>
            <w:tcW w:w="720" w:type="dxa"/>
            <w:vAlign w:val="bottom"/>
            <w:tcBorders>
              <w:right w:val="single" w:sz="8" w:color="CCEEFF"/>
            </w:tcBorders>
            <w:shd w:val="clear" w:color="auto" w:fill="CCEEFF"/>
          </w:tcPr>
          <w:p>
            <w:pPr>
              <w:spacing w:after="0"/>
              <w:rPr>
                <w:sz w:val="7"/>
                <w:szCs w:val="7"/>
                <w:color w:val="auto"/>
              </w:rPr>
            </w:pPr>
          </w:p>
        </w:tc>
        <w:tc>
          <w:tcPr>
            <w:tcW w:w="128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2"/>
                <w:szCs w:val="12"/>
                <w:color w:val="auto"/>
              </w:rPr>
              <w:t>25-Feb-2026</w:t>
            </w:r>
          </w:p>
        </w:tc>
        <w:tc>
          <w:tcPr>
            <w:tcW w:w="520" w:type="dxa"/>
            <w:vAlign w:val="bottom"/>
            <w:shd w:val="clear" w:color="auto" w:fill="CCEEFF"/>
          </w:tcPr>
          <w:p>
            <w:pPr>
              <w:spacing w:after="0"/>
              <w:rPr>
                <w:sz w:val="7"/>
                <w:szCs w:val="7"/>
                <w:color w:val="auto"/>
              </w:rPr>
            </w:pPr>
          </w:p>
        </w:tc>
        <w:tc>
          <w:tcPr>
            <w:tcW w:w="460" w:type="dxa"/>
            <w:vAlign w:val="bottom"/>
            <w:tcBorders>
              <w:right w:val="single" w:sz="8" w:color="CCEEFF"/>
            </w:tcBorders>
            <w:vMerge w:val="restart"/>
            <w:shd w:val="clear" w:color="auto" w:fill="CCEEFF"/>
          </w:tcPr>
          <w:p>
            <w:pPr>
              <w:jc w:val="right"/>
              <w:ind w:right="19"/>
              <w:spacing w:after="0"/>
              <w:rPr>
                <w:sz w:val="20"/>
                <w:szCs w:val="20"/>
                <w:color w:val="auto"/>
              </w:rPr>
            </w:pPr>
            <w:r>
              <w:rPr>
                <w:rFonts w:ascii="Arial" w:cs="Arial" w:eastAsia="Arial" w:hAnsi="Arial"/>
                <w:sz w:val="12"/>
                <w:szCs w:val="12"/>
                <w:color w:val="auto"/>
                <w:w w:val="97"/>
              </w:rPr>
              <w:t>32,151</w:t>
            </w:r>
          </w:p>
        </w:tc>
        <w:tc>
          <w:tcPr>
            <w:tcW w:w="80" w:type="dxa"/>
            <w:vAlign w:val="bottom"/>
            <w:shd w:val="clear" w:color="auto" w:fill="CCEEFF"/>
          </w:tcPr>
          <w:p>
            <w:pPr>
              <w:spacing w:after="0"/>
              <w:rPr>
                <w:sz w:val="7"/>
                <w:szCs w:val="7"/>
                <w:color w:val="auto"/>
              </w:rPr>
            </w:pPr>
          </w:p>
        </w:tc>
        <w:tc>
          <w:tcPr>
            <w:tcW w:w="900" w:type="dxa"/>
            <w:vAlign w:val="bottom"/>
            <w:tcBorders>
              <w:right w:val="single" w:sz="8" w:color="CCEEFF"/>
            </w:tcBorders>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923,698</w:t>
            </w:r>
          </w:p>
        </w:tc>
        <w:tc>
          <w:tcPr>
            <w:tcW w:w="980" w:type="dxa"/>
            <w:vAlign w:val="bottom"/>
            <w:tcBorders>
              <w:right w:val="single" w:sz="8" w:color="CCEEFF"/>
            </w:tcBorders>
            <w:vMerge w:val="restart"/>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7"/>
                <w:szCs w:val="7"/>
                <w:color w:val="auto"/>
              </w:rPr>
            </w:pPr>
          </w:p>
        </w:tc>
        <w:tc>
          <w:tcPr>
            <w:tcW w:w="720" w:type="dxa"/>
            <w:vAlign w:val="bottom"/>
            <w:tcBorders>
              <w:right w:val="single" w:sz="8" w:color="auto"/>
            </w:tcBorders>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860" w:type="dxa"/>
            <w:vAlign w:val="bottom"/>
            <w:tcBorders>
              <w:lef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Borders>
              <w:right w:val="single" w:sz="8" w:color="CCEEFF"/>
            </w:tcBorders>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280" w:type="dxa"/>
            <w:vAlign w:val="bottom"/>
            <w:tcBorders>
              <w:right w:val="single" w:sz="8" w:color="CCEEFF"/>
            </w:tcBorders>
            <w:gridSpan w:val="2"/>
            <w:vMerge w:val="continue"/>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60" w:type="dxa"/>
            <w:vAlign w:val="bottom"/>
            <w:tcBorders>
              <w:right w:val="single" w:sz="8" w:color="CCEEFF"/>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tcBorders>
              <w:right w:val="single" w:sz="8" w:color="CCEEFF"/>
            </w:tcBorders>
            <w:vMerge w:val="continue"/>
            <w:shd w:val="clear" w:color="auto" w:fill="CCEEFF"/>
          </w:tcPr>
          <w:p>
            <w:pPr>
              <w:spacing w:after="0"/>
              <w:rPr>
                <w:sz w:val="10"/>
                <w:szCs w:val="10"/>
                <w:color w:val="auto"/>
              </w:rPr>
            </w:pPr>
          </w:p>
        </w:tc>
        <w:tc>
          <w:tcPr>
            <w:tcW w:w="980" w:type="dxa"/>
            <w:vAlign w:val="bottom"/>
            <w:tcBorders>
              <w:right w:val="single" w:sz="8" w:color="CCEEFF"/>
            </w:tcBorders>
            <w:vMerge w:val="continue"/>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tcBorders>
              <w:right w:val="single" w:sz="8" w:color="auto"/>
            </w:tcBorders>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60" w:type="dxa"/>
            <w:vAlign w:val="bottom"/>
            <w:tcBorders>
              <w:lef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980" w:type="dxa"/>
            <w:vAlign w:val="bottom"/>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2"/>
                <w:szCs w:val="12"/>
                <w:color w:val="auto"/>
              </w:rPr>
              <w:t>25-Feb-2027</w:t>
            </w:r>
          </w:p>
        </w:tc>
        <w:tc>
          <w:tcPr>
            <w:tcW w:w="520" w:type="dxa"/>
            <w:vAlign w:val="bottom"/>
          </w:tcPr>
          <w:p>
            <w:pPr>
              <w:spacing w:after="0"/>
              <w:rPr>
                <w:sz w:val="16"/>
                <w:szCs w:val="16"/>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w w:val="97"/>
              </w:rPr>
              <w:t>29,150</w:t>
            </w:r>
          </w:p>
        </w:tc>
        <w:tc>
          <w:tcPr>
            <w:tcW w:w="8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837,480</w:t>
            </w:r>
          </w:p>
        </w:tc>
        <w:tc>
          <w:tcPr>
            <w:tcW w:w="9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6"/>
                <w:szCs w:val="16"/>
                <w:color w:val="auto"/>
              </w:rPr>
            </w:pPr>
          </w:p>
        </w:tc>
        <w:tc>
          <w:tcPr>
            <w:tcW w:w="72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Borders>
              <w:right w:val="single" w:sz="8" w:color="CCEEFF"/>
            </w:tcBorders>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15-Feb-2027</w:t>
            </w:r>
          </w:p>
        </w:tc>
        <w:tc>
          <w:tcPr>
            <w:tcW w:w="5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68,772</w:t>
            </w:r>
          </w:p>
        </w:tc>
        <w:tc>
          <w:tcPr>
            <w:tcW w:w="46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1,975,820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60" w:type="dxa"/>
            <w:vAlign w:val="bottom"/>
            <w:tcBorders>
              <w:lef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gridSpan w:val="2"/>
          </w:tcPr>
          <w:p>
            <w:pPr>
              <w:jc w:val="right"/>
              <w:ind w:right="19"/>
              <w:spacing w:after="0"/>
              <w:rPr>
                <w:sz w:val="20"/>
                <w:szCs w:val="20"/>
                <w:color w:val="auto"/>
              </w:rPr>
            </w:pPr>
            <w:r>
              <w:rPr>
                <w:rFonts w:ascii="Arial" w:cs="Arial" w:eastAsia="Arial" w:hAnsi="Arial"/>
                <w:sz w:val="12"/>
                <w:szCs w:val="12"/>
                <w:color w:val="auto"/>
              </w:rPr>
              <w:t>101,000</w:t>
            </w:r>
          </w:p>
        </w:tc>
        <w:tc>
          <w:tcPr>
            <w:tcW w:w="140" w:type="dxa"/>
            <w:vAlign w:val="bottom"/>
          </w:tcPr>
          <w:p>
            <w:pPr>
              <w:spacing w:after="0"/>
              <w:rPr>
                <w:sz w:val="16"/>
                <w:szCs w:val="16"/>
                <w:color w:val="auto"/>
              </w:rPr>
            </w:pP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980" w:type="dxa"/>
            <w:vAlign w:val="bottom"/>
          </w:tcPr>
          <w:p>
            <w:pPr>
              <w:ind w:left="840"/>
              <w:spacing w:after="0"/>
              <w:rPr>
                <w:sz w:val="20"/>
                <w:szCs w:val="20"/>
                <w:color w:val="auto"/>
              </w:rPr>
            </w:pPr>
            <w:r>
              <w:rPr>
                <w:rFonts w:ascii="Arial" w:cs="Arial" w:eastAsia="Arial" w:hAnsi="Arial"/>
                <w:sz w:val="12"/>
                <w:szCs w:val="12"/>
                <w:color w:val="auto"/>
                <w:w w:val="99"/>
              </w:rPr>
              <w:t>—</w:t>
            </w:r>
          </w:p>
        </w:tc>
        <w:tc>
          <w:tcPr>
            <w:tcW w:w="760" w:type="dxa"/>
            <w:vAlign w:val="bottom"/>
            <w:gridSpan w:val="2"/>
          </w:tcPr>
          <w:p>
            <w:pPr>
              <w:jc w:val="center"/>
              <w:spacing w:after="0"/>
              <w:rPr>
                <w:sz w:val="20"/>
                <w:szCs w:val="20"/>
                <w:color w:val="auto"/>
              </w:rPr>
            </w:pPr>
            <w:r>
              <w:rPr>
                <w:rFonts w:ascii="Arial" w:cs="Arial" w:eastAsia="Arial" w:hAnsi="Arial"/>
                <w:sz w:val="12"/>
                <w:szCs w:val="12"/>
                <w:color w:val="auto"/>
                <w:w w:val="99"/>
              </w:rPr>
              <w:t>22.94</w:t>
            </w:r>
          </w:p>
        </w:tc>
        <w:tc>
          <w:tcPr>
            <w:tcW w:w="1280" w:type="dxa"/>
            <w:vAlign w:val="bottom"/>
            <w:gridSpan w:val="2"/>
          </w:tcPr>
          <w:p>
            <w:pPr>
              <w:spacing w:after="0"/>
              <w:rPr>
                <w:sz w:val="20"/>
                <w:szCs w:val="20"/>
                <w:color w:val="auto"/>
              </w:rPr>
            </w:pPr>
            <w:r>
              <w:rPr>
                <w:rFonts w:ascii="Arial" w:cs="Arial" w:eastAsia="Arial" w:hAnsi="Arial"/>
                <w:sz w:val="12"/>
                <w:szCs w:val="12"/>
                <w:color w:val="auto"/>
              </w:rPr>
              <w:t>15-Feb-2028</w:t>
            </w:r>
          </w:p>
        </w:tc>
        <w:tc>
          <w:tcPr>
            <w:tcW w:w="520" w:type="dxa"/>
            <w:vAlign w:val="bottom"/>
          </w:tcPr>
          <w:p>
            <w:pPr>
              <w:spacing w:after="0"/>
              <w:rPr>
                <w:sz w:val="16"/>
                <w:szCs w:val="16"/>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6"/>
                <w:szCs w:val="16"/>
                <w:color w:val="auto"/>
              </w:rPr>
            </w:pPr>
          </w:p>
        </w:tc>
        <w:tc>
          <w:tcPr>
            <w:tcW w:w="72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60" w:type="dxa"/>
            <w:vAlign w:val="bottom"/>
            <w:tcBorders>
              <w:left w:val="single" w:sz="8" w:color="auto"/>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CCEEFF"/>
            </w:tcBorders>
          </w:tcPr>
          <w:p>
            <w:pPr>
              <w:spacing w:after="0"/>
              <w:rPr>
                <w:sz w:val="14"/>
                <w:szCs w:val="14"/>
                <w:color w:val="auto"/>
              </w:rPr>
            </w:pPr>
          </w:p>
        </w:tc>
        <w:tc>
          <w:tcPr>
            <w:tcW w:w="1040" w:type="dxa"/>
            <w:vAlign w:val="bottom"/>
            <w:tcBorders>
              <w:top w:val="single" w:sz="8" w:color="auto"/>
              <w:bottom w:val="single" w:sz="8" w:color="auto"/>
              <w:right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2"/>
                <w:szCs w:val="12"/>
                <w:color w:val="auto"/>
              </w:rPr>
              <w:t>101,000</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Borders>
              <w:top w:val="single" w:sz="8" w:color="auto"/>
              <w:bottom w:val="single" w:sz="8" w:color="auto"/>
              <w:right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auto"/>
              <w:right w:val="single" w:sz="8" w:color="CCEEFF"/>
            </w:tcBorders>
            <w:shd w:val="clear" w:color="auto" w:fill="CCEEFF"/>
          </w:tcPr>
          <w:p>
            <w:pPr>
              <w:spacing w:after="0"/>
              <w:rPr>
                <w:sz w:val="14"/>
                <w:szCs w:val="14"/>
                <w:color w:val="auto"/>
              </w:rPr>
            </w:pPr>
          </w:p>
        </w:tc>
        <w:tc>
          <w:tcPr>
            <w:tcW w:w="480" w:type="dxa"/>
            <w:vAlign w:val="bottom"/>
            <w:tcBorders>
              <w:top w:val="single" w:sz="8" w:color="CCEEFF"/>
              <w:bottom w:val="single" w:sz="8" w:color="auto"/>
            </w:tcBorders>
            <w:shd w:val="clear" w:color="auto" w:fill="CCEEFF"/>
          </w:tcPr>
          <w:p>
            <w:pPr>
              <w:spacing w:after="0"/>
              <w:rPr>
                <w:sz w:val="14"/>
                <w:szCs w:val="14"/>
                <w:color w:val="auto"/>
              </w:rPr>
            </w:pPr>
          </w:p>
        </w:tc>
        <w:tc>
          <w:tcPr>
            <w:tcW w:w="800" w:type="dxa"/>
            <w:vAlign w:val="bottom"/>
            <w:tcBorders>
              <w:top w:val="single" w:sz="8" w:color="CCEEFF"/>
              <w:bottom w:val="single" w:sz="8" w:color="auto"/>
              <w:right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w w:val="97"/>
              </w:rPr>
              <w:t>89,164</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2,561,682</w:t>
            </w:r>
          </w:p>
        </w:tc>
        <w:tc>
          <w:tcPr>
            <w:tcW w:w="980" w:type="dxa"/>
            <w:vAlign w:val="bottom"/>
            <w:tcBorders>
              <w:top w:val="single" w:sz="8" w:color="auto"/>
              <w:bottom w:val="single" w:sz="8" w:color="auto"/>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227,644</w:t>
            </w: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7,006,903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60" w:type="dxa"/>
            <w:vAlign w:val="bottom"/>
            <w:tcBorders>
              <w:lef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980" w:type="dxa"/>
            <w:vAlign w:val="bottom"/>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gridSpan w:val="2"/>
          </w:tcPr>
          <w:p>
            <w:pPr>
              <w:spacing w:after="0"/>
              <w:rPr>
                <w:sz w:val="20"/>
                <w:szCs w:val="20"/>
                <w:color w:val="auto"/>
              </w:rPr>
            </w:pPr>
            <w:r>
              <w:rPr>
                <w:rFonts w:ascii="Arial" w:cs="Arial" w:eastAsia="Arial" w:hAnsi="Arial"/>
                <w:sz w:val="12"/>
                <w:szCs w:val="12"/>
                <w:color w:val="auto"/>
              </w:rPr>
              <w:t>17-Feb-2025</w:t>
            </w:r>
          </w:p>
        </w:tc>
        <w:tc>
          <w:tcPr>
            <w:tcW w:w="520" w:type="dxa"/>
            <w:vAlign w:val="bottom"/>
          </w:tcPr>
          <w:p>
            <w:pPr>
              <w:spacing w:after="0"/>
              <w:rPr>
                <w:sz w:val="13"/>
                <w:szCs w:val="13"/>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1"/>
              <w:spacing w:after="0"/>
              <w:rPr>
                <w:sz w:val="20"/>
                <w:szCs w:val="20"/>
                <w:color w:val="auto"/>
              </w:rPr>
            </w:pPr>
            <w:r>
              <w:rPr>
                <w:rFonts w:ascii="Arial" w:cs="Arial" w:eastAsia="Arial" w:hAnsi="Arial"/>
                <w:sz w:val="12"/>
                <w:szCs w:val="12"/>
                <w:color w:val="auto"/>
              </w:rPr>
              <w:t>13,029</w:t>
            </w:r>
          </w:p>
        </w:tc>
        <w:tc>
          <w:tcPr>
            <w:tcW w:w="460" w:type="dxa"/>
            <w:vAlign w:val="bottom"/>
          </w:tcPr>
          <w:p>
            <w:pPr>
              <w:spacing w:after="0"/>
              <w:rPr>
                <w:sz w:val="13"/>
                <w:szCs w:val="13"/>
                <w:color w:val="auto"/>
              </w:rPr>
            </w:pPr>
          </w:p>
        </w:tc>
        <w:tc>
          <w:tcPr>
            <w:tcW w:w="72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color w:val="auto"/>
              </w:rPr>
              <w:t>492,030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860" w:type="dxa"/>
            <w:vAlign w:val="bottom"/>
            <w:tcBorders>
              <w:lef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Borders>
              <w:right w:val="single" w:sz="8" w:color="CCEEFF"/>
            </w:tcBorders>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18-Feb-2025</w:t>
            </w:r>
          </w:p>
        </w:tc>
        <w:tc>
          <w:tcPr>
            <w:tcW w:w="5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7,026</w:t>
            </w: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201,857</w:t>
            </w:r>
          </w:p>
        </w:tc>
        <w:tc>
          <w:tcPr>
            <w:tcW w:w="98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60" w:type="dxa"/>
            <w:vAlign w:val="bottom"/>
            <w:tcBorders>
              <w:lef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980" w:type="dxa"/>
            <w:vAlign w:val="bottom"/>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2"/>
                <w:szCs w:val="12"/>
                <w:color w:val="auto"/>
              </w:rPr>
              <w:t>16-Feb-2026</w:t>
            </w:r>
          </w:p>
        </w:tc>
        <w:tc>
          <w:tcPr>
            <w:tcW w:w="520" w:type="dxa"/>
            <w:vAlign w:val="bottom"/>
          </w:tcPr>
          <w:p>
            <w:pPr>
              <w:spacing w:after="0"/>
              <w:rPr>
                <w:sz w:val="16"/>
                <w:szCs w:val="16"/>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1"/>
              <w:spacing w:after="0"/>
              <w:rPr>
                <w:sz w:val="20"/>
                <w:szCs w:val="20"/>
                <w:color w:val="auto"/>
              </w:rPr>
            </w:pPr>
            <w:r>
              <w:rPr>
                <w:rFonts w:ascii="Arial" w:cs="Arial" w:eastAsia="Arial" w:hAnsi="Arial"/>
                <w:sz w:val="12"/>
                <w:szCs w:val="12"/>
                <w:color w:val="auto"/>
              </w:rPr>
              <w:t>19,828</w:t>
            </w:r>
          </w:p>
        </w:tc>
        <w:tc>
          <w:tcPr>
            <w:tcW w:w="460" w:type="dxa"/>
            <w:vAlign w:val="bottom"/>
          </w:tcPr>
          <w:p>
            <w:pPr>
              <w:spacing w:after="0"/>
              <w:rPr>
                <w:sz w:val="16"/>
                <w:szCs w:val="16"/>
                <w:color w:val="auto"/>
              </w:rPr>
            </w:pPr>
          </w:p>
        </w:tc>
        <w:tc>
          <w:tcPr>
            <w:tcW w:w="72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color w:val="auto"/>
              </w:rPr>
              <w:t>569,658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Borders>
              <w:right w:val="single" w:sz="8" w:color="CCEEFF"/>
            </w:tcBorders>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16-Feb-2026</w:t>
            </w:r>
          </w:p>
        </w:tc>
        <w:tc>
          <w:tcPr>
            <w:tcW w:w="5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18,274</w:t>
            </w:r>
          </w:p>
        </w:tc>
        <w:tc>
          <w:tcPr>
            <w:tcW w:w="46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525,012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6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Neil Boehm</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980" w:type="dxa"/>
            <w:vAlign w:val="bottom"/>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2"/>
                <w:szCs w:val="12"/>
                <w:color w:val="auto"/>
              </w:rPr>
              <w:t>25-Feb-2026</w:t>
            </w:r>
          </w:p>
        </w:tc>
        <w:tc>
          <w:tcPr>
            <w:tcW w:w="520" w:type="dxa"/>
            <w:vAlign w:val="bottom"/>
          </w:tcPr>
          <w:p>
            <w:pPr>
              <w:spacing w:after="0"/>
              <w:rPr>
                <w:sz w:val="16"/>
                <w:szCs w:val="16"/>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8,273</w:t>
            </w:r>
          </w:p>
        </w:tc>
        <w:tc>
          <w:tcPr>
            <w:tcW w:w="8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237,683</w:t>
            </w:r>
          </w:p>
        </w:tc>
        <w:tc>
          <w:tcPr>
            <w:tcW w:w="9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6"/>
                <w:szCs w:val="16"/>
                <w:color w:val="auto"/>
              </w:rPr>
            </w:pPr>
          </w:p>
        </w:tc>
        <w:tc>
          <w:tcPr>
            <w:tcW w:w="72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Borders>
              <w:right w:val="single" w:sz="8" w:color="CCEEFF"/>
            </w:tcBorders>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25-Feb-2027</w:t>
            </w:r>
          </w:p>
        </w:tc>
        <w:tc>
          <w:tcPr>
            <w:tcW w:w="5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9,476</w:t>
            </w: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272,245</w:t>
            </w:r>
          </w:p>
        </w:tc>
        <w:tc>
          <w:tcPr>
            <w:tcW w:w="98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60" w:type="dxa"/>
            <w:vAlign w:val="bottom"/>
            <w:tcBorders>
              <w:lef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980" w:type="dxa"/>
            <w:vAlign w:val="bottom"/>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2"/>
                <w:szCs w:val="12"/>
                <w:color w:val="auto"/>
              </w:rPr>
              <w:t>15-Feb-2027</w:t>
            </w:r>
          </w:p>
        </w:tc>
        <w:tc>
          <w:tcPr>
            <w:tcW w:w="520" w:type="dxa"/>
            <w:vAlign w:val="bottom"/>
          </w:tcPr>
          <w:p>
            <w:pPr>
              <w:spacing w:after="0"/>
              <w:rPr>
                <w:sz w:val="16"/>
                <w:szCs w:val="16"/>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1"/>
              <w:spacing w:after="0"/>
              <w:rPr>
                <w:sz w:val="20"/>
                <w:szCs w:val="20"/>
                <w:color w:val="auto"/>
              </w:rPr>
            </w:pPr>
            <w:r>
              <w:rPr>
                <w:rFonts w:ascii="Arial" w:cs="Arial" w:eastAsia="Arial" w:hAnsi="Arial"/>
                <w:sz w:val="12"/>
                <w:szCs w:val="12"/>
                <w:color w:val="auto"/>
              </w:rPr>
              <w:t>22,356</w:t>
            </w:r>
          </w:p>
        </w:tc>
        <w:tc>
          <w:tcPr>
            <w:tcW w:w="460" w:type="dxa"/>
            <w:vAlign w:val="bottom"/>
          </w:tcPr>
          <w:p>
            <w:pPr>
              <w:spacing w:after="0"/>
              <w:rPr>
                <w:sz w:val="16"/>
                <w:szCs w:val="16"/>
                <w:color w:val="auto"/>
              </w:rPr>
            </w:pPr>
          </w:p>
        </w:tc>
        <w:tc>
          <w:tcPr>
            <w:tcW w:w="72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color w:val="auto"/>
              </w:rPr>
              <w:t>642,288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60" w:type="dxa"/>
            <w:vAlign w:val="bottom"/>
            <w:tcBorders>
              <w:lef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Borders>
              <w:right w:val="single" w:sz="8" w:color="CCEEFF"/>
            </w:tcBorders>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w w:val="97"/>
              </w:rPr>
              <w:t>15,000</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ind w:left="840"/>
              <w:spacing w:after="0"/>
              <w:rPr>
                <w:sz w:val="20"/>
                <w:szCs w:val="20"/>
                <w:color w:val="auto"/>
              </w:rPr>
            </w:pPr>
            <w:r>
              <w:rPr>
                <w:rFonts w:ascii="Arial" w:cs="Arial" w:eastAsia="Arial" w:hAnsi="Arial"/>
                <w:sz w:val="12"/>
                <w:szCs w:val="12"/>
                <w:color w:val="auto"/>
                <w:w w:val="99"/>
              </w:rPr>
              <w:t>—</w:t>
            </w:r>
          </w:p>
        </w:tc>
        <w:tc>
          <w:tcPr>
            <w:tcW w:w="76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2"/>
                <w:szCs w:val="12"/>
                <w:color w:val="auto"/>
                <w:w w:val="99"/>
              </w:rPr>
              <w:t>22.94</w:t>
            </w:r>
          </w:p>
        </w:tc>
        <w:tc>
          <w:tcPr>
            <w:tcW w:w="1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15-Feb-2028</w:t>
            </w:r>
          </w:p>
        </w:tc>
        <w:tc>
          <w:tcPr>
            <w:tcW w:w="52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60" w:type="dxa"/>
            <w:vAlign w:val="bottom"/>
            <w:tcBorders>
              <w:left w:val="single" w:sz="8" w:color="auto"/>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w w:val="97"/>
              </w:rPr>
              <w:t>15,000</w:t>
            </w:r>
          </w:p>
        </w:tc>
        <w:tc>
          <w:tcPr>
            <w:tcW w:w="1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gridSpan w:val="2"/>
          </w:tcPr>
          <w:p>
            <w:pPr>
              <w:ind w:left="680"/>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Borders>
              <w:top w:val="single" w:sz="8" w:color="auto"/>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w w:val="97"/>
              </w:rPr>
              <w:t>24,775</w:t>
            </w:r>
          </w:p>
        </w:tc>
        <w:tc>
          <w:tcPr>
            <w:tcW w:w="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711,785</w:t>
            </w: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73,487</w:t>
            </w:r>
          </w:p>
        </w:tc>
        <w:tc>
          <w:tcPr>
            <w:tcW w:w="4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right w:val="single" w:sz="8" w:color="auto"/>
            </w:tcBorders>
          </w:tcPr>
          <w:p>
            <w:pPr>
              <w:jc w:val="right"/>
              <w:ind w:right="20"/>
              <w:spacing w:after="0"/>
              <w:rPr>
                <w:sz w:val="20"/>
                <w:szCs w:val="20"/>
                <w:color w:val="auto"/>
              </w:rPr>
            </w:pPr>
            <w:r>
              <w:rPr>
                <w:rFonts w:ascii="Arial" w:cs="Arial" w:eastAsia="Arial" w:hAnsi="Arial"/>
                <w:sz w:val="12"/>
                <w:szCs w:val="12"/>
                <w:color w:val="auto"/>
              </w:rPr>
              <w:t>2,228,988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6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Borders>
              <w:right w:val="single" w:sz="8" w:color="CCEEFF"/>
            </w:tcBorders>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1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17-Feb-2025</w:t>
            </w:r>
          </w:p>
        </w:tc>
        <w:tc>
          <w:tcPr>
            <w:tcW w:w="5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15,552</w:t>
            </w:r>
          </w:p>
        </w:tc>
        <w:tc>
          <w:tcPr>
            <w:tcW w:w="46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587,270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60" w:type="dxa"/>
            <w:vAlign w:val="bottom"/>
            <w:tcBorders>
              <w:lef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980" w:type="dxa"/>
            <w:vAlign w:val="bottom"/>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2"/>
                <w:szCs w:val="12"/>
                <w:color w:val="auto"/>
              </w:rPr>
              <w:t>18-Feb-2025</w:t>
            </w:r>
          </w:p>
        </w:tc>
        <w:tc>
          <w:tcPr>
            <w:tcW w:w="520" w:type="dxa"/>
            <w:vAlign w:val="bottom"/>
          </w:tcPr>
          <w:p>
            <w:pPr>
              <w:spacing w:after="0"/>
              <w:rPr>
                <w:sz w:val="16"/>
                <w:szCs w:val="16"/>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8,386</w:t>
            </w:r>
          </w:p>
        </w:tc>
        <w:tc>
          <w:tcPr>
            <w:tcW w:w="8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240,930</w:t>
            </w:r>
          </w:p>
        </w:tc>
        <w:tc>
          <w:tcPr>
            <w:tcW w:w="9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6"/>
                <w:szCs w:val="16"/>
                <w:color w:val="auto"/>
              </w:rPr>
            </w:pPr>
          </w:p>
        </w:tc>
        <w:tc>
          <w:tcPr>
            <w:tcW w:w="72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Borders>
              <w:right w:val="single" w:sz="8" w:color="CCEEFF"/>
            </w:tcBorders>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16-Feb-2026</w:t>
            </w:r>
          </w:p>
        </w:tc>
        <w:tc>
          <w:tcPr>
            <w:tcW w:w="5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23,664</w:t>
            </w:r>
          </w:p>
        </w:tc>
        <w:tc>
          <w:tcPr>
            <w:tcW w:w="46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679,867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6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980" w:type="dxa"/>
            <w:vAlign w:val="bottom"/>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Arial" w:cs="Arial" w:eastAsia="Arial" w:hAnsi="Arial"/>
                <w:sz w:val="12"/>
                <w:szCs w:val="12"/>
                <w:color w:val="auto"/>
              </w:rPr>
              <w:t>16-Feb-2026</w:t>
            </w:r>
          </w:p>
        </w:tc>
        <w:tc>
          <w:tcPr>
            <w:tcW w:w="520" w:type="dxa"/>
            <w:vAlign w:val="bottom"/>
          </w:tcPr>
          <w:p>
            <w:pPr>
              <w:spacing w:after="0"/>
              <w:rPr>
                <w:sz w:val="15"/>
                <w:szCs w:val="15"/>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1"/>
              <w:spacing w:after="0"/>
              <w:rPr>
                <w:sz w:val="20"/>
                <w:szCs w:val="20"/>
                <w:color w:val="auto"/>
              </w:rPr>
            </w:pPr>
            <w:r>
              <w:rPr>
                <w:rFonts w:ascii="Arial" w:cs="Arial" w:eastAsia="Arial" w:hAnsi="Arial"/>
                <w:sz w:val="12"/>
                <w:szCs w:val="12"/>
                <w:color w:val="auto"/>
              </w:rPr>
              <w:t>18,274</w:t>
            </w:r>
          </w:p>
        </w:tc>
        <w:tc>
          <w:tcPr>
            <w:tcW w:w="460" w:type="dxa"/>
            <w:vAlign w:val="bottom"/>
          </w:tcPr>
          <w:p>
            <w:pPr>
              <w:spacing w:after="0"/>
              <w:rPr>
                <w:sz w:val="15"/>
                <w:szCs w:val="15"/>
                <w:color w:val="auto"/>
              </w:rPr>
            </w:pPr>
          </w:p>
        </w:tc>
        <w:tc>
          <w:tcPr>
            <w:tcW w:w="72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color w:val="auto"/>
              </w:rPr>
              <w:t>525,012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6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Kevin Nash</w:t>
            </w:r>
          </w:p>
        </w:tc>
        <w:tc>
          <w:tcPr>
            <w:tcW w:w="300" w:type="dxa"/>
            <w:vAlign w:val="bottom"/>
          </w:tcPr>
          <w:p>
            <w:pPr>
              <w:spacing w:after="0"/>
              <w:rPr>
                <w:sz w:val="17"/>
                <w:szCs w:val="17"/>
                <w:color w:val="auto"/>
              </w:rPr>
            </w:pPr>
          </w:p>
        </w:tc>
        <w:tc>
          <w:tcPr>
            <w:tcW w:w="800" w:type="dxa"/>
            <w:vAlign w:val="bottom"/>
            <w:tcBorders>
              <w:right w:val="single" w:sz="8" w:color="CCEEFF"/>
            </w:tcBorders>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25-Feb-2026</w:t>
            </w:r>
          </w:p>
        </w:tc>
        <w:tc>
          <w:tcPr>
            <w:tcW w:w="5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9,874</w:t>
            </w: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283,680</w:t>
            </w:r>
          </w:p>
        </w:tc>
        <w:tc>
          <w:tcPr>
            <w:tcW w:w="98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60" w:type="dxa"/>
            <w:vAlign w:val="bottom"/>
            <w:tcBorders>
              <w:lef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980" w:type="dxa"/>
            <w:vAlign w:val="bottom"/>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2"/>
                <w:szCs w:val="12"/>
                <w:color w:val="auto"/>
              </w:rPr>
              <w:t>25-Feb-2027</w:t>
            </w:r>
          </w:p>
        </w:tc>
        <w:tc>
          <w:tcPr>
            <w:tcW w:w="520" w:type="dxa"/>
            <w:vAlign w:val="bottom"/>
          </w:tcPr>
          <w:p>
            <w:pPr>
              <w:spacing w:after="0"/>
              <w:rPr>
                <w:sz w:val="16"/>
                <w:szCs w:val="16"/>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9,146</w:t>
            </w:r>
          </w:p>
        </w:tc>
        <w:tc>
          <w:tcPr>
            <w:tcW w:w="8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262,765</w:t>
            </w:r>
          </w:p>
        </w:tc>
        <w:tc>
          <w:tcPr>
            <w:tcW w:w="9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6"/>
                <w:szCs w:val="16"/>
                <w:color w:val="auto"/>
              </w:rPr>
            </w:pPr>
          </w:p>
        </w:tc>
        <w:tc>
          <w:tcPr>
            <w:tcW w:w="72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Borders>
              <w:right w:val="single" w:sz="8" w:color="CCEEFF"/>
            </w:tcBorders>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15-Feb-2027</w:t>
            </w:r>
          </w:p>
        </w:tc>
        <w:tc>
          <w:tcPr>
            <w:tcW w:w="5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21,578</w:t>
            </w:r>
          </w:p>
        </w:tc>
        <w:tc>
          <w:tcPr>
            <w:tcW w:w="46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619,936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60" w:type="dxa"/>
            <w:vAlign w:val="bottom"/>
            <w:tcBorders>
              <w:lef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w w:val="97"/>
              </w:rPr>
              <w:t>13,500</w:t>
            </w:r>
          </w:p>
        </w:tc>
        <w:tc>
          <w:tcPr>
            <w:tcW w:w="140" w:type="dxa"/>
            <w:vAlign w:val="bottom"/>
          </w:tcPr>
          <w:p>
            <w:pPr>
              <w:spacing w:after="0"/>
              <w:rPr>
                <w:sz w:val="16"/>
                <w:szCs w:val="16"/>
                <w:color w:val="auto"/>
              </w:rPr>
            </w:pP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980" w:type="dxa"/>
            <w:vAlign w:val="bottom"/>
          </w:tcPr>
          <w:p>
            <w:pPr>
              <w:ind w:left="840"/>
              <w:spacing w:after="0"/>
              <w:rPr>
                <w:sz w:val="20"/>
                <w:szCs w:val="20"/>
                <w:color w:val="auto"/>
              </w:rPr>
            </w:pPr>
            <w:r>
              <w:rPr>
                <w:rFonts w:ascii="Arial" w:cs="Arial" w:eastAsia="Arial" w:hAnsi="Arial"/>
                <w:sz w:val="12"/>
                <w:szCs w:val="12"/>
                <w:color w:val="auto"/>
                <w:w w:val="99"/>
              </w:rPr>
              <w:t>—</w:t>
            </w:r>
          </w:p>
        </w:tc>
        <w:tc>
          <w:tcPr>
            <w:tcW w:w="760" w:type="dxa"/>
            <w:vAlign w:val="bottom"/>
            <w:gridSpan w:val="2"/>
          </w:tcPr>
          <w:p>
            <w:pPr>
              <w:jc w:val="center"/>
              <w:spacing w:after="0"/>
              <w:rPr>
                <w:sz w:val="20"/>
                <w:szCs w:val="20"/>
                <w:color w:val="auto"/>
              </w:rPr>
            </w:pPr>
            <w:r>
              <w:rPr>
                <w:rFonts w:ascii="Arial" w:cs="Arial" w:eastAsia="Arial" w:hAnsi="Arial"/>
                <w:sz w:val="12"/>
                <w:szCs w:val="12"/>
                <w:color w:val="auto"/>
                <w:w w:val="99"/>
              </w:rPr>
              <w:t>22.94</w:t>
            </w:r>
          </w:p>
        </w:tc>
        <w:tc>
          <w:tcPr>
            <w:tcW w:w="1280" w:type="dxa"/>
            <w:vAlign w:val="bottom"/>
            <w:gridSpan w:val="2"/>
          </w:tcPr>
          <w:p>
            <w:pPr>
              <w:spacing w:after="0"/>
              <w:rPr>
                <w:sz w:val="20"/>
                <w:szCs w:val="20"/>
                <w:color w:val="auto"/>
              </w:rPr>
            </w:pPr>
            <w:r>
              <w:rPr>
                <w:rFonts w:ascii="Arial" w:cs="Arial" w:eastAsia="Arial" w:hAnsi="Arial"/>
                <w:sz w:val="12"/>
                <w:szCs w:val="12"/>
                <w:color w:val="auto"/>
              </w:rPr>
              <w:t>15-Feb-2028</w:t>
            </w:r>
          </w:p>
        </w:tc>
        <w:tc>
          <w:tcPr>
            <w:tcW w:w="520" w:type="dxa"/>
            <w:vAlign w:val="bottom"/>
          </w:tcPr>
          <w:p>
            <w:pPr>
              <w:spacing w:after="0"/>
              <w:rPr>
                <w:sz w:val="16"/>
                <w:szCs w:val="16"/>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6"/>
                <w:szCs w:val="16"/>
                <w:color w:val="auto"/>
              </w:rPr>
            </w:pPr>
          </w:p>
        </w:tc>
        <w:tc>
          <w:tcPr>
            <w:tcW w:w="72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860" w:type="dxa"/>
            <w:vAlign w:val="bottom"/>
            <w:tcBorders>
              <w:left w:val="single" w:sz="8" w:color="auto"/>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CCEEFF"/>
            </w:tcBorders>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w w:val="97"/>
              </w:rPr>
              <w:t>13,500</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Borders>
              <w:top w:val="single" w:sz="8" w:color="auto"/>
              <w:bottom w:val="single" w:sz="8" w:color="auto"/>
              <w:right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auto"/>
              <w:right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auto"/>
            </w:tcBorders>
            <w:shd w:val="clear" w:color="auto" w:fill="CCEEFF"/>
          </w:tcPr>
          <w:p>
            <w:pPr>
              <w:spacing w:after="0"/>
              <w:rPr>
                <w:sz w:val="15"/>
                <w:szCs w:val="15"/>
                <w:color w:val="auto"/>
              </w:rPr>
            </w:pPr>
          </w:p>
        </w:tc>
        <w:tc>
          <w:tcPr>
            <w:tcW w:w="800" w:type="dxa"/>
            <w:vAlign w:val="bottom"/>
            <w:tcBorders>
              <w:top w:val="single" w:sz="8" w:color="CCEEFF"/>
              <w:bottom w:val="single" w:sz="8" w:color="auto"/>
              <w:right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w w:val="97"/>
              </w:rPr>
              <w:t>27,406</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787,375</w:t>
            </w:r>
          </w:p>
        </w:tc>
        <w:tc>
          <w:tcPr>
            <w:tcW w:w="980" w:type="dxa"/>
            <w:vAlign w:val="bottom"/>
            <w:tcBorders>
              <w:top w:val="single" w:sz="8" w:color="auto"/>
              <w:bottom w:val="single" w:sz="8" w:color="auto"/>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79,068</w:t>
            </w: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2,412,085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6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980" w:type="dxa"/>
            <w:vAlign w:val="bottom"/>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Arial" w:cs="Arial" w:eastAsia="Arial" w:hAnsi="Arial"/>
                <w:sz w:val="12"/>
                <w:szCs w:val="12"/>
                <w:color w:val="auto"/>
              </w:rPr>
              <w:t>17-Feb-2025</w:t>
            </w:r>
          </w:p>
        </w:tc>
        <w:tc>
          <w:tcPr>
            <w:tcW w:w="520" w:type="dxa"/>
            <w:vAlign w:val="bottom"/>
          </w:tcPr>
          <w:p>
            <w:pPr>
              <w:spacing w:after="0"/>
              <w:rPr>
                <w:sz w:val="15"/>
                <w:szCs w:val="15"/>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1"/>
              <w:spacing w:after="0"/>
              <w:rPr>
                <w:sz w:val="20"/>
                <w:szCs w:val="20"/>
                <w:color w:val="auto"/>
              </w:rPr>
            </w:pPr>
            <w:r>
              <w:rPr>
                <w:rFonts w:ascii="Arial" w:cs="Arial" w:eastAsia="Arial" w:hAnsi="Arial"/>
                <w:sz w:val="12"/>
                <w:szCs w:val="12"/>
                <w:color w:val="auto"/>
              </w:rPr>
              <w:t>15,552.00</w:t>
            </w:r>
          </w:p>
        </w:tc>
        <w:tc>
          <w:tcPr>
            <w:tcW w:w="460" w:type="dxa"/>
            <w:vAlign w:val="bottom"/>
          </w:tcPr>
          <w:p>
            <w:pPr>
              <w:spacing w:after="0"/>
              <w:rPr>
                <w:sz w:val="15"/>
                <w:szCs w:val="15"/>
                <w:color w:val="auto"/>
              </w:rPr>
            </w:pPr>
          </w:p>
        </w:tc>
        <w:tc>
          <w:tcPr>
            <w:tcW w:w="72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color w:val="auto"/>
              </w:rPr>
              <w:t>587,270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Borders>
              <w:right w:val="single" w:sz="8" w:color="CCEEFF"/>
            </w:tcBorders>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18-Feb-2025</w:t>
            </w:r>
          </w:p>
        </w:tc>
        <w:tc>
          <w:tcPr>
            <w:tcW w:w="5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8,386</w:t>
            </w: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240,930</w:t>
            </w:r>
          </w:p>
        </w:tc>
        <w:tc>
          <w:tcPr>
            <w:tcW w:w="98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60" w:type="dxa"/>
            <w:vAlign w:val="bottom"/>
            <w:tcBorders>
              <w:lef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980" w:type="dxa"/>
            <w:vAlign w:val="bottom"/>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2"/>
                <w:szCs w:val="12"/>
                <w:color w:val="auto"/>
              </w:rPr>
              <w:t>16-Feb-2026</w:t>
            </w:r>
          </w:p>
        </w:tc>
        <w:tc>
          <w:tcPr>
            <w:tcW w:w="520" w:type="dxa"/>
            <w:vAlign w:val="bottom"/>
          </w:tcPr>
          <w:p>
            <w:pPr>
              <w:spacing w:after="0"/>
              <w:rPr>
                <w:sz w:val="16"/>
                <w:szCs w:val="16"/>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1"/>
              <w:spacing w:after="0"/>
              <w:rPr>
                <w:sz w:val="20"/>
                <w:szCs w:val="20"/>
                <w:color w:val="auto"/>
              </w:rPr>
            </w:pPr>
            <w:r>
              <w:rPr>
                <w:rFonts w:ascii="Arial" w:cs="Arial" w:eastAsia="Arial" w:hAnsi="Arial"/>
                <w:sz w:val="12"/>
                <w:szCs w:val="12"/>
                <w:color w:val="auto"/>
              </w:rPr>
              <w:t>23,664</w:t>
            </w:r>
          </w:p>
        </w:tc>
        <w:tc>
          <w:tcPr>
            <w:tcW w:w="460" w:type="dxa"/>
            <w:vAlign w:val="bottom"/>
          </w:tcPr>
          <w:p>
            <w:pPr>
              <w:spacing w:after="0"/>
              <w:rPr>
                <w:sz w:val="16"/>
                <w:szCs w:val="16"/>
                <w:color w:val="auto"/>
              </w:rPr>
            </w:pPr>
          </w:p>
        </w:tc>
        <w:tc>
          <w:tcPr>
            <w:tcW w:w="72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color w:val="auto"/>
              </w:rPr>
              <w:t>679,867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Borders>
              <w:right w:val="single" w:sz="8" w:color="CCEEFF"/>
            </w:tcBorders>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16-Feb-2026</w:t>
            </w:r>
          </w:p>
        </w:tc>
        <w:tc>
          <w:tcPr>
            <w:tcW w:w="5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18,274</w:t>
            </w:r>
          </w:p>
        </w:tc>
        <w:tc>
          <w:tcPr>
            <w:tcW w:w="46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525,012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6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Matt Chiodo</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980" w:type="dxa"/>
            <w:vAlign w:val="bottom"/>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2"/>
                <w:szCs w:val="12"/>
                <w:color w:val="auto"/>
              </w:rPr>
              <w:t>25-Feb-2026</w:t>
            </w:r>
          </w:p>
        </w:tc>
        <w:tc>
          <w:tcPr>
            <w:tcW w:w="520" w:type="dxa"/>
            <w:vAlign w:val="bottom"/>
          </w:tcPr>
          <w:p>
            <w:pPr>
              <w:spacing w:after="0"/>
              <w:rPr>
                <w:sz w:val="16"/>
                <w:szCs w:val="16"/>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9,874</w:t>
            </w:r>
          </w:p>
        </w:tc>
        <w:tc>
          <w:tcPr>
            <w:tcW w:w="8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283,680</w:t>
            </w:r>
          </w:p>
        </w:tc>
        <w:tc>
          <w:tcPr>
            <w:tcW w:w="9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6"/>
                <w:szCs w:val="16"/>
                <w:color w:val="auto"/>
              </w:rPr>
            </w:pPr>
          </w:p>
        </w:tc>
        <w:tc>
          <w:tcPr>
            <w:tcW w:w="72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Borders>
              <w:right w:val="single" w:sz="8" w:color="CCEEFF"/>
            </w:tcBorders>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25-Feb-2027</w:t>
            </w:r>
          </w:p>
        </w:tc>
        <w:tc>
          <w:tcPr>
            <w:tcW w:w="5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9,146</w:t>
            </w: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262,765</w:t>
            </w:r>
          </w:p>
        </w:tc>
        <w:tc>
          <w:tcPr>
            <w:tcW w:w="98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60" w:type="dxa"/>
            <w:vAlign w:val="bottom"/>
            <w:tcBorders>
              <w:lef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980" w:type="dxa"/>
            <w:vAlign w:val="bottom"/>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2"/>
                <w:szCs w:val="12"/>
                <w:color w:val="auto"/>
              </w:rPr>
              <w:t>15-Feb-2027</w:t>
            </w:r>
          </w:p>
        </w:tc>
        <w:tc>
          <w:tcPr>
            <w:tcW w:w="520" w:type="dxa"/>
            <w:vAlign w:val="bottom"/>
          </w:tcPr>
          <w:p>
            <w:pPr>
              <w:spacing w:after="0"/>
              <w:rPr>
                <w:sz w:val="16"/>
                <w:szCs w:val="16"/>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1"/>
              <w:spacing w:after="0"/>
              <w:rPr>
                <w:sz w:val="20"/>
                <w:szCs w:val="20"/>
                <w:color w:val="auto"/>
              </w:rPr>
            </w:pPr>
            <w:r>
              <w:rPr>
                <w:rFonts w:ascii="Arial" w:cs="Arial" w:eastAsia="Arial" w:hAnsi="Arial"/>
                <w:sz w:val="12"/>
                <w:szCs w:val="12"/>
                <w:color w:val="auto"/>
              </w:rPr>
              <w:t>21,578</w:t>
            </w:r>
          </w:p>
        </w:tc>
        <w:tc>
          <w:tcPr>
            <w:tcW w:w="460" w:type="dxa"/>
            <w:vAlign w:val="bottom"/>
          </w:tcPr>
          <w:p>
            <w:pPr>
              <w:spacing w:after="0"/>
              <w:rPr>
                <w:sz w:val="16"/>
                <w:szCs w:val="16"/>
                <w:color w:val="auto"/>
              </w:rPr>
            </w:pPr>
          </w:p>
        </w:tc>
        <w:tc>
          <w:tcPr>
            <w:tcW w:w="72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color w:val="auto"/>
              </w:rPr>
              <w:t>619,936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60" w:type="dxa"/>
            <w:vAlign w:val="bottom"/>
            <w:tcBorders>
              <w:lef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Borders>
              <w:right w:val="single" w:sz="8" w:color="CCEEFF"/>
            </w:tcBorders>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w w:val="97"/>
              </w:rPr>
              <w:t>30,000</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ind w:left="840"/>
              <w:spacing w:after="0"/>
              <w:rPr>
                <w:sz w:val="20"/>
                <w:szCs w:val="20"/>
                <w:color w:val="auto"/>
              </w:rPr>
            </w:pPr>
            <w:r>
              <w:rPr>
                <w:rFonts w:ascii="Arial" w:cs="Arial" w:eastAsia="Arial" w:hAnsi="Arial"/>
                <w:sz w:val="12"/>
                <w:szCs w:val="12"/>
                <w:color w:val="auto"/>
                <w:w w:val="99"/>
              </w:rPr>
              <w:t>—</w:t>
            </w:r>
          </w:p>
        </w:tc>
        <w:tc>
          <w:tcPr>
            <w:tcW w:w="76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2"/>
                <w:szCs w:val="12"/>
                <w:color w:val="auto"/>
                <w:w w:val="99"/>
              </w:rPr>
              <w:t>22.94</w:t>
            </w:r>
          </w:p>
        </w:tc>
        <w:tc>
          <w:tcPr>
            <w:tcW w:w="1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15-Feb-2028</w:t>
            </w:r>
          </w:p>
        </w:tc>
        <w:tc>
          <w:tcPr>
            <w:tcW w:w="52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860" w:type="dxa"/>
            <w:vAlign w:val="bottom"/>
            <w:tcBorders>
              <w:left w:val="single" w:sz="8" w:color="auto"/>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w w:val="97"/>
              </w:rPr>
              <w:t>30,000</w:t>
            </w:r>
          </w:p>
        </w:tc>
        <w:tc>
          <w:tcPr>
            <w:tcW w:w="1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gridSpan w:val="2"/>
          </w:tcPr>
          <w:p>
            <w:pPr>
              <w:ind w:left="680"/>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Borders>
              <w:top w:val="single" w:sz="8" w:color="auto"/>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w w:val="97"/>
              </w:rPr>
              <w:t>27,406</w:t>
            </w:r>
          </w:p>
        </w:tc>
        <w:tc>
          <w:tcPr>
            <w:tcW w:w="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787,375</w:t>
            </w: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79,068</w:t>
            </w:r>
          </w:p>
        </w:tc>
        <w:tc>
          <w:tcPr>
            <w:tcW w:w="4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2,412,085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Borders>
              <w:right w:val="single" w:sz="8" w:color="CCEEFF"/>
            </w:tcBorders>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1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17-Feb-2025</w:t>
            </w:r>
          </w:p>
        </w:tc>
        <w:tc>
          <w:tcPr>
            <w:tcW w:w="5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10,287</w:t>
            </w:r>
          </w:p>
        </w:tc>
        <w:tc>
          <w:tcPr>
            <w:tcW w:w="46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388,458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60" w:type="dxa"/>
            <w:vAlign w:val="bottom"/>
            <w:tcBorders>
              <w:lef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980" w:type="dxa"/>
            <w:vAlign w:val="bottom"/>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2"/>
                <w:szCs w:val="12"/>
                <w:color w:val="auto"/>
              </w:rPr>
              <w:t>18-Feb-2025</w:t>
            </w:r>
          </w:p>
        </w:tc>
        <w:tc>
          <w:tcPr>
            <w:tcW w:w="520" w:type="dxa"/>
            <w:vAlign w:val="bottom"/>
          </w:tcPr>
          <w:p>
            <w:pPr>
              <w:spacing w:after="0"/>
              <w:rPr>
                <w:sz w:val="16"/>
                <w:szCs w:val="16"/>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5,547</w:t>
            </w:r>
          </w:p>
        </w:tc>
        <w:tc>
          <w:tcPr>
            <w:tcW w:w="8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159,365</w:t>
            </w:r>
          </w:p>
        </w:tc>
        <w:tc>
          <w:tcPr>
            <w:tcW w:w="9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6"/>
                <w:szCs w:val="16"/>
                <w:color w:val="auto"/>
              </w:rPr>
            </w:pPr>
          </w:p>
        </w:tc>
        <w:tc>
          <w:tcPr>
            <w:tcW w:w="72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Borders>
              <w:right w:val="single" w:sz="8" w:color="CCEEFF"/>
            </w:tcBorders>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16-Feb-2026</w:t>
            </w:r>
          </w:p>
        </w:tc>
        <w:tc>
          <w:tcPr>
            <w:tcW w:w="5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15,978</w:t>
            </w:r>
          </w:p>
        </w:tc>
        <w:tc>
          <w:tcPr>
            <w:tcW w:w="46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459,048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6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980" w:type="dxa"/>
            <w:vAlign w:val="bottom"/>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Arial" w:cs="Arial" w:eastAsia="Arial" w:hAnsi="Arial"/>
                <w:sz w:val="12"/>
                <w:szCs w:val="12"/>
                <w:color w:val="auto"/>
              </w:rPr>
              <w:t>16-Feb-2026</w:t>
            </w:r>
          </w:p>
        </w:tc>
        <w:tc>
          <w:tcPr>
            <w:tcW w:w="520" w:type="dxa"/>
            <w:vAlign w:val="bottom"/>
          </w:tcPr>
          <w:p>
            <w:pPr>
              <w:spacing w:after="0"/>
              <w:rPr>
                <w:sz w:val="15"/>
                <w:szCs w:val="15"/>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1"/>
              <w:spacing w:after="0"/>
              <w:rPr>
                <w:sz w:val="20"/>
                <w:szCs w:val="20"/>
                <w:color w:val="auto"/>
              </w:rPr>
            </w:pPr>
            <w:r>
              <w:rPr>
                <w:rFonts w:ascii="Arial" w:cs="Arial" w:eastAsia="Arial" w:hAnsi="Arial"/>
                <w:sz w:val="12"/>
                <w:szCs w:val="12"/>
                <w:color w:val="auto"/>
              </w:rPr>
              <w:t>14,727</w:t>
            </w:r>
          </w:p>
        </w:tc>
        <w:tc>
          <w:tcPr>
            <w:tcW w:w="460" w:type="dxa"/>
            <w:vAlign w:val="bottom"/>
          </w:tcPr>
          <w:p>
            <w:pPr>
              <w:spacing w:after="0"/>
              <w:rPr>
                <w:sz w:val="15"/>
                <w:szCs w:val="15"/>
                <w:color w:val="auto"/>
              </w:rPr>
            </w:pPr>
          </w:p>
        </w:tc>
        <w:tc>
          <w:tcPr>
            <w:tcW w:w="72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color w:val="auto"/>
              </w:rPr>
              <w:t>423,107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6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Scott Ryan</w:t>
            </w:r>
          </w:p>
        </w:tc>
        <w:tc>
          <w:tcPr>
            <w:tcW w:w="300" w:type="dxa"/>
            <w:vAlign w:val="bottom"/>
          </w:tcPr>
          <w:p>
            <w:pPr>
              <w:spacing w:after="0"/>
              <w:rPr>
                <w:sz w:val="17"/>
                <w:szCs w:val="17"/>
                <w:color w:val="auto"/>
              </w:rPr>
            </w:pPr>
          </w:p>
        </w:tc>
        <w:tc>
          <w:tcPr>
            <w:tcW w:w="800" w:type="dxa"/>
            <w:vAlign w:val="bottom"/>
            <w:tcBorders>
              <w:right w:val="single" w:sz="8" w:color="CCEEFF"/>
            </w:tcBorders>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25-Feb-2026</w:t>
            </w:r>
          </w:p>
        </w:tc>
        <w:tc>
          <w:tcPr>
            <w:tcW w:w="5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6,666</w:t>
            </w: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191,514</w:t>
            </w:r>
          </w:p>
        </w:tc>
        <w:tc>
          <w:tcPr>
            <w:tcW w:w="98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60" w:type="dxa"/>
            <w:vAlign w:val="bottom"/>
            <w:tcBorders>
              <w:lef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980" w:type="dxa"/>
            <w:vAlign w:val="bottom"/>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gridSpan w:val="2"/>
          </w:tcPr>
          <w:p>
            <w:pPr>
              <w:spacing w:after="0"/>
              <w:rPr>
                <w:sz w:val="20"/>
                <w:szCs w:val="20"/>
                <w:color w:val="auto"/>
              </w:rPr>
            </w:pPr>
            <w:r>
              <w:rPr>
                <w:rFonts w:ascii="Arial" w:cs="Arial" w:eastAsia="Arial" w:hAnsi="Arial"/>
                <w:sz w:val="12"/>
                <w:szCs w:val="12"/>
                <w:color w:val="auto"/>
              </w:rPr>
              <w:t>25-Feb-2027</w:t>
            </w:r>
          </w:p>
        </w:tc>
        <w:tc>
          <w:tcPr>
            <w:tcW w:w="520" w:type="dxa"/>
            <w:vAlign w:val="bottom"/>
          </w:tcPr>
          <w:p>
            <w:pPr>
              <w:spacing w:after="0"/>
              <w:rPr>
                <w:sz w:val="16"/>
                <w:szCs w:val="16"/>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6,075</w:t>
            </w:r>
          </w:p>
        </w:tc>
        <w:tc>
          <w:tcPr>
            <w:tcW w:w="8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174,535</w:t>
            </w:r>
          </w:p>
        </w:tc>
        <w:tc>
          <w:tcPr>
            <w:tcW w:w="9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6"/>
                <w:szCs w:val="16"/>
                <w:color w:val="auto"/>
              </w:rPr>
            </w:pPr>
          </w:p>
        </w:tc>
        <w:tc>
          <w:tcPr>
            <w:tcW w:w="72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Borders>
              <w:right w:val="single" w:sz="8" w:color="CCEEFF"/>
            </w:tcBorders>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15-Feb-2027</w:t>
            </w:r>
          </w:p>
        </w:tc>
        <w:tc>
          <w:tcPr>
            <w:tcW w:w="5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14,333</w:t>
            </w:r>
          </w:p>
        </w:tc>
        <w:tc>
          <w:tcPr>
            <w:tcW w:w="46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411,787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60" w:type="dxa"/>
            <w:vAlign w:val="bottom"/>
            <w:tcBorders>
              <w:lef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w w:val="97"/>
              </w:rPr>
              <w:t>12,500</w:t>
            </w:r>
          </w:p>
        </w:tc>
        <w:tc>
          <w:tcPr>
            <w:tcW w:w="140" w:type="dxa"/>
            <w:vAlign w:val="bottom"/>
          </w:tcPr>
          <w:p>
            <w:pPr>
              <w:spacing w:after="0"/>
              <w:rPr>
                <w:sz w:val="16"/>
                <w:szCs w:val="16"/>
                <w:color w:val="auto"/>
              </w:rPr>
            </w:pPr>
          </w:p>
        </w:tc>
        <w:tc>
          <w:tcPr>
            <w:tcW w:w="94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980" w:type="dxa"/>
            <w:vAlign w:val="bottom"/>
          </w:tcPr>
          <w:p>
            <w:pPr>
              <w:ind w:left="840"/>
              <w:spacing w:after="0"/>
              <w:rPr>
                <w:sz w:val="20"/>
                <w:szCs w:val="20"/>
                <w:color w:val="auto"/>
              </w:rPr>
            </w:pPr>
            <w:r>
              <w:rPr>
                <w:rFonts w:ascii="Arial" w:cs="Arial" w:eastAsia="Arial" w:hAnsi="Arial"/>
                <w:sz w:val="12"/>
                <w:szCs w:val="12"/>
                <w:color w:val="auto"/>
                <w:w w:val="99"/>
              </w:rPr>
              <w:t>—</w:t>
            </w:r>
          </w:p>
        </w:tc>
        <w:tc>
          <w:tcPr>
            <w:tcW w:w="760" w:type="dxa"/>
            <w:vAlign w:val="bottom"/>
            <w:gridSpan w:val="2"/>
          </w:tcPr>
          <w:p>
            <w:pPr>
              <w:jc w:val="center"/>
              <w:spacing w:after="0"/>
              <w:rPr>
                <w:sz w:val="20"/>
                <w:szCs w:val="20"/>
                <w:color w:val="auto"/>
              </w:rPr>
            </w:pPr>
            <w:r>
              <w:rPr>
                <w:rFonts w:ascii="Arial" w:cs="Arial" w:eastAsia="Arial" w:hAnsi="Arial"/>
                <w:sz w:val="12"/>
                <w:szCs w:val="12"/>
                <w:color w:val="auto"/>
                <w:w w:val="99"/>
              </w:rPr>
              <w:t>22.94</w:t>
            </w:r>
          </w:p>
        </w:tc>
        <w:tc>
          <w:tcPr>
            <w:tcW w:w="1280" w:type="dxa"/>
            <w:vAlign w:val="bottom"/>
            <w:gridSpan w:val="2"/>
          </w:tcPr>
          <w:p>
            <w:pPr>
              <w:spacing w:after="0"/>
              <w:rPr>
                <w:sz w:val="20"/>
                <w:szCs w:val="20"/>
                <w:color w:val="auto"/>
              </w:rPr>
            </w:pPr>
            <w:r>
              <w:rPr>
                <w:rFonts w:ascii="Arial" w:cs="Arial" w:eastAsia="Arial" w:hAnsi="Arial"/>
                <w:sz w:val="12"/>
                <w:szCs w:val="12"/>
                <w:color w:val="auto"/>
              </w:rPr>
              <w:t>15-Feb-2028</w:t>
            </w:r>
          </w:p>
        </w:tc>
        <w:tc>
          <w:tcPr>
            <w:tcW w:w="520" w:type="dxa"/>
            <w:vAlign w:val="bottom"/>
          </w:tcPr>
          <w:p>
            <w:pPr>
              <w:spacing w:after="0"/>
              <w:rPr>
                <w:sz w:val="16"/>
                <w:szCs w:val="16"/>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6"/>
                <w:szCs w:val="16"/>
                <w:color w:val="auto"/>
              </w:rPr>
            </w:pPr>
          </w:p>
        </w:tc>
        <w:tc>
          <w:tcPr>
            <w:tcW w:w="72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860" w:type="dxa"/>
            <w:vAlign w:val="bottom"/>
            <w:tcBorders>
              <w:left w:val="single" w:sz="8" w:color="auto"/>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CCEEFF"/>
            </w:tcBorders>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w w:val="97"/>
              </w:rPr>
              <w:t>12,500</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2"/>
                <w:szCs w:val="12"/>
                <w:color w:val="auto"/>
                <w:w w:val="99"/>
              </w:rPr>
              <w:t>—</w:t>
            </w:r>
          </w:p>
        </w:tc>
        <w:tc>
          <w:tcPr>
            <w:tcW w:w="40" w:type="dxa"/>
            <w:vAlign w:val="bottom"/>
            <w:tcBorders>
              <w:top w:val="single" w:sz="8" w:color="auto"/>
              <w:bottom w:val="single" w:sz="8" w:color="auto"/>
              <w:right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auto"/>
              <w:right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auto"/>
            </w:tcBorders>
            <w:shd w:val="clear" w:color="auto" w:fill="CCEEFF"/>
          </w:tcPr>
          <w:p>
            <w:pPr>
              <w:spacing w:after="0"/>
              <w:rPr>
                <w:sz w:val="15"/>
                <w:szCs w:val="15"/>
                <w:color w:val="auto"/>
              </w:rPr>
            </w:pPr>
          </w:p>
        </w:tc>
        <w:tc>
          <w:tcPr>
            <w:tcW w:w="800" w:type="dxa"/>
            <w:vAlign w:val="bottom"/>
            <w:tcBorders>
              <w:top w:val="single" w:sz="8" w:color="CCEEFF"/>
              <w:bottom w:val="single" w:sz="8" w:color="auto"/>
              <w:right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right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w w:val="97"/>
              </w:rPr>
              <w:t>18,288</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525,414</w:t>
            </w:r>
          </w:p>
        </w:tc>
        <w:tc>
          <w:tcPr>
            <w:tcW w:w="980" w:type="dxa"/>
            <w:vAlign w:val="bottom"/>
            <w:tcBorders>
              <w:top w:val="single" w:sz="8" w:color="auto"/>
              <w:bottom w:val="single" w:sz="8" w:color="auto"/>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55,325</w:t>
            </w: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right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1,682,400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38" w:name="page39"/>
    <w:bookmarkEnd w:id="38"/>
    <w:p>
      <w:pPr>
        <w:jc w:val="both"/>
        <w:ind w:left="360" w:right="320"/>
        <w:spacing w:after="0" w:line="242" w:lineRule="auto"/>
        <w:rPr>
          <w:sz w:val="20"/>
          <w:szCs w:val="20"/>
          <w:color w:val="auto"/>
        </w:rPr>
      </w:pPr>
      <w:r>
        <w:rPr>
          <w:rFonts w:ascii="Arial" w:cs="Arial" w:eastAsia="Arial" w:hAnsi="Arial"/>
          <w:sz w:val="17"/>
          <w:szCs w:val="17"/>
          <w:color w:val="auto"/>
        </w:rPr>
        <w:t>These options become exercisable, as long as employment with the Company continues, for 25% on each anniversary of the grant date, with an expiration date ten years from grant date.</w:t>
      </w:r>
    </w:p>
    <w:p>
      <w:pPr>
        <w:spacing w:after="0" w:line="5" w:lineRule="exact"/>
        <w:rPr>
          <w:sz w:val="20"/>
          <w:szCs w:val="20"/>
          <w:color w:val="auto"/>
        </w:rPr>
      </w:pPr>
    </w:p>
    <w:p>
      <w:pPr>
        <w:jc w:val="both"/>
        <w:ind w:left="360" w:right="320"/>
        <w:spacing w:after="0" w:line="223" w:lineRule="auto"/>
        <w:rPr>
          <w:sz w:val="20"/>
          <w:szCs w:val="20"/>
          <w:color w:val="auto"/>
        </w:rPr>
      </w:pPr>
      <w:r>
        <w:rPr>
          <w:rFonts w:ascii="Arial" w:cs="Arial" w:eastAsia="Arial" w:hAnsi="Arial"/>
          <w:sz w:val="17"/>
          <w:szCs w:val="17"/>
          <w:color w:val="auto"/>
        </w:rPr>
        <w:t>The exercise price is the closing price of the stock on the date the Compensation Committee met to approve the option grants, or when the Compensation Committee's recommendation was approved by the entire Board. The exercise price may be paid in cash, in shares of the</w:t>
      </w:r>
    </w:p>
    <w:p>
      <w:pPr>
        <w:jc w:val="both"/>
        <w:ind w:left="360" w:right="320"/>
        <w:spacing w:after="0" w:line="231" w:lineRule="auto"/>
        <w:rPr>
          <w:sz w:val="20"/>
          <w:szCs w:val="20"/>
          <w:color w:val="auto"/>
        </w:rPr>
      </w:pPr>
      <w:r>
        <w:rPr>
          <w:rFonts w:ascii="Arial" w:cs="Arial" w:eastAsia="Arial" w:hAnsi="Arial"/>
          <w:sz w:val="17"/>
          <w:szCs w:val="17"/>
          <w:color w:val="auto"/>
        </w:rPr>
        <w:t>Company's common stock, and/or by the surrender of the exercisable options valued at the difference between the exercise price and the market value of the underlying shares.</w:t>
      </w:r>
    </w:p>
    <w:p>
      <w:pPr>
        <w:jc w:val="both"/>
        <w:ind w:left="360" w:right="320"/>
        <w:spacing w:after="0" w:line="219" w:lineRule="auto"/>
        <w:rPr>
          <w:sz w:val="20"/>
          <w:szCs w:val="20"/>
          <w:color w:val="auto"/>
        </w:rPr>
      </w:pPr>
      <w:r>
        <w:rPr>
          <w:rFonts w:ascii="Arial" w:cs="Arial" w:eastAsia="Arial" w:hAnsi="Arial"/>
          <w:sz w:val="17"/>
          <w:szCs w:val="17"/>
          <w:color w:val="auto"/>
        </w:rPr>
        <w:t>As long as employment with the Company continues, restrictions on RS granted under the Long-Term Incentive Plan and Second Restricted Stock Plan lapse upon the expiration of three, four, or five years from the date of grant (shown in the Option Expiration Date</w:t>
      </w:r>
    </w:p>
    <w:p>
      <w:pPr>
        <w:spacing w:after="0" w:line="1" w:lineRule="exact"/>
        <w:rPr>
          <w:sz w:val="20"/>
          <w:szCs w:val="20"/>
          <w:color w:val="auto"/>
        </w:rPr>
      </w:pPr>
    </w:p>
    <w:p>
      <w:pPr>
        <w:jc w:val="both"/>
        <w:ind w:left="360" w:right="320"/>
        <w:spacing w:after="0" w:line="231" w:lineRule="auto"/>
        <w:rPr>
          <w:sz w:val="20"/>
          <w:szCs w:val="20"/>
          <w:color w:val="auto"/>
        </w:rPr>
      </w:pPr>
      <w:r>
        <w:rPr>
          <w:rFonts w:ascii="Arial" w:cs="Arial" w:eastAsia="Arial" w:hAnsi="Arial"/>
          <w:sz w:val="17"/>
          <w:szCs w:val="17"/>
          <w:color w:val="auto"/>
        </w:rPr>
        <w:t>column for convenience). Dividends on RS are, and will be, paid on these shares if, and to the same extent, paid on the Company's common stock. See "Grant of Plan Based Awards Table for 2024" for additional detail on RS awarded in 2024.</w:t>
      </w:r>
    </w:p>
    <w:p>
      <w:pPr>
        <w:jc w:val="both"/>
        <w:ind w:left="360" w:right="320"/>
        <w:spacing w:after="0" w:line="237" w:lineRule="auto"/>
        <w:rPr>
          <w:sz w:val="20"/>
          <w:szCs w:val="20"/>
          <w:color w:val="auto"/>
        </w:rPr>
      </w:pPr>
      <w:r>
        <w:rPr>
          <w:rFonts w:ascii="Arial" w:cs="Arial" w:eastAsia="Arial" w:hAnsi="Arial"/>
          <w:sz w:val="17"/>
          <w:szCs w:val="17"/>
          <w:color w:val="auto"/>
        </w:rPr>
        <w:t>The amounts in this column represent the market value as of December 31, 2024, of RS awarded under the Long-Term Incentive Plan and Second Restricted Stock Plan.</w:t>
      </w:r>
    </w:p>
    <w:p>
      <w:pPr>
        <w:spacing w:after="0" w:line="7" w:lineRule="exact"/>
        <w:rPr>
          <w:sz w:val="20"/>
          <w:szCs w:val="20"/>
          <w:color w:val="auto"/>
        </w:rPr>
      </w:pPr>
    </w:p>
    <w:p>
      <w:pPr>
        <w:jc w:val="both"/>
        <w:ind w:left="360" w:right="320"/>
        <w:spacing w:after="0" w:line="223" w:lineRule="auto"/>
        <w:rPr>
          <w:sz w:val="20"/>
          <w:szCs w:val="20"/>
          <w:color w:val="auto"/>
        </w:rPr>
      </w:pPr>
      <w:r>
        <w:rPr>
          <w:rFonts w:ascii="Arial" w:cs="Arial" w:eastAsia="Arial" w:hAnsi="Arial"/>
          <w:sz w:val="17"/>
          <w:szCs w:val="17"/>
          <w:color w:val="auto"/>
        </w:rPr>
        <w:t>PSAs granted under the Long-Term Plan in February 2022, 2023, and 2024, cliff vest after a three year performance period as long as the NEO remains employed by the Company. PSAs granted in 2023 in the retention grant vest based upon achievement of the Company's</w:t>
      </w:r>
    </w:p>
    <w:p>
      <w:pPr>
        <w:jc w:val="both"/>
        <w:ind w:left="360" w:right="320"/>
        <w:spacing w:after="0" w:line="210" w:lineRule="auto"/>
        <w:rPr>
          <w:sz w:val="20"/>
          <w:szCs w:val="20"/>
          <w:color w:val="auto"/>
        </w:rPr>
      </w:pPr>
      <w:r>
        <w:rPr>
          <w:rFonts w:ascii="Arial" w:cs="Arial" w:eastAsia="Arial" w:hAnsi="Arial"/>
          <w:sz w:val="17"/>
          <w:szCs w:val="17"/>
          <w:color w:val="auto"/>
        </w:rPr>
        <w:t>relative TSR over a four year period (2023-2026) against a predetermined peer group. Dividend equivalents on PSAs are and will be deferred on these awards over the performance period, if, and at an equivalent value as, dividends are paid on the Company's common stock. The PSAs shown in this column reflect target performance under the Long-Term Incentive Plan as discussed in the Long-Term</w:t>
      </w:r>
    </w:p>
    <w:p>
      <w:pPr>
        <w:spacing w:after="0" w:line="2" w:lineRule="exact"/>
        <w:rPr>
          <w:sz w:val="20"/>
          <w:szCs w:val="20"/>
          <w:color w:val="auto"/>
        </w:rPr>
      </w:pPr>
    </w:p>
    <w:p>
      <w:pPr>
        <w:jc w:val="both"/>
        <w:ind w:left="360" w:right="340"/>
        <w:spacing w:after="0" w:line="222" w:lineRule="auto"/>
        <w:rPr>
          <w:sz w:val="20"/>
          <w:szCs w:val="20"/>
          <w:color w:val="auto"/>
        </w:rPr>
      </w:pPr>
      <w:r>
        <w:rPr>
          <w:rFonts w:ascii="Arial" w:cs="Arial" w:eastAsia="Arial" w:hAnsi="Arial"/>
          <w:sz w:val="17"/>
          <w:szCs w:val="17"/>
          <w:color w:val="auto"/>
        </w:rPr>
        <w:t>Incentive Plan section of "Compensation Discussion and Analysis" with maximum performance, if achieved, essentially doubling the same. PSAs granted in 2023 in the retention grant shown in this column are also at target. See "Grant of Plan Based Awards" table for additional details.</w:t>
      </w:r>
    </w:p>
    <w:p>
      <w:pPr>
        <w:spacing w:after="0" w:line="8" w:lineRule="exact"/>
        <w:rPr>
          <w:sz w:val="20"/>
          <w:szCs w:val="20"/>
          <w:color w:val="auto"/>
        </w:rPr>
      </w:pPr>
    </w:p>
    <w:p>
      <w:pPr>
        <w:jc w:val="both"/>
        <w:ind w:left="360" w:right="320"/>
        <w:spacing w:after="0" w:line="223" w:lineRule="auto"/>
        <w:rPr>
          <w:sz w:val="20"/>
          <w:szCs w:val="20"/>
          <w:color w:val="auto"/>
        </w:rPr>
      </w:pPr>
      <w:r>
        <w:rPr>
          <w:rFonts w:ascii="Arial" w:cs="Arial" w:eastAsia="Arial" w:hAnsi="Arial"/>
          <w:sz w:val="17"/>
          <w:szCs w:val="17"/>
          <w:color w:val="auto"/>
        </w:rPr>
        <w:t>For PSAs granted in 2022, 2023, and 2024, the amounts in this column reflect the market value as of December 31, 2024, of 100% (i.e., target performance) of PSAs awarded under the Long-Term Incentive Plan in 2020, 2021 and 2022, with maximum performance if</w:t>
      </w:r>
    </w:p>
    <w:p>
      <w:pPr>
        <w:ind w:left="360"/>
        <w:spacing w:after="0"/>
        <w:rPr>
          <w:sz w:val="20"/>
          <w:szCs w:val="20"/>
          <w:color w:val="auto"/>
        </w:rPr>
      </w:pPr>
      <w:r>
        <w:rPr>
          <w:rFonts w:ascii="Arial" w:cs="Arial" w:eastAsia="Arial" w:hAnsi="Arial"/>
          <w:sz w:val="17"/>
          <w:szCs w:val="17"/>
          <w:color w:val="auto"/>
        </w:rPr>
        <w:t>achieved, essentially doubling the same.</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Option Exercises and Stock Vested</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information regarding the exercise of stock options and vesting of restricted stock during the fiscal year ended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2024, by the following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170815</wp:posOffset>
            </wp:positionV>
            <wp:extent cx="6893560" cy="662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93560" cy="662305"/>
                    </a:xfrm>
                    <a:prstGeom prst="rect">
                      <a:avLst/>
                    </a:prstGeom>
                    <a:noFill/>
                  </pic:spPr>
                </pic:pic>
              </a:graphicData>
            </a:graphic>
          </wp:anchor>
        </w:drawing>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Option Exercises and Stock Vested for 2024</w:t>
      </w:r>
    </w:p>
    <w:p>
      <w:pPr>
        <w:spacing w:after="0" w:line="35" w:lineRule="exact"/>
        <w:rPr>
          <w:sz w:val="20"/>
          <w:szCs w:val="20"/>
          <w:color w:val="auto"/>
        </w:rPr>
      </w:pPr>
    </w:p>
    <w:tbl>
      <w:tblPr>
        <w:tblLayout w:type="fixed"/>
        <w:tblInd w:w="210" w:type="dxa"/>
        <w:tblCellMar>
          <w:top w:w="0" w:type="dxa"/>
          <w:left w:w="0" w:type="dxa"/>
          <w:bottom w:w="0" w:type="dxa"/>
          <w:right w:w="0" w:type="dxa"/>
        </w:tblCellMar>
      </w:tblPr>
      <w:tr>
        <w:trPr>
          <w:trHeight w:val="212"/>
        </w:trPr>
        <w:tc>
          <w:tcPr>
            <w:tcW w:w="5560" w:type="dxa"/>
            <w:vAlign w:val="bottom"/>
            <w:tcBorders>
              <w:top w:val="single" w:sz="8" w:color="00000A"/>
              <w:bottom w:val="single" w:sz="8" w:color="00000A"/>
              <w:right w:val="single" w:sz="8" w:color="00000A"/>
            </w:tcBorders>
          </w:tcPr>
          <w:p>
            <w:pPr>
              <w:spacing w:after="0"/>
              <w:rPr>
                <w:sz w:val="18"/>
                <w:szCs w:val="18"/>
                <w:color w:val="auto"/>
              </w:rPr>
            </w:pPr>
          </w:p>
        </w:tc>
        <w:tc>
          <w:tcPr>
            <w:tcW w:w="2660" w:type="dxa"/>
            <w:vAlign w:val="bottom"/>
            <w:tcBorders>
              <w:top w:val="single" w:sz="8" w:color="00000A"/>
              <w:bottom w:val="single" w:sz="8" w:color="00000A"/>
              <w:right w:val="single" w:sz="8" w:color="00000A"/>
            </w:tcBorders>
            <w:gridSpan w:val="2"/>
          </w:tcPr>
          <w:p>
            <w:pPr>
              <w:jc w:val="right"/>
              <w:ind w:right="664"/>
              <w:spacing w:after="0"/>
              <w:rPr>
                <w:sz w:val="20"/>
                <w:szCs w:val="20"/>
                <w:color w:val="auto"/>
              </w:rPr>
            </w:pPr>
            <w:r>
              <w:rPr>
                <w:rFonts w:ascii="Arial" w:cs="Arial" w:eastAsia="Arial" w:hAnsi="Arial"/>
                <w:sz w:val="17"/>
                <w:szCs w:val="17"/>
                <w:b w:val="1"/>
                <w:bCs w:val="1"/>
                <w:color w:val="auto"/>
              </w:rPr>
              <w:t>Option Awards</w:t>
            </w:r>
          </w:p>
        </w:tc>
        <w:tc>
          <w:tcPr>
            <w:tcW w:w="2660" w:type="dxa"/>
            <w:vAlign w:val="bottom"/>
            <w:tcBorders>
              <w:top w:val="single" w:sz="8" w:color="00000A"/>
              <w:bottom w:val="single" w:sz="8" w:color="00000A"/>
            </w:tcBorders>
            <w:gridSpan w:val="2"/>
          </w:tcPr>
          <w:p>
            <w:pPr>
              <w:jc w:val="right"/>
              <w:ind w:right="704"/>
              <w:spacing w:after="0"/>
              <w:rPr>
                <w:sz w:val="20"/>
                <w:szCs w:val="20"/>
                <w:color w:val="auto"/>
              </w:rPr>
            </w:pPr>
            <w:r>
              <w:rPr>
                <w:rFonts w:ascii="Arial" w:cs="Arial" w:eastAsia="Arial" w:hAnsi="Arial"/>
                <w:sz w:val="17"/>
                <w:szCs w:val="17"/>
                <w:b w:val="1"/>
                <w:bCs w:val="1"/>
                <w:color w:val="auto"/>
              </w:rPr>
              <w:t>Stock Awards</w:t>
            </w:r>
          </w:p>
        </w:tc>
        <w:tc>
          <w:tcPr>
            <w:tcW w:w="0" w:type="dxa"/>
            <w:vAlign w:val="bottom"/>
          </w:tcPr>
          <w:p>
            <w:pPr>
              <w:spacing w:after="0"/>
              <w:rPr>
                <w:sz w:val="1"/>
                <w:szCs w:val="1"/>
                <w:color w:val="auto"/>
              </w:rPr>
            </w:pPr>
          </w:p>
        </w:tc>
      </w:tr>
      <w:tr>
        <w:trPr>
          <w:trHeight w:val="117"/>
        </w:trPr>
        <w:tc>
          <w:tcPr>
            <w:tcW w:w="5560" w:type="dxa"/>
            <w:vAlign w:val="bottom"/>
            <w:tcBorders>
              <w:right w:val="single" w:sz="8" w:color="00000A"/>
            </w:tcBorders>
          </w:tcPr>
          <w:p>
            <w:pPr>
              <w:spacing w:after="0"/>
              <w:rPr>
                <w:sz w:val="10"/>
                <w:szCs w:val="10"/>
                <w:color w:val="auto"/>
              </w:rPr>
            </w:pPr>
          </w:p>
        </w:tc>
        <w:tc>
          <w:tcPr>
            <w:tcW w:w="1220" w:type="dxa"/>
            <w:vAlign w:val="bottom"/>
            <w:tcBorders>
              <w:right w:val="single" w:sz="8" w:color="00000A"/>
            </w:tcBorders>
          </w:tcPr>
          <w:p>
            <w:pPr>
              <w:jc w:val="center"/>
              <w:spacing w:after="0" w:line="117" w:lineRule="exact"/>
              <w:rPr>
                <w:sz w:val="20"/>
                <w:szCs w:val="20"/>
                <w:color w:val="auto"/>
              </w:rPr>
            </w:pPr>
            <w:r>
              <w:rPr>
                <w:rFonts w:ascii="Arial" w:cs="Arial" w:eastAsia="Arial" w:hAnsi="Arial"/>
                <w:sz w:val="12"/>
                <w:szCs w:val="12"/>
                <w:b w:val="1"/>
                <w:bCs w:val="1"/>
                <w:color w:val="auto"/>
                <w:w w:val="99"/>
              </w:rPr>
              <w:t>Number of</w:t>
            </w:r>
          </w:p>
        </w:tc>
        <w:tc>
          <w:tcPr>
            <w:tcW w:w="14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2"/>
                <w:szCs w:val="12"/>
                <w:b w:val="1"/>
                <w:bCs w:val="1"/>
                <w:color w:val="auto"/>
                <w:w w:val="99"/>
              </w:rPr>
              <w:t>Value Realized</w:t>
            </w:r>
          </w:p>
        </w:tc>
        <w:tc>
          <w:tcPr>
            <w:tcW w:w="1200" w:type="dxa"/>
            <w:vAlign w:val="bottom"/>
            <w:tcBorders>
              <w:right w:val="single" w:sz="8" w:color="00000A"/>
            </w:tcBorders>
          </w:tcPr>
          <w:p>
            <w:pPr>
              <w:jc w:val="center"/>
              <w:spacing w:after="0" w:line="117" w:lineRule="exact"/>
              <w:rPr>
                <w:sz w:val="20"/>
                <w:szCs w:val="20"/>
                <w:color w:val="auto"/>
              </w:rPr>
            </w:pPr>
            <w:r>
              <w:rPr>
                <w:rFonts w:ascii="Arial" w:cs="Arial" w:eastAsia="Arial" w:hAnsi="Arial"/>
                <w:sz w:val="12"/>
                <w:szCs w:val="12"/>
                <w:b w:val="1"/>
                <w:bCs w:val="1"/>
                <w:color w:val="auto"/>
                <w:w w:val="99"/>
              </w:rPr>
              <w:t>Number of</w:t>
            </w:r>
          </w:p>
        </w:tc>
        <w:tc>
          <w:tcPr>
            <w:tcW w:w="14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Value Realized</w:t>
            </w:r>
          </w:p>
        </w:tc>
        <w:tc>
          <w:tcPr>
            <w:tcW w:w="0" w:type="dxa"/>
            <w:vAlign w:val="bottom"/>
          </w:tcPr>
          <w:p>
            <w:pPr>
              <w:spacing w:after="0"/>
              <w:rPr>
                <w:sz w:val="1"/>
                <w:szCs w:val="1"/>
                <w:color w:val="auto"/>
              </w:rPr>
            </w:pPr>
          </w:p>
        </w:tc>
      </w:tr>
      <w:tr>
        <w:trPr>
          <w:trHeight w:val="121"/>
        </w:trPr>
        <w:tc>
          <w:tcPr>
            <w:tcW w:w="5560" w:type="dxa"/>
            <w:vAlign w:val="bottom"/>
            <w:tcBorders>
              <w:right w:val="single" w:sz="8" w:color="00000A"/>
            </w:tcBorders>
          </w:tcPr>
          <w:p>
            <w:pPr>
              <w:spacing w:after="0"/>
              <w:rPr>
                <w:sz w:val="10"/>
                <w:szCs w:val="10"/>
                <w:color w:val="auto"/>
              </w:rPr>
            </w:pPr>
          </w:p>
        </w:tc>
        <w:tc>
          <w:tcPr>
            <w:tcW w:w="1220" w:type="dxa"/>
            <w:vAlign w:val="bottom"/>
            <w:tcBorders>
              <w:right w:val="single" w:sz="8" w:color="00000A"/>
            </w:tcBorders>
          </w:tcPr>
          <w:p>
            <w:pPr>
              <w:jc w:val="center"/>
              <w:spacing w:after="0" w:line="121" w:lineRule="exact"/>
              <w:rPr>
                <w:sz w:val="20"/>
                <w:szCs w:val="20"/>
                <w:color w:val="auto"/>
              </w:rPr>
            </w:pPr>
            <w:r>
              <w:rPr>
                <w:rFonts w:ascii="Arial" w:cs="Arial" w:eastAsia="Arial" w:hAnsi="Arial"/>
                <w:sz w:val="12"/>
                <w:szCs w:val="12"/>
                <w:b w:val="1"/>
                <w:bCs w:val="1"/>
                <w:color w:val="auto"/>
                <w:w w:val="99"/>
              </w:rPr>
              <w:t>Shares</w:t>
            </w:r>
          </w:p>
        </w:tc>
        <w:tc>
          <w:tcPr>
            <w:tcW w:w="1440" w:type="dxa"/>
            <w:vAlign w:val="bottom"/>
            <w:tcBorders>
              <w:right w:val="single" w:sz="8" w:color="00000A"/>
            </w:tcBorders>
            <w:vMerge w:val="continue"/>
          </w:tcPr>
          <w:p>
            <w:pPr>
              <w:spacing w:after="0"/>
              <w:rPr>
                <w:sz w:val="10"/>
                <w:szCs w:val="10"/>
                <w:color w:val="auto"/>
              </w:rPr>
            </w:pPr>
          </w:p>
        </w:tc>
        <w:tc>
          <w:tcPr>
            <w:tcW w:w="1200" w:type="dxa"/>
            <w:vAlign w:val="bottom"/>
            <w:tcBorders>
              <w:right w:val="single" w:sz="8" w:color="00000A"/>
            </w:tcBorders>
          </w:tcPr>
          <w:p>
            <w:pPr>
              <w:jc w:val="center"/>
              <w:spacing w:after="0" w:line="121" w:lineRule="exact"/>
              <w:rPr>
                <w:sz w:val="20"/>
                <w:szCs w:val="20"/>
                <w:color w:val="auto"/>
              </w:rPr>
            </w:pPr>
            <w:r>
              <w:rPr>
                <w:rFonts w:ascii="Arial" w:cs="Arial" w:eastAsia="Arial" w:hAnsi="Arial"/>
                <w:sz w:val="12"/>
                <w:szCs w:val="12"/>
                <w:b w:val="1"/>
                <w:bCs w:val="1"/>
                <w:color w:val="auto"/>
                <w:w w:val="99"/>
              </w:rPr>
              <w:t>Shares</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5560" w:type="dxa"/>
            <w:vAlign w:val="bottom"/>
            <w:tcBorders>
              <w:right w:val="single" w:sz="8" w:color="00000A"/>
            </w:tcBorders>
            <w:vMerge w:val="restart"/>
          </w:tcPr>
          <w:p>
            <w:pPr>
              <w:ind w:left="2620"/>
              <w:spacing w:after="0"/>
              <w:rPr>
                <w:sz w:val="20"/>
                <w:szCs w:val="20"/>
                <w:color w:val="auto"/>
              </w:rPr>
            </w:pPr>
            <w:r>
              <w:rPr>
                <w:rFonts w:ascii="Arial" w:cs="Arial" w:eastAsia="Arial" w:hAnsi="Arial"/>
                <w:sz w:val="12"/>
                <w:szCs w:val="12"/>
                <w:b w:val="1"/>
                <w:bCs w:val="1"/>
                <w:color w:val="auto"/>
              </w:rPr>
              <w:t>Name</w:t>
            </w:r>
          </w:p>
        </w:tc>
        <w:tc>
          <w:tcPr>
            <w:tcW w:w="1220" w:type="dxa"/>
            <w:vAlign w:val="bottom"/>
            <w:tcBorders>
              <w:right w:val="single" w:sz="8" w:color="00000A"/>
            </w:tcBorders>
          </w:tcPr>
          <w:p>
            <w:pPr>
              <w:jc w:val="center"/>
              <w:spacing w:after="0" w:line="116" w:lineRule="exact"/>
              <w:rPr>
                <w:sz w:val="20"/>
                <w:szCs w:val="20"/>
                <w:color w:val="auto"/>
              </w:rPr>
            </w:pPr>
            <w:r>
              <w:rPr>
                <w:rFonts w:ascii="Arial" w:cs="Arial" w:eastAsia="Arial" w:hAnsi="Arial"/>
                <w:sz w:val="12"/>
                <w:szCs w:val="12"/>
                <w:b w:val="1"/>
                <w:bCs w:val="1"/>
                <w:color w:val="auto"/>
                <w:w w:val="99"/>
              </w:rPr>
              <w:t>Acquired on</w:t>
            </w:r>
          </w:p>
        </w:tc>
        <w:tc>
          <w:tcPr>
            <w:tcW w:w="1440" w:type="dxa"/>
            <w:vAlign w:val="bottom"/>
            <w:tcBorders>
              <w:right w:val="single" w:sz="8" w:color="00000A"/>
            </w:tcBorders>
          </w:tcPr>
          <w:p>
            <w:pPr>
              <w:jc w:val="center"/>
              <w:spacing w:after="0" w:line="116" w:lineRule="exact"/>
              <w:rPr>
                <w:sz w:val="20"/>
                <w:szCs w:val="20"/>
                <w:color w:val="auto"/>
              </w:rPr>
            </w:pPr>
            <w:r>
              <w:rPr>
                <w:rFonts w:ascii="Arial" w:cs="Arial" w:eastAsia="Arial" w:hAnsi="Arial"/>
                <w:sz w:val="12"/>
                <w:szCs w:val="12"/>
                <w:b w:val="1"/>
                <w:bCs w:val="1"/>
                <w:color w:val="auto"/>
              </w:rPr>
              <w:t>on Exercise</w:t>
            </w:r>
          </w:p>
        </w:tc>
        <w:tc>
          <w:tcPr>
            <w:tcW w:w="1200" w:type="dxa"/>
            <w:vAlign w:val="bottom"/>
            <w:tcBorders>
              <w:right w:val="single" w:sz="8" w:color="00000A"/>
            </w:tcBorders>
          </w:tcPr>
          <w:p>
            <w:pPr>
              <w:jc w:val="center"/>
              <w:spacing w:after="0" w:line="116" w:lineRule="exact"/>
              <w:rPr>
                <w:sz w:val="20"/>
                <w:szCs w:val="20"/>
                <w:color w:val="auto"/>
              </w:rPr>
            </w:pPr>
            <w:r>
              <w:rPr>
                <w:rFonts w:ascii="Arial" w:cs="Arial" w:eastAsia="Arial" w:hAnsi="Arial"/>
                <w:sz w:val="12"/>
                <w:szCs w:val="12"/>
                <w:b w:val="1"/>
                <w:bCs w:val="1"/>
                <w:color w:val="auto"/>
                <w:w w:val="99"/>
              </w:rPr>
              <w:t>Acquired on</w:t>
            </w:r>
          </w:p>
        </w:tc>
        <w:tc>
          <w:tcPr>
            <w:tcW w:w="146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rPr>
              <w:t>on Vesting</w:t>
            </w:r>
          </w:p>
        </w:tc>
        <w:tc>
          <w:tcPr>
            <w:tcW w:w="0" w:type="dxa"/>
            <w:vAlign w:val="bottom"/>
          </w:tcPr>
          <w:p>
            <w:pPr>
              <w:spacing w:after="0"/>
              <w:rPr>
                <w:sz w:val="1"/>
                <w:szCs w:val="1"/>
                <w:color w:val="auto"/>
              </w:rPr>
            </w:pPr>
          </w:p>
        </w:tc>
      </w:tr>
      <w:tr>
        <w:trPr>
          <w:trHeight w:val="166"/>
        </w:trPr>
        <w:tc>
          <w:tcPr>
            <w:tcW w:w="5560" w:type="dxa"/>
            <w:vAlign w:val="bottom"/>
            <w:tcBorders>
              <w:bottom w:val="single" w:sz="8" w:color="auto"/>
              <w:right w:val="single" w:sz="8" w:color="00000A"/>
            </w:tcBorders>
            <w:vMerge w:val="continue"/>
          </w:tcPr>
          <w:p>
            <w:pPr>
              <w:spacing w:after="0"/>
              <w:rPr>
                <w:sz w:val="14"/>
                <w:szCs w:val="14"/>
                <w:color w:val="auto"/>
              </w:rPr>
            </w:pPr>
          </w:p>
        </w:tc>
        <w:tc>
          <w:tcPr>
            <w:tcW w:w="1220" w:type="dxa"/>
            <w:vAlign w:val="bottom"/>
            <w:tcBorders>
              <w:bottom w:val="single" w:sz="8" w:color="auto"/>
              <w:right w:val="single" w:sz="8" w:color="00000A"/>
            </w:tcBorders>
          </w:tcPr>
          <w:p>
            <w:pPr>
              <w:jc w:val="center"/>
              <w:spacing w:after="0"/>
              <w:rPr>
                <w:sz w:val="20"/>
                <w:szCs w:val="20"/>
                <w:color w:val="auto"/>
              </w:rPr>
            </w:pPr>
            <w:r>
              <w:rPr>
                <w:rFonts w:ascii="Arial" w:cs="Arial" w:eastAsia="Arial" w:hAnsi="Arial"/>
                <w:sz w:val="12"/>
                <w:szCs w:val="12"/>
                <w:b w:val="1"/>
                <w:bCs w:val="1"/>
                <w:color w:val="auto"/>
                <w:w w:val="97"/>
              </w:rPr>
              <w:t>Exercise (#)</w:t>
            </w:r>
          </w:p>
        </w:tc>
        <w:tc>
          <w:tcPr>
            <w:tcW w:w="1440" w:type="dxa"/>
            <w:vAlign w:val="bottom"/>
            <w:tcBorders>
              <w:bottom w:val="single" w:sz="8" w:color="auto"/>
              <w:right w:val="single" w:sz="8" w:color="00000A"/>
            </w:tcBorders>
          </w:tcPr>
          <w:p>
            <w:pPr>
              <w:jc w:val="center"/>
              <w:spacing w:after="0"/>
              <w:rPr>
                <w:sz w:val="20"/>
                <w:szCs w:val="20"/>
                <w:color w:val="auto"/>
              </w:rPr>
            </w:pPr>
            <w:r>
              <w:rPr>
                <w:rFonts w:ascii="Arial" w:cs="Arial" w:eastAsia="Arial" w:hAnsi="Arial"/>
                <w:sz w:val="12"/>
                <w:szCs w:val="12"/>
                <w:b w:val="1"/>
                <w:bCs w:val="1"/>
                <w:color w:val="auto"/>
              </w:rPr>
              <w:t>($)</w:t>
            </w:r>
          </w:p>
        </w:tc>
        <w:tc>
          <w:tcPr>
            <w:tcW w:w="1200" w:type="dxa"/>
            <w:vAlign w:val="bottom"/>
            <w:tcBorders>
              <w:bottom w:val="single" w:sz="8" w:color="auto"/>
              <w:right w:val="single" w:sz="8" w:color="00000A"/>
            </w:tcBorders>
          </w:tcPr>
          <w:p>
            <w:pPr>
              <w:jc w:val="center"/>
              <w:spacing w:after="0"/>
              <w:rPr>
                <w:sz w:val="20"/>
                <w:szCs w:val="20"/>
                <w:color w:val="auto"/>
              </w:rPr>
            </w:pPr>
            <w:r>
              <w:rPr>
                <w:rFonts w:ascii="Arial" w:cs="Arial" w:eastAsia="Arial" w:hAnsi="Arial"/>
                <w:sz w:val="12"/>
                <w:szCs w:val="12"/>
                <w:b w:val="1"/>
                <w:bCs w:val="1"/>
                <w:color w:val="auto"/>
                <w:w w:val="97"/>
              </w:rPr>
              <w:t>Vesting (#)</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0" w:type="dxa"/>
            <w:vAlign w:val="bottom"/>
          </w:tcPr>
          <w:p>
            <w:pPr>
              <w:spacing w:after="0"/>
              <w:rPr>
                <w:sz w:val="1"/>
                <w:szCs w:val="1"/>
                <w:color w:val="auto"/>
              </w:rPr>
            </w:pPr>
          </w:p>
        </w:tc>
      </w:tr>
      <w:tr>
        <w:trPr>
          <w:trHeight w:val="213"/>
        </w:trPr>
        <w:tc>
          <w:tcPr>
            <w:tcW w:w="556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Steve Downing</w:t>
            </w:r>
          </w:p>
        </w:tc>
        <w:tc>
          <w:tcPr>
            <w:tcW w:w="1220" w:type="dxa"/>
            <w:vAlign w:val="bottom"/>
          </w:tcPr>
          <w:p>
            <w:pPr>
              <w:jc w:val="right"/>
              <w:ind w:right="24"/>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2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24"/>
              <w:spacing w:after="0"/>
              <w:rPr>
                <w:sz w:val="20"/>
                <w:szCs w:val="20"/>
                <w:color w:val="auto"/>
              </w:rPr>
            </w:pPr>
            <w:r>
              <w:rPr>
                <w:rFonts w:ascii="Arial" w:cs="Arial" w:eastAsia="Arial" w:hAnsi="Arial"/>
                <w:sz w:val="17"/>
                <w:szCs w:val="17"/>
                <w:color w:val="auto"/>
              </w:rPr>
              <w:t>43,530</w:t>
            </w:r>
          </w:p>
        </w:tc>
        <w:tc>
          <w:tcPr>
            <w:tcW w:w="1460" w:type="dxa"/>
            <w:vAlign w:val="bottom"/>
            <w:tcBorders>
              <w:right w:val="single" w:sz="8" w:color="auto"/>
            </w:tcBorders>
          </w:tcPr>
          <w:p>
            <w:pPr>
              <w:jc w:val="right"/>
              <w:ind w:right="24"/>
              <w:spacing w:after="0"/>
              <w:rPr>
                <w:sz w:val="20"/>
                <w:szCs w:val="20"/>
                <w:color w:val="auto"/>
              </w:rPr>
            </w:pPr>
            <w:r>
              <w:rPr>
                <w:rFonts w:ascii="Arial" w:cs="Arial" w:eastAsia="Arial" w:hAnsi="Arial"/>
                <w:sz w:val="17"/>
                <w:szCs w:val="17"/>
                <w:color w:val="auto"/>
              </w:rPr>
              <w:t>1,528,774</w:t>
            </w:r>
          </w:p>
        </w:tc>
        <w:tc>
          <w:tcPr>
            <w:tcW w:w="0" w:type="dxa"/>
            <w:vAlign w:val="bottom"/>
          </w:tcPr>
          <w:p>
            <w:pPr>
              <w:spacing w:after="0"/>
              <w:rPr>
                <w:sz w:val="1"/>
                <w:szCs w:val="1"/>
                <w:color w:val="auto"/>
              </w:rPr>
            </w:pPr>
          </w:p>
        </w:tc>
      </w:tr>
      <w:tr>
        <w:trPr>
          <w:trHeight w:val="219"/>
        </w:trPr>
        <w:tc>
          <w:tcPr>
            <w:tcW w:w="5560" w:type="dxa"/>
            <w:vAlign w:val="bottom"/>
            <w:tcBorders>
              <w:left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Neil Boehm</w:t>
            </w:r>
          </w:p>
        </w:tc>
        <w:tc>
          <w:tcPr>
            <w:tcW w:w="122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w:t>
            </w:r>
          </w:p>
        </w:tc>
        <w:tc>
          <w:tcPr>
            <w:tcW w:w="120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15,334</w:t>
            </w:r>
          </w:p>
        </w:tc>
        <w:tc>
          <w:tcPr>
            <w:tcW w:w="1460" w:type="dxa"/>
            <w:vAlign w:val="bottom"/>
            <w:tcBorders>
              <w:right w:val="single" w:sz="8" w:color="auto"/>
            </w:tcBorders>
            <w:shd w:val="clear" w:color="auto" w:fill="CCEEFF"/>
          </w:tcPr>
          <w:p>
            <w:pPr>
              <w:jc w:val="right"/>
              <w:ind w:right="24"/>
              <w:spacing w:after="0"/>
              <w:rPr>
                <w:sz w:val="20"/>
                <w:szCs w:val="20"/>
                <w:color w:val="auto"/>
              </w:rPr>
            </w:pPr>
            <w:r>
              <w:rPr>
                <w:rFonts w:ascii="Arial" w:cs="Arial" w:eastAsia="Arial" w:hAnsi="Arial"/>
                <w:sz w:val="17"/>
                <w:szCs w:val="17"/>
                <w:color w:val="auto"/>
              </w:rPr>
              <w:t>538,530</w:t>
            </w:r>
          </w:p>
        </w:tc>
        <w:tc>
          <w:tcPr>
            <w:tcW w:w="0" w:type="dxa"/>
            <w:vAlign w:val="bottom"/>
          </w:tcPr>
          <w:p>
            <w:pPr>
              <w:spacing w:after="0"/>
              <w:rPr>
                <w:sz w:val="1"/>
                <w:szCs w:val="1"/>
                <w:color w:val="auto"/>
              </w:rPr>
            </w:pPr>
          </w:p>
        </w:tc>
      </w:tr>
      <w:tr>
        <w:trPr>
          <w:trHeight w:val="219"/>
        </w:trPr>
        <w:tc>
          <w:tcPr>
            <w:tcW w:w="556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Kevin Nash</w:t>
            </w:r>
          </w:p>
        </w:tc>
        <w:tc>
          <w:tcPr>
            <w:tcW w:w="1220" w:type="dxa"/>
            <w:vAlign w:val="bottom"/>
          </w:tcPr>
          <w:p>
            <w:pPr>
              <w:jc w:val="right"/>
              <w:ind w:right="24"/>
              <w:spacing w:after="0"/>
              <w:rPr>
                <w:sz w:val="20"/>
                <w:szCs w:val="20"/>
                <w:color w:val="auto"/>
              </w:rPr>
            </w:pPr>
            <w:r>
              <w:rPr>
                <w:rFonts w:ascii="Arial" w:cs="Arial" w:eastAsia="Arial" w:hAnsi="Arial"/>
                <w:sz w:val="17"/>
                <w:szCs w:val="17"/>
                <w:color w:val="auto"/>
              </w:rPr>
              <w:t>13,500</w:t>
            </w:r>
          </w:p>
        </w:tc>
        <w:tc>
          <w:tcPr>
            <w:tcW w:w="1440" w:type="dxa"/>
            <w:vAlign w:val="bottom"/>
          </w:tcPr>
          <w:p>
            <w:pPr>
              <w:jc w:val="right"/>
              <w:ind w:right="24"/>
              <w:spacing w:after="0"/>
              <w:rPr>
                <w:sz w:val="20"/>
                <w:szCs w:val="20"/>
                <w:color w:val="auto"/>
              </w:rPr>
            </w:pPr>
            <w:r>
              <w:rPr>
                <w:rFonts w:ascii="Arial" w:cs="Arial" w:eastAsia="Arial" w:hAnsi="Arial"/>
                <w:sz w:val="17"/>
                <w:szCs w:val="17"/>
                <w:color w:val="auto"/>
              </w:rPr>
              <w:t>163,397</w:t>
            </w:r>
          </w:p>
        </w:tc>
        <w:tc>
          <w:tcPr>
            <w:tcW w:w="1200" w:type="dxa"/>
            <w:vAlign w:val="bottom"/>
          </w:tcPr>
          <w:p>
            <w:pPr>
              <w:jc w:val="right"/>
              <w:ind w:right="24"/>
              <w:spacing w:after="0"/>
              <w:rPr>
                <w:sz w:val="20"/>
                <w:szCs w:val="20"/>
                <w:color w:val="auto"/>
              </w:rPr>
            </w:pPr>
            <w:r>
              <w:rPr>
                <w:rFonts w:ascii="Arial" w:cs="Arial" w:eastAsia="Arial" w:hAnsi="Arial"/>
                <w:sz w:val="17"/>
                <w:szCs w:val="17"/>
                <w:color w:val="auto"/>
              </w:rPr>
              <w:t>15,071</w:t>
            </w:r>
          </w:p>
        </w:tc>
        <w:tc>
          <w:tcPr>
            <w:tcW w:w="1460" w:type="dxa"/>
            <w:vAlign w:val="bottom"/>
            <w:tcBorders>
              <w:right w:val="single" w:sz="8" w:color="auto"/>
            </w:tcBorders>
          </w:tcPr>
          <w:p>
            <w:pPr>
              <w:jc w:val="right"/>
              <w:ind w:right="24"/>
              <w:spacing w:after="0"/>
              <w:rPr>
                <w:sz w:val="20"/>
                <w:szCs w:val="20"/>
                <w:color w:val="auto"/>
              </w:rPr>
            </w:pPr>
            <w:r>
              <w:rPr>
                <w:rFonts w:ascii="Arial" w:cs="Arial" w:eastAsia="Arial" w:hAnsi="Arial"/>
                <w:sz w:val="17"/>
                <w:szCs w:val="17"/>
                <w:color w:val="auto"/>
              </w:rPr>
              <w:t>529,294</w:t>
            </w:r>
          </w:p>
        </w:tc>
        <w:tc>
          <w:tcPr>
            <w:tcW w:w="0" w:type="dxa"/>
            <w:vAlign w:val="bottom"/>
          </w:tcPr>
          <w:p>
            <w:pPr>
              <w:spacing w:after="0"/>
              <w:rPr>
                <w:sz w:val="1"/>
                <w:szCs w:val="1"/>
                <w:color w:val="auto"/>
              </w:rPr>
            </w:pPr>
          </w:p>
        </w:tc>
      </w:tr>
      <w:tr>
        <w:trPr>
          <w:trHeight w:val="219"/>
        </w:trPr>
        <w:tc>
          <w:tcPr>
            <w:tcW w:w="5560" w:type="dxa"/>
            <w:vAlign w:val="bottom"/>
            <w:tcBorders>
              <w:left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Matt Chiodo</w:t>
            </w:r>
          </w:p>
        </w:tc>
        <w:tc>
          <w:tcPr>
            <w:tcW w:w="122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w:t>
            </w:r>
          </w:p>
        </w:tc>
        <w:tc>
          <w:tcPr>
            <w:tcW w:w="1200" w:type="dxa"/>
            <w:vAlign w:val="bottom"/>
            <w:tcBorders>
              <w:right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14,317</w:t>
            </w:r>
          </w:p>
        </w:tc>
        <w:tc>
          <w:tcPr>
            <w:tcW w:w="1460" w:type="dxa"/>
            <w:vAlign w:val="bottom"/>
            <w:tcBorders>
              <w:right w:val="single" w:sz="8" w:color="auto"/>
            </w:tcBorders>
            <w:shd w:val="clear" w:color="auto" w:fill="CCEEFF"/>
          </w:tcPr>
          <w:p>
            <w:pPr>
              <w:jc w:val="right"/>
              <w:ind w:right="24"/>
              <w:spacing w:after="0"/>
              <w:rPr>
                <w:sz w:val="20"/>
                <w:szCs w:val="20"/>
                <w:color w:val="auto"/>
              </w:rPr>
            </w:pPr>
            <w:r>
              <w:rPr>
                <w:rFonts w:ascii="Arial" w:cs="Arial" w:eastAsia="Arial" w:hAnsi="Arial"/>
                <w:sz w:val="17"/>
                <w:szCs w:val="17"/>
                <w:color w:val="auto"/>
              </w:rPr>
              <w:t>502,813</w:t>
            </w:r>
          </w:p>
        </w:tc>
        <w:tc>
          <w:tcPr>
            <w:tcW w:w="0" w:type="dxa"/>
            <w:vAlign w:val="bottom"/>
          </w:tcPr>
          <w:p>
            <w:pPr>
              <w:spacing w:after="0"/>
              <w:rPr>
                <w:sz w:val="1"/>
                <w:szCs w:val="1"/>
                <w:color w:val="auto"/>
              </w:rPr>
            </w:pPr>
          </w:p>
        </w:tc>
      </w:tr>
      <w:tr>
        <w:trPr>
          <w:trHeight w:val="219"/>
        </w:trPr>
        <w:tc>
          <w:tcPr>
            <w:tcW w:w="5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Scott Ryan</w:t>
            </w:r>
          </w:p>
        </w:tc>
        <w:tc>
          <w:tcPr>
            <w:tcW w:w="1220" w:type="dxa"/>
            <w:vAlign w:val="bottom"/>
            <w:tcBorders>
              <w:bottom w:val="single" w:sz="8" w:color="auto"/>
            </w:tcBorders>
          </w:tcPr>
          <w:p>
            <w:pPr>
              <w:jc w:val="right"/>
              <w:ind w:right="24"/>
              <w:spacing w:after="0"/>
              <w:rPr>
                <w:sz w:val="20"/>
                <w:szCs w:val="20"/>
                <w:color w:val="auto"/>
              </w:rPr>
            </w:pPr>
            <w:r>
              <w:rPr>
                <w:rFonts w:ascii="Arial" w:cs="Arial" w:eastAsia="Arial" w:hAnsi="Arial"/>
                <w:sz w:val="17"/>
                <w:szCs w:val="17"/>
                <w:color w:val="auto"/>
              </w:rPr>
              <w:t>12,500</w:t>
            </w:r>
          </w:p>
        </w:tc>
        <w:tc>
          <w:tcPr>
            <w:tcW w:w="1440" w:type="dxa"/>
            <w:vAlign w:val="bottom"/>
            <w:tcBorders>
              <w:bottom w:val="single" w:sz="8" w:color="auto"/>
            </w:tcBorders>
          </w:tcPr>
          <w:p>
            <w:pPr>
              <w:jc w:val="right"/>
              <w:ind w:right="24"/>
              <w:spacing w:after="0"/>
              <w:rPr>
                <w:sz w:val="20"/>
                <w:szCs w:val="20"/>
                <w:color w:val="auto"/>
              </w:rPr>
            </w:pPr>
            <w:r>
              <w:rPr>
                <w:rFonts w:ascii="Arial" w:cs="Arial" w:eastAsia="Arial" w:hAnsi="Arial"/>
                <w:sz w:val="17"/>
                <w:szCs w:val="17"/>
                <w:color w:val="auto"/>
              </w:rPr>
              <w:t>150,700</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7"/>
                <w:szCs w:val="17"/>
                <w:color w:val="auto"/>
              </w:rPr>
              <w:t>13,188</w:t>
            </w:r>
          </w:p>
        </w:tc>
        <w:tc>
          <w:tcPr>
            <w:tcW w:w="1460" w:type="dxa"/>
            <w:vAlign w:val="bottom"/>
            <w:tcBorders>
              <w:bottom w:val="single" w:sz="8" w:color="auto"/>
              <w:right w:val="single" w:sz="8" w:color="auto"/>
            </w:tcBorders>
          </w:tcPr>
          <w:p>
            <w:pPr>
              <w:jc w:val="right"/>
              <w:ind w:right="24"/>
              <w:spacing w:after="0"/>
              <w:rPr>
                <w:sz w:val="20"/>
                <w:szCs w:val="20"/>
                <w:color w:val="auto"/>
              </w:rPr>
            </w:pPr>
            <w:r>
              <w:rPr>
                <w:rFonts w:ascii="Arial" w:cs="Arial" w:eastAsia="Arial" w:hAnsi="Arial"/>
                <w:sz w:val="17"/>
                <w:szCs w:val="17"/>
                <w:color w:val="auto"/>
              </w:rPr>
              <w:t>463,163</w:t>
            </w: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Non-Qualified Deferred Compensation</w:t>
      </w:r>
    </w:p>
    <w:p>
      <w:pPr>
        <w:spacing w:after="0" w:line="250" w:lineRule="exact"/>
        <w:rPr>
          <w:sz w:val="20"/>
          <w:szCs w:val="20"/>
          <w:color w:val="auto"/>
        </w:rPr>
      </w:pPr>
    </w:p>
    <w:p>
      <w:pPr>
        <w:ind w:right="220" w:firstLine="618"/>
        <w:spacing w:after="0" w:line="289" w:lineRule="auto"/>
        <w:rPr>
          <w:sz w:val="20"/>
          <w:szCs w:val="20"/>
          <w:color w:val="auto"/>
        </w:rPr>
      </w:pPr>
      <w:r>
        <w:rPr>
          <w:rFonts w:ascii="Arial" w:cs="Arial" w:eastAsia="Arial" w:hAnsi="Arial"/>
          <w:sz w:val="17"/>
          <w:szCs w:val="17"/>
          <w:color w:val="auto"/>
        </w:rPr>
        <w:t>The following table contains information regarding Deferred Compensation Plan contributions, earnings and withdrawals for the plan year ended December 31, 2024, by the following NEOs: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jc w:val="center"/>
        <w:ind w:right="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571500</wp:posOffset>
            </wp:positionV>
            <wp:extent cx="7146925" cy="1071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6925" cy="1071245"/>
                    </a:xfrm>
                    <a:prstGeom prst="rect">
                      <a:avLst/>
                    </a:prstGeom>
                    <a:noFill/>
                  </pic:spPr>
                </pic:pic>
              </a:graphicData>
            </a:graphic>
          </wp:anchor>
        </w:drawing>
        <w:t>Non-Qualified Deferred Compensation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Executive Officer</w:t>
            </w:r>
          </w:p>
        </w:tc>
        <w:tc>
          <w:tcPr>
            <w:tcW w:w="2040" w:type="dxa"/>
            <w:vAlign w:val="bottom"/>
            <w:gridSpan w:val="2"/>
          </w:tcPr>
          <w:p>
            <w:pPr>
              <w:ind w:left="180"/>
              <w:spacing w:after="0"/>
              <w:rPr>
                <w:sz w:val="20"/>
                <w:szCs w:val="20"/>
                <w:color w:val="auto"/>
              </w:rPr>
            </w:pPr>
            <w:r>
              <w:rPr>
                <w:rFonts w:ascii="Arial" w:cs="Arial" w:eastAsia="Arial" w:hAnsi="Arial"/>
                <w:sz w:val="14"/>
                <w:szCs w:val="14"/>
                <w:b w:val="1"/>
                <w:bCs w:val="1"/>
                <w:color w:val="auto"/>
                <w:w w:val="98"/>
              </w:rPr>
              <w:t>Executive Contributions Y/E</w:t>
            </w:r>
          </w:p>
        </w:tc>
        <w:tc>
          <w:tcPr>
            <w:tcW w:w="1860" w:type="dxa"/>
            <w:vAlign w:val="bottom"/>
            <w:gridSpan w:val="2"/>
          </w:tcPr>
          <w:p>
            <w:pPr>
              <w:jc w:val="right"/>
              <w:spacing w:after="0"/>
              <w:rPr>
                <w:sz w:val="20"/>
                <w:szCs w:val="20"/>
                <w:color w:val="auto"/>
              </w:rPr>
            </w:pPr>
            <w:r>
              <w:rPr>
                <w:rFonts w:ascii="Arial" w:cs="Arial" w:eastAsia="Arial" w:hAnsi="Arial"/>
                <w:sz w:val="14"/>
                <w:szCs w:val="14"/>
                <w:b w:val="1"/>
                <w:bCs w:val="1"/>
                <w:color w:val="auto"/>
              </w:rPr>
              <w:t>Company Contributions in</w:t>
            </w:r>
          </w:p>
        </w:tc>
        <w:tc>
          <w:tcPr>
            <w:tcW w:w="190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Aggregate Earnings in 2024</w:t>
            </w:r>
          </w:p>
        </w:tc>
        <w:tc>
          <w:tcPr>
            <w:tcW w:w="140" w:type="dxa"/>
            <w:vAlign w:val="bottom"/>
          </w:tcPr>
          <w:p>
            <w:pPr>
              <w:spacing w:after="0"/>
              <w:rPr>
                <w:sz w:val="14"/>
                <w:szCs w:val="14"/>
                <w:color w:val="auto"/>
              </w:rPr>
            </w:pPr>
          </w:p>
        </w:tc>
        <w:tc>
          <w:tcPr>
            <w:tcW w:w="362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rPr>
              <w:t>Aggregate Withdrawals/    Aggregate Balance at Y/E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8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2024 (1)</w:t>
            </w:r>
          </w:p>
        </w:tc>
        <w:tc>
          <w:tcPr>
            <w:tcW w:w="4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2024 (2)</w:t>
            </w:r>
          </w:p>
        </w:tc>
        <w:tc>
          <w:tcPr>
            <w:tcW w:w="5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77"/>
              <w:spacing w:after="0"/>
              <w:rPr>
                <w:sz w:val="20"/>
                <w:szCs w:val="20"/>
                <w:color w:val="auto"/>
              </w:rPr>
            </w:pPr>
            <w:r>
              <w:rPr>
                <w:rFonts w:ascii="Arial" w:cs="Arial" w:eastAsia="Arial" w:hAnsi="Arial"/>
                <w:sz w:val="14"/>
                <w:szCs w:val="14"/>
                <w:b w:val="1"/>
                <w:bCs w:val="1"/>
                <w:color w:val="auto"/>
              </w:rPr>
              <w:t>(3)</w:t>
            </w: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Distributions</w:t>
            </w:r>
          </w:p>
        </w:tc>
        <w:tc>
          <w:tcPr>
            <w:tcW w:w="142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Steve Downing</w:t>
            </w:r>
          </w:p>
        </w:tc>
        <w:tc>
          <w:tcPr>
            <w:tcW w:w="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600,449</w:t>
            </w:r>
          </w:p>
        </w:tc>
        <w:tc>
          <w:tcPr>
            <w:tcW w:w="40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59,935</w:t>
            </w:r>
          </w:p>
        </w:tc>
        <w:tc>
          <w:tcPr>
            <w:tcW w:w="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307,025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0" w:type="dxa"/>
            <w:vAlign w:val="bottom"/>
            <w:shd w:val="clear" w:color="auto" w:fill="CCEEFF"/>
          </w:tcPr>
          <w:p>
            <w:pPr>
              <w:ind w:left="1500"/>
              <w:spacing w:after="0"/>
              <w:rPr>
                <w:sz w:val="20"/>
                <w:szCs w:val="20"/>
                <w:color w:val="auto"/>
              </w:rPr>
            </w:pPr>
            <w:r>
              <w:rPr>
                <w:rFonts w:ascii="Arial" w:cs="Arial" w:eastAsia="Arial" w:hAnsi="Arial"/>
                <w:sz w:val="17"/>
                <w:szCs w:val="17"/>
                <w:color w:val="auto"/>
              </w:rPr>
              <w:t>— $</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2,455,015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80" w:type="dxa"/>
            <w:vAlign w:val="bottom"/>
          </w:tcPr>
          <w:p>
            <w:pPr>
              <w:ind w:left="40"/>
              <w:spacing w:after="0"/>
              <w:rPr>
                <w:sz w:val="20"/>
                <w:szCs w:val="20"/>
                <w:color w:val="auto"/>
              </w:rPr>
            </w:pPr>
            <w:r>
              <w:rPr>
                <w:rFonts w:ascii="Arial" w:cs="Arial" w:eastAsia="Arial" w:hAnsi="Arial"/>
                <w:sz w:val="17"/>
                <w:szCs w:val="17"/>
                <w:color w:val="auto"/>
              </w:rPr>
              <w:t>Neil Boehm</w:t>
            </w:r>
          </w:p>
        </w:tc>
        <w:tc>
          <w:tcPr>
            <w:tcW w:w="560" w:type="dxa"/>
            <w:vAlign w:val="bottom"/>
          </w:tcPr>
          <w:p>
            <w:pPr>
              <w:ind w:left="18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428,109</w:t>
            </w:r>
          </w:p>
        </w:tc>
        <w:tc>
          <w:tcPr>
            <w:tcW w:w="40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43,930</w:t>
            </w:r>
          </w:p>
        </w:tc>
        <w:tc>
          <w:tcPr>
            <w:tcW w:w="500" w:type="dxa"/>
            <w:vAlign w:val="bottom"/>
          </w:tcPr>
          <w:p>
            <w:pPr>
              <w:ind w:left="4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187,697</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200" w:type="dxa"/>
            <w:vAlign w:val="bottom"/>
          </w:tcPr>
          <w:p>
            <w:pPr>
              <w:ind w:left="1500"/>
              <w:spacing w:after="0"/>
              <w:rPr>
                <w:sz w:val="20"/>
                <w:szCs w:val="20"/>
                <w:color w:val="auto"/>
              </w:rPr>
            </w:pPr>
            <w:r>
              <w:rPr>
                <w:rFonts w:ascii="Arial" w:cs="Arial" w:eastAsia="Arial" w:hAnsi="Arial"/>
                <w:sz w:val="17"/>
                <w:szCs w:val="17"/>
                <w:color w:val="auto"/>
              </w:rPr>
              <w:t>— $</w:t>
            </w:r>
          </w:p>
        </w:tc>
        <w:tc>
          <w:tcPr>
            <w:tcW w:w="1420" w:type="dxa"/>
            <w:vAlign w:val="bottom"/>
          </w:tcPr>
          <w:p>
            <w:pPr>
              <w:jc w:val="right"/>
              <w:spacing w:after="0"/>
              <w:rPr>
                <w:sz w:val="20"/>
                <w:szCs w:val="20"/>
                <w:color w:val="auto"/>
              </w:rPr>
            </w:pPr>
            <w:r>
              <w:rPr>
                <w:rFonts w:ascii="Arial" w:cs="Arial" w:eastAsia="Arial" w:hAnsi="Arial"/>
                <w:sz w:val="17"/>
                <w:szCs w:val="17"/>
                <w:color w:val="auto"/>
              </w:rPr>
              <w:t>1,528,025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Kevin Nash</w:t>
            </w:r>
          </w:p>
        </w:tc>
        <w:tc>
          <w:tcPr>
            <w:tcW w:w="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243,691</w:t>
            </w:r>
          </w:p>
        </w:tc>
        <w:tc>
          <w:tcPr>
            <w:tcW w:w="40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24,217</w:t>
            </w:r>
          </w:p>
        </w:tc>
        <w:tc>
          <w:tcPr>
            <w:tcW w:w="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100,058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0" w:type="dxa"/>
            <w:vAlign w:val="bottom"/>
            <w:shd w:val="clear" w:color="auto" w:fill="CCEEFF"/>
          </w:tcPr>
          <w:p>
            <w:pPr>
              <w:ind w:left="1500"/>
              <w:spacing w:after="0"/>
              <w:rPr>
                <w:sz w:val="20"/>
                <w:szCs w:val="20"/>
                <w:color w:val="auto"/>
              </w:rPr>
            </w:pPr>
            <w:r>
              <w:rPr>
                <w:rFonts w:ascii="Arial" w:cs="Arial" w:eastAsia="Arial" w:hAnsi="Arial"/>
                <w:sz w:val="17"/>
                <w:szCs w:val="17"/>
                <w:color w:val="auto"/>
              </w:rPr>
              <w:t>— $</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848,917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80" w:type="dxa"/>
            <w:vAlign w:val="bottom"/>
          </w:tcPr>
          <w:p>
            <w:pPr>
              <w:ind w:left="40"/>
              <w:spacing w:after="0"/>
              <w:rPr>
                <w:sz w:val="20"/>
                <w:szCs w:val="20"/>
                <w:color w:val="auto"/>
              </w:rPr>
            </w:pPr>
            <w:r>
              <w:rPr>
                <w:rFonts w:ascii="Arial" w:cs="Arial" w:eastAsia="Arial" w:hAnsi="Arial"/>
                <w:sz w:val="17"/>
                <w:szCs w:val="17"/>
                <w:color w:val="auto"/>
              </w:rPr>
              <w:t>Matthew Chiodo</w:t>
            </w:r>
          </w:p>
        </w:tc>
        <w:tc>
          <w:tcPr>
            <w:tcW w:w="560" w:type="dxa"/>
            <w:vAlign w:val="bottom"/>
          </w:tcPr>
          <w:p>
            <w:pPr>
              <w:ind w:left="18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205,864</w:t>
            </w:r>
          </w:p>
        </w:tc>
        <w:tc>
          <w:tcPr>
            <w:tcW w:w="40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19,416</w:t>
            </w:r>
          </w:p>
        </w:tc>
        <w:tc>
          <w:tcPr>
            <w:tcW w:w="500" w:type="dxa"/>
            <w:vAlign w:val="bottom"/>
          </w:tcPr>
          <w:p>
            <w:pPr>
              <w:ind w:left="4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104,338</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200" w:type="dxa"/>
            <w:vAlign w:val="bottom"/>
          </w:tcPr>
          <w:p>
            <w:pPr>
              <w:ind w:left="1500"/>
              <w:spacing w:after="0"/>
              <w:rPr>
                <w:sz w:val="20"/>
                <w:szCs w:val="20"/>
                <w:color w:val="auto"/>
              </w:rPr>
            </w:pPr>
            <w:r>
              <w:rPr>
                <w:rFonts w:ascii="Arial" w:cs="Arial" w:eastAsia="Arial" w:hAnsi="Arial"/>
                <w:sz w:val="17"/>
                <w:szCs w:val="17"/>
                <w:color w:val="auto"/>
              </w:rPr>
              <w:t>— $</w:t>
            </w:r>
          </w:p>
        </w:tc>
        <w:tc>
          <w:tcPr>
            <w:tcW w:w="1420" w:type="dxa"/>
            <w:vAlign w:val="bottom"/>
          </w:tcPr>
          <w:p>
            <w:pPr>
              <w:jc w:val="right"/>
              <w:spacing w:after="0"/>
              <w:rPr>
                <w:sz w:val="20"/>
                <w:szCs w:val="20"/>
                <w:color w:val="auto"/>
              </w:rPr>
            </w:pPr>
            <w:r>
              <w:rPr>
                <w:rFonts w:ascii="Arial" w:cs="Arial" w:eastAsia="Arial" w:hAnsi="Arial"/>
                <w:sz w:val="17"/>
                <w:szCs w:val="17"/>
                <w:color w:val="auto"/>
              </w:rPr>
              <w:t>829,624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Scott Ryan</w:t>
            </w:r>
          </w:p>
        </w:tc>
        <w:tc>
          <w:tcPr>
            <w:tcW w:w="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155,591</w:t>
            </w:r>
          </w:p>
        </w:tc>
        <w:tc>
          <w:tcPr>
            <w:tcW w:w="40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15,006</w:t>
            </w:r>
          </w:p>
        </w:tc>
        <w:tc>
          <w:tcPr>
            <w:tcW w:w="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51,835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0" w:type="dxa"/>
            <w:vAlign w:val="bottom"/>
            <w:shd w:val="clear" w:color="auto" w:fill="CCEEFF"/>
          </w:tcPr>
          <w:p>
            <w:pPr>
              <w:ind w:left="1500"/>
              <w:spacing w:after="0"/>
              <w:rPr>
                <w:sz w:val="20"/>
                <w:szCs w:val="20"/>
                <w:color w:val="auto"/>
              </w:rPr>
            </w:pPr>
            <w:r>
              <w:rPr>
                <w:rFonts w:ascii="Arial" w:cs="Arial" w:eastAsia="Arial" w:hAnsi="Arial"/>
                <w:sz w:val="17"/>
                <w:szCs w:val="17"/>
                <w:color w:val="auto"/>
              </w:rPr>
              <w:t>— $</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486,833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540" w:right="340" w:hanging="520"/>
        <w:spacing w:after="0" w:line="229"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Amounts in this column represent the deferrals of base salary earned in fiscal 2024 which are included in Summary Compensation Table under Salary, plus deferral of amounts earned in fiscal 2023 and paid in fiscal 2024 under the Annual Incentive Plan which was included in the fiscal 2023 Summary Compensation Table under Non-Equity Incentive Plan Compensation.</w:t>
      </w:r>
    </w:p>
    <w:p>
      <w:pPr>
        <w:spacing w:after="0" w:line="7" w:lineRule="exact"/>
        <w:rPr>
          <w:rFonts w:ascii="Arial" w:cs="Arial" w:eastAsia="Arial" w:hAnsi="Arial"/>
          <w:sz w:val="17"/>
          <w:szCs w:val="17"/>
          <w:color w:val="auto"/>
        </w:rPr>
      </w:pPr>
    </w:p>
    <w:p>
      <w:pPr>
        <w:ind w:left="540" w:right="500" w:hanging="520"/>
        <w:spacing w:after="0" w:line="242"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Amounts in this column represent the Company's contribution and are included in the "All Other Compensation" column of the Summary Compensation Table.</w:t>
      </w:r>
    </w:p>
    <w:p>
      <w:pPr>
        <w:spacing w:after="0" w:line="4" w:lineRule="exact"/>
        <w:rPr>
          <w:rFonts w:ascii="Arial" w:cs="Arial" w:eastAsia="Arial" w:hAnsi="Arial"/>
          <w:sz w:val="17"/>
          <w:szCs w:val="17"/>
          <w:color w:val="auto"/>
        </w:rPr>
      </w:pPr>
    </w:p>
    <w:p>
      <w:pPr>
        <w:ind w:left="540" w:right="960" w:hanging="520"/>
        <w:spacing w:after="0" w:line="242"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amounts shown include interest earned from cash deferrals. The earnings during 2024 were not above market or preferential; therefore, these amounts were not included in the 2024 Summary Compensation Table.</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For further information, see the Deferred Compensation section of "Compensation Discussion and Analysis".</w:t>
      </w:r>
    </w:p>
    <w:p>
      <w:pPr>
        <w:spacing w:after="0" w:line="242"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The Company does not have any contracts with its NEOs linked to a change in control of the Company other than with respect to vesting certain RS, stock option awards, or PSAs.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DIRECTOR COMPENSATION</w:t>
      </w:r>
    </w:p>
    <w:p>
      <w:pPr>
        <w:spacing w:after="0" w:line="244" w:lineRule="exact"/>
        <w:rPr>
          <w:sz w:val="20"/>
          <w:szCs w:val="20"/>
          <w:color w:val="auto"/>
        </w:rPr>
      </w:pPr>
    </w:p>
    <w:p>
      <w:pPr>
        <w:ind w:right="100" w:firstLine="618"/>
        <w:spacing w:after="0" w:line="284" w:lineRule="auto"/>
        <w:rPr>
          <w:sz w:val="20"/>
          <w:szCs w:val="20"/>
          <w:color w:val="auto"/>
        </w:rPr>
      </w:pPr>
      <w:r>
        <w:rPr>
          <w:rFonts w:ascii="Arial" w:cs="Arial" w:eastAsia="Arial" w:hAnsi="Arial"/>
          <w:sz w:val="17"/>
          <w:szCs w:val="17"/>
          <w:color w:val="auto"/>
        </w:rPr>
        <w:t>The following table discloses the cash, stock option awards, and other compensation earned, paid, or awarded to each of the Company's directors during the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-4445</wp:posOffset>
            </wp:positionV>
            <wp:extent cx="6806565" cy="6216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06565" cy="62166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2"/>
          <w:szCs w:val="12"/>
          <w:b w:val="1"/>
          <w:bCs w:val="1"/>
          <w:color w:val="auto"/>
        </w:rPr>
        <w:t>Director Compensation for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640" w:type="dxa"/>
            <w:vAlign w:val="bottom"/>
          </w:tcPr>
          <w:p>
            <w:pPr>
              <w:spacing w:after="0"/>
              <w:rPr>
                <w:sz w:val="10"/>
                <w:szCs w:val="10"/>
                <w:color w:val="auto"/>
              </w:rPr>
            </w:pPr>
          </w:p>
        </w:tc>
        <w:tc>
          <w:tcPr>
            <w:tcW w:w="2120" w:type="dxa"/>
            <w:vAlign w:val="bottom"/>
            <w:tcBorders>
              <w:top w:val="single" w:sz="8" w:color="00000A"/>
              <w:right w:val="single" w:sz="8" w:color="00000A"/>
            </w:tcBorders>
          </w:tcPr>
          <w:p>
            <w:pPr>
              <w:spacing w:after="0"/>
              <w:rPr>
                <w:sz w:val="10"/>
                <w:szCs w:val="10"/>
                <w:color w:val="auto"/>
              </w:rPr>
            </w:pPr>
          </w:p>
        </w:tc>
        <w:tc>
          <w:tcPr>
            <w:tcW w:w="134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12"/>
                <w:szCs w:val="12"/>
                <w:b w:val="1"/>
                <w:bCs w:val="1"/>
                <w:color w:val="auto"/>
                <w:w w:val="95"/>
              </w:rPr>
              <w:t>(1)</w:t>
            </w:r>
          </w:p>
        </w:tc>
        <w:tc>
          <w:tcPr>
            <w:tcW w:w="1020" w:type="dxa"/>
            <w:vAlign w:val="bottom"/>
            <w:tcBorders>
              <w:top w:val="single" w:sz="8" w:color="00000A"/>
              <w:right w:val="single" w:sz="8" w:color="00000A"/>
            </w:tcBorders>
          </w:tcPr>
          <w:p>
            <w:pPr>
              <w:spacing w:after="0"/>
              <w:rPr>
                <w:sz w:val="10"/>
                <w:szCs w:val="10"/>
                <w:color w:val="auto"/>
              </w:rPr>
            </w:pPr>
          </w:p>
        </w:tc>
        <w:tc>
          <w:tcPr>
            <w:tcW w:w="1360" w:type="dxa"/>
            <w:vAlign w:val="bottom"/>
            <w:tcBorders>
              <w:top w:val="single" w:sz="8" w:color="00000A"/>
              <w:right w:val="single" w:sz="8" w:color="00000A"/>
            </w:tcBorders>
          </w:tcPr>
          <w:p>
            <w:pPr>
              <w:spacing w:after="0"/>
              <w:rPr>
                <w:sz w:val="10"/>
                <w:szCs w:val="10"/>
                <w:color w:val="auto"/>
              </w:rPr>
            </w:pPr>
          </w:p>
        </w:tc>
        <w:tc>
          <w:tcPr>
            <w:tcW w:w="1340" w:type="dxa"/>
            <w:vAlign w:val="bottom"/>
            <w:tcBorders>
              <w:top w:val="single" w:sz="8" w:color="00000A"/>
              <w:right w:val="single" w:sz="8" w:color="00000A"/>
            </w:tcBorders>
          </w:tcPr>
          <w:p>
            <w:pPr>
              <w:spacing w:after="0"/>
              <w:rPr>
                <w:sz w:val="10"/>
                <w:szCs w:val="10"/>
                <w:color w:val="auto"/>
              </w:rPr>
            </w:pPr>
          </w:p>
        </w:tc>
        <w:tc>
          <w:tcPr>
            <w:tcW w:w="1360" w:type="dxa"/>
            <w:vAlign w:val="bottom"/>
            <w:tcBorders>
              <w:top w:val="single" w:sz="8" w:color="00000A"/>
              <w:right w:val="single" w:sz="8" w:color="00000A"/>
            </w:tcBorders>
          </w:tcPr>
          <w:p>
            <w:pPr>
              <w:jc w:val="center"/>
              <w:spacing w:after="0" w:line="125" w:lineRule="exact"/>
              <w:rPr>
                <w:sz w:val="20"/>
                <w:szCs w:val="20"/>
                <w:color w:val="auto"/>
              </w:rPr>
            </w:pPr>
            <w:r>
              <w:rPr>
                <w:rFonts w:ascii="Arial" w:cs="Arial" w:eastAsia="Arial" w:hAnsi="Arial"/>
                <w:sz w:val="12"/>
                <w:szCs w:val="12"/>
                <w:b w:val="1"/>
                <w:bCs w:val="1"/>
                <w:color w:val="auto"/>
                <w:w w:val="99"/>
              </w:rPr>
              <w:t>Change in Pension</w:t>
            </w:r>
          </w:p>
        </w:tc>
        <w:tc>
          <w:tcPr>
            <w:tcW w:w="1360" w:type="dxa"/>
            <w:vAlign w:val="bottom"/>
            <w:tcBorders>
              <w:top w:val="single" w:sz="8" w:color="00000A"/>
              <w:right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40" w:type="dxa"/>
            <w:vAlign w:val="bottom"/>
          </w:tcPr>
          <w:p>
            <w:pPr>
              <w:spacing w:after="0"/>
              <w:rPr>
                <w:sz w:val="10"/>
                <w:szCs w:val="10"/>
                <w:color w:val="auto"/>
              </w:rPr>
            </w:pPr>
          </w:p>
        </w:tc>
        <w:tc>
          <w:tcPr>
            <w:tcW w:w="2120" w:type="dxa"/>
            <w:vAlign w:val="bottom"/>
            <w:tcBorders>
              <w:right w:val="single" w:sz="8" w:color="00000A"/>
            </w:tcBorders>
          </w:tcPr>
          <w:p>
            <w:pPr>
              <w:spacing w:after="0"/>
              <w:rPr>
                <w:sz w:val="10"/>
                <w:szCs w:val="10"/>
                <w:color w:val="auto"/>
              </w:rPr>
            </w:pPr>
          </w:p>
        </w:tc>
        <w:tc>
          <w:tcPr>
            <w:tcW w:w="1340" w:type="dxa"/>
            <w:vAlign w:val="bottom"/>
            <w:tcBorders>
              <w:right w:val="single" w:sz="8" w:color="00000A"/>
            </w:tcBorders>
            <w:vMerge w:val="continue"/>
          </w:tcPr>
          <w:p>
            <w:pPr>
              <w:spacing w:after="0"/>
              <w:rPr>
                <w:sz w:val="10"/>
                <w:szCs w:val="10"/>
                <w:color w:val="auto"/>
              </w:rPr>
            </w:pPr>
          </w:p>
        </w:tc>
        <w:tc>
          <w:tcPr>
            <w:tcW w:w="1020" w:type="dxa"/>
            <w:vAlign w:val="bottom"/>
            <w:tcBorders>
              <w:right w:val="single" w:sz="8" w:color="00000A"/>
            </w:tcBorders>
          </w:tcPr>
          <w:p>
            <w:pPr>
              <w:spacing w:after="0"/>
              <w:rPr>
                <w:sz w:val="10"/>
                <w:szCs w:val="10"/>
                <w:color w:val="auto"/>
              </w:rPr>
            </w:pPr>
          </w:p>
        </w:tc>
        <w:tc>
          <w:tcPr>
            <w:tcW w:w="1360" w:type="dxa"/>
            <w:vAlign w:val="bottom"/>
            <w:tcBorders>
              <w:right w:val="single" w:sz="8" w:color="00000A"/>
            </w:tcBorders>
          </w:tcPr>
          <w:p>
            <w:pPr>
              <w:spacing w:after="0"/>
              <w:rPr>
                <w:sz w:val="10"/>
                <w:szCs w:val="10"/>
                <w:color w:val="auto"/>
              </w:rPr>
            </w:pPr>
          </w:p>
        </w:tc>
        <w:tc>
          <w:tcPr>
            <w:tcW w:w="13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2"/>
                <w:szCs w:val="12"/>
                <w:b w:val="1"/>
                <w:bCs w:val="1"/>
                <w:color w:val="auto"/>
                <w:w w:val="99"/>
              </w:rPr>
              <w:t>Non-Equity</w:t>
            </w:r>
          </w:p>
        </w:tc>
        <w:tc>
          <w:tcPr>
            <w:tcW w:w="1360" w:type="dxa"/>
            <w:vAlign w:val="bottom"/>
            <w:tcBorders>
              <w:right w:val="single" w:sz="8" w:color="00000A"/>
            </w:tcBorders>
          </w:tcPr>
          <w:p>
            <w:pPr>
              <w:jc w:val="center"/>
              <w:spacing w:after="0" w:line="121" w:lineRule="exact"/>
              <w:rPr>
                <w:sz w:val="20"/>
                <w:szCs w:val="20"/>
                <w:color w:val="auto"/>
              </w:rPr>
            </w:pPr>
            <w:r>
              <w:rPr>
                <w:rFonts w:ascii="Arial" w:cs="Arial" w:eastAsia="Arial" w:hAnsi="Arial"/>
                <w:sz w:val="12"/>
                <w:szCs w:val="12"/>
                <w:b w:val="1"/>
                <w:bCs w:val="1"/>
                <w:color w:val="auto"/>
                <w:w w:val="98"/>
              </w:rPr>
              <w:t>Value and</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(3)</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40" w:type="dxa"/>
            <w:vAlign w:val="bottom"/>
          </w:tcPr>
          <w:p>
            <w:pPr>
              <w:spacing w:after="0"/>
              <w:rPr>
                <w:sz w:val="10"/>
                <w:szCs w:val="10"/>
                <w:color w:val="auto"/>
              </w:rPr>
            </w:pPr>
          </w:p>
        </w:tc>
        <w:tc>
          <w:tcPr>
            <w:tcW w:w="2120" w:type="dxa"/>
            <w:vAlign w:val="bottom"/>
            <w:tcBorders>
              <w:right w:val="single" w:sz="8" w:color="00000A"/>
            </w:tcBorders>
          </w:tcPr>
          <w:p>
            <w:pPr>
              <w:spacing w:after="0"/>
              <w:rPr>
                <w:sz w:val="10"/>
                <w:szCs w:val="10"/>
                <w:color w:val="auto"/>
              </w:rPr>
            </w:pPr>
          </w:p>
        </w:tc>
        <w:tc>
          <w:tcPr>
            <w:tcW w:w="1340" w:type="dxa"/>
            <w:vAlign w:val="bottom"/>
            <w:tcBorders>
              <w:right w:val="single" w:sz="8" w:color="00000A"/>
            </w:tcBorders>
          </w:tcPr>
          <w:p>
            <w:pPr>
              <w:jc w:val="center"/>
              <w:spacing w:after="0" w:line="116" w:lineRule="exact"/>
              <w:rPr>
                <w:sz w:val="20"/>
                <w:szCs w:val="20"/>
                <w:color w:val="auto"/>
              </w:rPr>
            </w:pPr>
            <w:r>
              <w:rPr>
                <w:rFonts w:ascii="Arial" w:cs="Arial" w:eastAsia="Arial" w:hAnsi="Arial"/>
                <w:sz w:val="12"/>
                <w:szCs w:val="12"/>
                <w:b w:val="1"/>
                <w:bCs w:val="1"/>
                <w:color w:val="auto"/>
                <w:w w:val="99"/>
              </w:rPr>
              <w:t>Fees Earned or</w:t>
            </w:r>
          </w:p>
        </w:tc>
        <w:tc>
          <w:tcPr>
            <w:tcW w:w="10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2"/>
                <w:szCs w:val="12"/>
                <w:b w:val="1"/>
                <w:bCs w:val="1"/>
                <w:color w:val="auto"/>
              </w:rPr>
              <w:t>(2) Stock</w:t>
            </w:r>
          </w:p>
        </w:tc>
        <w:tc>
          <w:tcPr>
            <w:tcW w:w="13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2"/>
                <w:szCs w:val="12"/>
                <w:b w:val="1"/>
                <w:bCs w:val="1"/>
                <w:color w:val="auto"/>
                <w:w w:val="98"/>
              </w:rPr>
              <w:t>Option</w:t>
            </w:r>
          </w:p>
        </w:tc>
        <w:tc>
          <w:tcPr>
            <w:tcW w:w="1340" w:type="dxa"/>
            <w:vAlign w:val="bottom"/>
            <w:tcBorders>
              <w:right w:val="single" w:sz="8" w:color="00000A"/>
            </w:tcBorders>
            <w:vMerge w:val="continue"/>
          </w:tcPr>
          <w:p>
            <w:pPr>
              <w:spacing w:after="0"/>
              <w:rPr>
                <w:sz w:val="10"/>
                <w:szCs w:val="10"/>
                <w:color w:val="auto"/>
              </w:rPr>
            </w:pPr>
          </w:p>
        </w:tc>
        <w:tc>
          <w:tcPr>
            <w:tcW w:w="1360" w:type="dxa"/>
            <w:vAlign w:val="bottom"/>
            <w:tcBorders>
              <w:right w:val="single" w:sz="8" w:color="00000A"/>
            </w:tcBorders>
          </w:tcPr>
          <w:p>
            <w:pPr>
              <w:jc w:val="center"/>
              <w:spacing w:after="0" w:line="116" w:lineRule="exact"/>
              <w:rPr>
                <w:sz w:val="20"/>
                <w:szCs w:val="20"/>
                <w:color w:val="auto"/>
              </w:rPr>
            </w:pPr>
            <w:r>
              <w:rPr>
                <w:rFonts w:ascii="Arial" w:cs="Arial" w:eastAsia="Arial" w:hAnsi="Arial"/>
                <w:sz w:val="12"/>
                <w:szCs w:val="12"/>
                <w:b w:val="1"/>
                <w:bCs w:val="1"/>
                <w:color w:val="auto"/>
              </w:rPr>
              <w:t>Nonqualified</w:t>
            </w:r>
          </w:p>
        </w:tc>
        <w:tc>
          <w:tcPr>
            <w:tcW w:w="1360" w:type="dxa"/>
            <w:vAlign w:val="bottom"/>
            <w:tcBorders>
              <w:right w:val="single" w:sz="8" w:color="auto"/>
            </w:tcBorders>
            <w:vMerge w:val="continue"/>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640" w:type="dxa"/>
            <w:vAlign w:val="bottom"/>
          </w:tcPr>
          <w:p>
            <w:pPr>
              <w:spacing w:after="0"/>
              <w:rPr>
                <w:sz w:val="11"/>
                <w:szCs w:val="11"/>
                <w:color w:val="auto"/>
              </w:rPr>
            </w:pPr>
          </w:p>
        </w:tc>
        <w:tc>
          <w:tcPr>
            <w:tcW w:w="2120" w:type="dxa"/>
            <w:vAlign w:val="bottom"/>
            <w:tcBorders>
              <w:right w:val="single" w:sz="8" w:color="00000A"/>
            </w:tcBorders>
          </w:tcPr>
          <w:p>
            <w:pPr>
              <w:spacing w:after="0"/>
              <w:rPr>
                <w:sz w:val="11"/>
                <w:szCs w:val="11"/>
                <w:color w:val="auto"/>
              </w:rPr>
            </w:pPr>
          </w:p>
        </w:tc>
        <w:tc>
          <w:tcPr>
            <w:tcW w:w="1340" w:type="dxa"/>
            <w:vAlign w:val="bottom"/>
            <w:tcBorders>
              <w:right w:val="single" w:sz="8" w:color="00000A"/>
            </w:tcBorders>
          </w:tcPr>
          <w:p>
            <w:pPr>
              <w:jc w:val="center"/>
              <w:spacing w:after="0" w:line="129" w:lineRule="exact"/>
              <w:rPr>
                <w:sz w:val="20"/>
                <w:szCs w:val="20"/>
                <w:color w:val="auto"/>
              </w:rPr>
            </w:pPr>
            <w:r>
              <w:rPr>
                <w:rFonts w:ascii="Arial" w:cs="Arial" w:eastAsia="Arial" w:hAnsi="Arial"/>
                <w:sz w:val="12"/>
                <w:szCs w:val="12"/>
                <w:b w:val="1"/>
                <w:bCs w:val="1"/>
                <w:color w:val="auto"/>
              </w:rPr>
              <w:t>Paid in</w:t>
            </w:r>
          </w:p>
        </w:tc>
        <w:tc>
          <w:tcPr>
            <w:tcW w:w="1020" w:type="dxa"/>
            <w:vAlign w:val="bottom"/>
            <w:tcBorders>
              <w:right w:val="single" w:sz="8" w:color="00000A"/>
            </w:tcBorders>
            <w:vMerge w:val="continue"/>
          </w:tcPr>
          <w:p>
            <w:pPr>
              <w:spacing w:after="0"/>
              <w:rPr>
                <w:sz w:val="11"/>
                <w:szCs w:val="11"/>
                <w:color w:val="auto"/>
              </w:rPr>
            </w:pPr>
          </w:p>
        </w:tc>
        <w:tc>
          <w:tcPr>
            <w:tcW w:w="1360" w:type="dxa"/>
            <w:vAlign w:val="bottom"/>
            <w:tcBorders>
              <w:right w:val="single" w:sz="8" w:color="00000A"/>
            </w:tcBorders>
            <w:vMerge w:val="continue"/>
          </w:tcPr>
          <w:p>
            <w:pPr>
              <w:spacing w:after="0"/>
              <w:rPr>
                <w:sz w:val="11"/>
                <w:szCs w:val="11"/>
                <w:color w:val="auto"/>
              </w:rPr>
            </w:pPr>
          </w:p>
        </w:tc>
        <w:tc>
          <w:tcPr>
            <w:tcW w:w="1340" w:type="dxa"/>
            <w:vAlign w:val="bottom"/>
            <w:tcBorders>
              <w:right w:val="single" w:sz="8" w:color="00000A"/>
            </w:tcBorders>
          </w:tcPr>
          <w:p>
            <w:pPr>
              <w:jc w:val="center"/>
              <w:spacing w:after="0" w:line="129" w:lineRule="exact"/>
              <w:rPr>
                <w:sz w:val="20"/>
                <w:szCs w:val="20"/>
                <w:color w:val="auto"/>
              </w:rPr>
            </w:pPr>
            <w:r>
              <w:rPr>
                <w:rFonts w:ascii="Arial" w:cs="Arial" w:eastAsia="Arial" w:hAnsi="Arial"/>
                <w:sz w:val="12"/>
                <w:szCs w:val="12"/>
                <w:b w:val="1"/>
                <w:bCs w:val="1"/>
                <w:color w:val="auto"/>
                <w:w w:val="99"/>
              </w:rPr>
              <w:t>Incentive Plan</w:t>
            </w:r>
          </w:p>
        </w:tc>
        <w:tc>
          <w:tcPr>
            <w:tcW w:w="1360" w:type="dxa"/>
            <w:vAlign w:val="bottom"/>
            <w:tcBorders>
              <w:right w:val="single" w:sz="8" w:color="00000A"/>
            </w:tcBorders>
          </w:tcPr>
          <w:p>
            <w:pPr>
              <w:jc w:val="center"/>
              <w:spacing w:after="0" w:line="129" w:lineRule="exact"/>
              <w:rPr>
                <w:sz w:val="20"/>
                <w:szCs w:val="20"/>
                <w:color w:val="auto"/>
              </w:rPr>
            </w:pPr>
            <w:r>
              <w:rPr>
                <w:rFonts w:ascii="Arial" w:cs="Arial" w:eastAsia="Arial" w:hAnsi="Arial"/>
                <w:sz w:val="12"/>
                <w:szCs w:val="12"/>
                <w:b w:val="1"/>
                <w:bCs w:val="1"/>
                <w:color w:val="auto"/>
              </w:rPr>
              <w:t>Deferred</w:t>
            </w:r>
          </w:p>
        </w:tc>
        <w:tc>
          <w:tcPr>
            <w:tcW w:w="13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rPr>
              <w:t>All Other</w:t>
            </w:r>
          </w:p>
        </w:tc>
        <w:tc>
          <w:tcPr>
            <w:tcW w:w="8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16"/>
        </w:trPr>
        <w:tc>
          <w:tcPr>
            <w:tcW w:w="640" w:type="dxa"/>
            <w:vAlign w:val="bottom"/>
          </w:tcPr>
          <w:p>
            <w:pPr>
              <w:spacing w:after="0"/>
              <w:rPr>
                <w:sz w:val="10"/>
                <w:szCs w:val="10"/>
                <w:color w:val="auto"/>
              </w:rPr>
            </w:pPr>
          </w:p>
        </w:tc>
        <w:tc>
          <w:tcPr>
            <w:tcW w:w="2120" w:type="dxa"/>
            <w:vAlign w:val="bottom"/>
            <w:tcBorders>
              <w:right w:val="single" w:sz="8" w:color="00000A"/>
            </w:tcBorders>
            <w:vMerge w:val="restart"/>
          </w:tcPr>
          <w:p>
            <w:pPr>
              <w:ind w:left="880"/>
              <w:spacing w:after="0"/>
              <w:rPr>
                <w:sz w:val="20"/>
                <w:szCs w:val="20"/>
                <w:color w:val="auto"/>
              </w:rPr>
            </w:pPr>
            <w:r>
              <w:rPr>
                <w:rFonts w:ascii="Arial" w:cs="Arial" w:eastAsia="Arial" w:hAnsi="Arial"/>
                <w:sz w:val="12"/>
                <w:szCs w:val="12"/>
                <w:b w:val="1"/>
                <w:bCs w:val="1"/>
                <w:color w:val="auto"/>
              </w:rPr>
              <w:t>Name</w:t>
            </w:r>
          </w:p>
        </w:tc>
        <w:tc>
          <w:tcPr>
            <w:tcW w:w="1340" w:type="dxa"/>
            <w:vAlign w:val="bottom"/>
            <w:tcBorders>
              <w:right w:val="single" w:sz="8" w:color="00000A"/>
            </w:tcBorders>
          </w:tcPr>
          <w:p>
            <w:pPr>
              <w:jc w:val="center"/>
              <w:spacing w:after="0" w:line="116" w:lineRule="exact"/>
              <w:rPr>
                <w:sz w:val="20"/>
                <w:szCs w:val="20"/>
                <w:color w:val="auto"/>
              </w:rPr>
            </w:pPr>
            <w:r>
              <w:rPr>
                <w:rFonts w:ascii="Arial" w:cs="Arial" w:eastAsia="Arial" w:hAnsi="Arial"/>
                <w:sz w:val="12"/>
                <w:szCs w:val="12"/>
                <w:b w:val="1"/>
                <w:bCs w:val="1"/>
                <w:color w:val="auto"/>
              </w:rPr>
              <w:t>Cash</w:t>
            </w:r>
          </w:p>
        </w:tc>
        <w:tc>
          <w:tcPr>
            <w:tcW w:w="1020" w:type="dxa"/>
            <w:vAlign w:val="bottom"/>
            <w:tcBorders>
              <w:right w:val="single" w:sz="8" w:color="00000A"/>
            </w:tcBorders>
          </w:tcPr>
          <w:p>
            <w:pPr>
              <w:jc w:val="center"/>
              <w:spacing w:after="0" w:line="116" w:lineRule="exact"/>
              <w:rPr>
                <w:sz w:val="20"/>
                <w:szCs w:val="20"/>
                <w:color w:val="auto"/>
              </w:rPr>
            </w:pPr>
            <w:r>
              <w:rPr>
                <w:rFonts w:ascii="Arial" w:cs="Arial" w:eastAsia="Arial" w:hAnsi="Arial"/>
                <w:sz w:val="12"/>
                <w:szCs w:val="12"/>
                <w:b w:val="1"/>
                <w:bCs w:val="1"/>
                <w:color w:val="auto"/>
              </w:rPr>
              <w:t>Awards</w:t>
            </w:r>
          </w:p>
        </w:tc>
        <w:tc>
          <w:tcPr>
            <w:tcW w:w="1360" w:type="dxa"/>
            <w:vAlign w:val="bottom"/>
            <w:tcBorders>
              <w:right w:val="single" w:sz="8" w:color="00000A"/>
            </w:tcBorders>
          </w:tcPr>
          <w:p>
            <w:pPr>
              <w:jc w:val="center"/>
              <w:spacing w:after="0" w:line="116" w:lineRule="exact"/>
              <w:rPr>
                <w:sz w:val="20"/>
                <w:szCs w:val="20"/>
                <w:color w:val="auto"/>
              </w:rPr>
            </w:pPr>
            <w:r>
              <w:rPr>
                <w:rFonts w:ascii="Arial" w:cs="Arial" w:eastAsia="Arial" w:hAnsi="Arial"/>
                <w:sz w:val="12"/>
                <w:szCs w:val="12"/>
                <w:b w:val="1"/>
                <w:bCs w:val="1"/>
                <w:color w:val="auto"/>
              </w:rPr>
              <w:t>Awards</w:t>
            </w:r>
          </w:p>
        </w:tc>
        <w:tc>
          <w:tcPr>
            <w:tcW w:w="1340" w:type="dxa"/>
            <w:vAlign w:val="bottom"/>
            <w:tcBorders>
              <w:right w:val="single" w:sz="8" w:color="00000A"/>
            </w:tcBorders>
          </w:tcPr>
          <w:p>
            <w:pPr>
              <w:jc w:val="center"/>
              <w:spacing w:after="0" w:line="116" w:lineRule="exact"/>
              <w:rPr>
                <w:sz w:val="20"/>
                <w:szCs w:val="20"/>
                <w:color w:val="auto"/>
              </w:rPr>
            </w:pPr>
            <w:r>
              <w:rPr>
                <w:rFonts w:ascii="Arial" w:cs="Arial" w:eastAsia="Arial" w:hAnsi="Arial"/>
                <w:sz w:val="12"/>
                <w:szCs w:val="12"/>
                <w:b w:val="1"/>
                <w:bCs w:val="1"/>
                <w:color w:val="auto"/>
              </w:rPr>
              <w:t>Compensation</w:t>
            </w:r>
          </w:p>
        </w:tc>
        <w:tc>
          <w:tcPr>
            <w:tcW w:w="1360" w:type="dxa"/>
            <w:vAlign w:val="bottom"/>
            <w:tcBorders>
              <w:right w:val="single" w:sz="8" w:color="00000A"/>
            </w:tcBorders>
          </w:tcPr>
          <w:p>
            <w:pPr>
              <w:jc w:val="center"/>
              <w:spacing w:after="0" w:line="116" w:lineRule="exact"/>
              <w:rPr>
                <w:sz w:val="20"/>
                <w:szCs w:val="20"/>
                <w:color w:val="auto"/>
              </w:rPr>
            </w:pPr>
            <w:r>
              <w:rPr>
                <w:rFonts w:ascii="Arial" w:cs="Arial" w:eastAsia="Arial" w:hAnsi="Arial"/>
                <w:sz w:val="12"/>
                <w:szCs w:val="12"/>
                <w:b w:val="1"/>
                <w:bCs w:val="1"/>
                <w:color w:val="auto"/>
                <w:w w:val="98"/>
              </w:rPr>
              <w:t>Compensation</w:t>
            </w:r>
          </w:p>
        </w:tc>
        <w:tc>
          <w:tcPr>
            <w:tcW w:w="13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rPr>
              <w:t>Compensation</w:t>
            </w: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640" w:type="dxa"/>
            <w:vAlign w:val="bottom"/>
          </w:tcPr>
          <w:p>
            <w:pPr>
              <w:spacing w:after="0"/>
              <w:rPr>
                <w:sz w:val="14"/>
                <w:szCs w:val="14"/>
                <w:color w:val="auto"/>
              </w:rPr>
            </w:pPr>
          </w:p>
        </w:tc>
        <w:tc>
          <w:tcPr>
            <w:tcW w:w="2120" w:type="dxa"/>
            <w:vAlign w:val="bottom"/>
            <w:tcBorders>
              <w:bottom w:val="single" w:sz="8" w:color="auto"/>
              <w:right w:val="single" w:sz="8" w:color="00000A"/>
            </w:tcBorders>
            <w:vMerge w:val="continue"/>
          </w:tcPr>
          <w:p>
            <w:pPr>
              <w:spacing w:after="0"/>
              <w:rPr>
                <w:sz w:val="14"/>
                <w:szCs w:val="14"/>
                <w:color w:val="auto"/>
              </w:rPr>
            </w:pPr>
          </w:p>
        </w:tc>
        <w:tc>
          <w:tcPr>
            <w:tcW w:w="1340" w:type="dxa"/>
            <w:vAlign w:val="bottom"/>
            <w:tcBorders>
              <w:bottom w:val="single" w:sz="8" w:color="auto"/>
              <w:right w:val="single" w:sz="8" w:color="00000A"/>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020" w:type="dxa"/>
            <w:vAlign w:val="bottom"/>
            <w:tcBorders>
              <w:bottom w:val="single" w:sz="8" w:color="auto"/>
              <w:right w:val="single" w:sz="8" w:color="00000A"/>
            </w:tcBorders>
          </w:tcPr>
          <w:p>
            <w:pPr>
              <w:jc w:val="center"/>
              <w:spacing w:after="0"/>
              <w:rPr>
                <w:sz w:val="20"/>
                <w:szCs w:val="20"/>
                <w:color w:val="auto"/>
              </w:rPr>
            </w:pPr>
            <w:r>
              <w:rPr>
                <w:rFonts w:ascii="Arial" w:cs="Arial" w:eastAsia="Arial" w:hAnsi="Arial"/>
                <w:sz w:val="12"/>
                <w:szCs w:val="12"/>
                <w:b w:val="1"/>
                <w:bCs w:val="1"/>
                <w:color w:val="auto"/>
              </w:rPr>
              <w:t>($)</w:t>
            </w:r>
          </w:p>
        </w:tc>
        <w:tc>
          <w:tcPr>
            <w:tcW w:w="1360" w:type="dxa"/>
            <w:vAlign w:val="bottom"/>
            <w:tcBorders>
              <w:bottom w:val="single" w:sz="8" w:color="auto"/>
              <w:right w:val="single" w:sz="8" w:color="00000A"/>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340" w:type="dxa"/>
            <w:vAlign w:val="bottom"/>
            <w:tcBorders>
              <w:bottom w:val="single" w:sz="8" w:color="auto"/>
              <w:right w:val="single" w:sz="8" w:color="00000A"/>
            </w:tcBorders>
          </w:tcPr>
          <w:p>
            <w:pPr>
              <w:jc w:val="center"/>
              <w:spacing w:after="0"/>
              <w:rPr>
                <w:sz w:val="20"/>
                <w:szCs w:val="20"/>
                <w:color w:val="auto"/>
              </w:rPr>
            </w:pPr>
            <w:r>
              <w:rPr>
                <w:rFonts w:ascii="Arial" w:cs="Arial" w:eastAsia="Arial" w:hAnsi="Arial"/>
                <w:sz w:val="12"/>
                <w:szCs w:val="12"/>
                <w:b w:val="1"/>
                <w:bCs w:val="1"/>
                <w:color w:val="auto"/>
              </w:rPr>
              <w:t>($)</w:t>
            </w:r>
          </w:p>
        </w:tc>
        <w:tc>
          <w:tcPr>
            <w:tcW w:w="1360" w:type="dxa"/>
            <w:vAlign w:val="bottom"/>
            <w:tcBorders>
              <w:bottom w:val="single" w:sz="8" w:color="auto"/>
              <w:right w:val="single" w:sz="8" w:color="00000A"/>
            </w:tcBorders>
          </w:tcPr>
          <w:p>
            <w:pPr>
              <w:jc w:val="center"/>
              <w:spacing w:after="0"/>
              <w:rPr>
                <w:sz w:val="20"/>
                <w:szCs w:val="20"/>
                <w:color w:val="auto"/>
              </w:rPr>
            </w:pPr>
            <w:r>
              <w:rPr>
                <w:rFonts w:ascii="Arial" w:cs="Arial" w:eastAsia="Arial" w:hAnsi="Arial"/>
                <w:sz w:val="12"/>
                <w:szCs w:val="12"/>
                <w:b w:val="1"/>
                <w:bCs w:val="1"/>
                <w:color w:val="auto"/>
                <w:w w:val="97"/>
              </w:rPr>
              <w:t>Earnings</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13"/>
        </w:trPr>
        <w:tc>
          <w:tcPr>
            <w:tcW w:w="640" w:type="dxa"/>
            <w:vAlign w:val="bottom"/>
            <w:tcBorders>
              <w:right w:val="single" w:sz="8" w:color="auto"/>
            </w:tcBorders>
          </w:tcPr>
          <w:p>
            <w:pPr>
              <w:spacing w:after="0"/>
              <w:rPr>
                <w:sz w:val="18"/>
                <w:szCs w:val="18"/>
                <w:color w:val="auto"/>
              </w:rPr>
            </w:pPr>
          </w:p>
        </w:tc>
        <w:tc>
          <w:tcPr>
            <w:tcW w:w="2120" w:type="dxa"/>
            <w:vAlign w:val="bottom"/>
          </w:tcPr>
          <w:p>
            <w:pPr>
              <w:ind w:left="20"/>
              <w:spacing w:after="0"/>
              <w:rPr>
                <w:sz w:val="20"/>
                <w:szCs w:val="20"/>
                <w:color w:val="auto"/>
              </w:rPr>
            </w:pPr>
            <w:r>
              <w:rPr>
                <w:rFonts w:ascii="Arial" w:cs="Arial" w:eastAsia="Arial" w:hAnsi="Arial"/>
                <w:sz w:val="17"/>
                <w:szCs w:val="17"/>
                <w:color w:val="auto"/>
              </w:rPr>
              <w:t>Joseph Anderson</w:t>
            </w:r>
          </w:p>
        </w:tc>
        <w:tc>
          <w:tcPr>
            <w:tcW w:w="1340" w:type="dxa"/>
            <w:vAlign w:val="bottom"/>
          </w:tcPr>
          <w:p>
            <w:pPr>
              <w:jc w:val="right"/>
              <w:ind w:right="3"/>
              <w:spacing w:after="0"/>
              <w:rPr>
                <w:sz w:val="20"/>
                <w:szCs w:val="20"/>
                <w:color w:val="auto"/>
              </w:rPr>
            </w:pPr>
            <w:r>
              <w:rPr>
                <w:rFonts w:ascii="Arial" w:cs="Arial" w:eastAsia="Arial" w:hAnsi="Arial"/>
                <w:sz w:val="17"/>
                <w:szCs w:val="17"/>
                <w:color w:val="auto"/>
              </w:rPr>
              <w:t>93,764</w:t>
            </w:r>
          </w:p>
        </w:tc>
        <w:tc>
          <w:tcPr>
            <w:tcW w:w="1020" w:type="dxa"/>
            <w:vAlign w:val="bottom"/>
          </w:tcPr>
          <w:p>
            <w:pPr>
              <w:jc w:val="right"/>
              <w:ind w:right="21"/>
              <w:spacing w:after="0"/>
              <w:rPr>
                <w:sz w:val="20"/>
                <w:szCs w:val="20"/>
                <w:color w:val="auto"/>
              </w:rPr>
            </w:pPr>
            <w:r>
              <w:rPr>
                <w:rFonts w:ascii="Arial" w:cs="Arial" w:eastAsia="Arial" w:hAnsi="Arial"/>
                <w:sz w:val="17"/>
                <w:szCs w:val="17"/>
                <w:color w:val="auto"/>
              </w:rPr>
              <w:t>130,310</w:t>
            </w:r>
          </w:p>
        </w:tc>
        <w:tc>
          <w:tcPr>
            <w:tcW w:w="1360" w:type="dxa"/>
            <w:vAlign w:val="bottom"/>
          </w:tcPr>
          <w:p>
            <w:pPr>
              <w:ind w:left="1080"/>
              <w:spacing w:after="0"/>
              <w:rPr>
                <w:sz w:val="20"/>
                <w:szCs w:val="20"/>
                <w:color w:val="auto"/>
              </w:rPr>
            </w:pPr>
            <w:r>
              <w:rPr>
                <w:rFonts w:ascii="Arial" w:cs="Arial" w:eastAsia="Arial" w:hAnsi="Arial"/>
                <w:sz w:val="17"/>
                <w:szCs w:val="17"/>
                <w:color w:val="auto"/>
              </w:rPr>
              <w:t>—</w:t>
            </w:r>
          </w:p>
        </w:tc>
        <w:tc>
          <w:tcPr>
            <w:tcW w:w="1340" w:type="dxa"/>
            <w:vAlign w:val="bottom"/>
          </w:tcPr>
          <w:p>
            <w:pPr>
              <w:ind w:left="1080"/>
              <w:spacing w:after="0"/>
              <w:rPr>
                <w:sz w:val="20"/>
                <w:szCs w:val="20"/>
                <w:color w:val="auto"/>
              </w:rPr>
            </w:pPr>
            <w:r>
              <w:rPr>
                <w:rFonts w:ascii="Arial" w:cs="Arial" w:eastAsia="Arial" w:hAnsi="Arial"/>
                <w:sz w:val="17"/>
                <w:szCs w:val="17"/>
                <w:color w:val="auto"/>
              </w:rPr>
              <w:t>—</w:t>
            </w:r>
          </w:p>
        </w:tc>
        <w:tc>
          <w:tcPr>
            <w:tcW w:w="1360" w:type="dxa"/>
            <w:vAlign w:val="bottom"/>
          </w:tcPr>
          <w:p>
            <w:pPr>
              <w:ind w:left="110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22"/>
              <w:spacing w:after="0"/>
              <w:rPr>
                <w:sz w:val="20"/>
                <w:szCs w:val="20"/>
                <w:color w:val="auto"/>
              </w:rPr>
            </w:pPr>
            <w:r>
              <w:rPr>
                <w:rFonts w:ascii="Arial" w:cs="Arial" w:eastAsia="Arial" w:hAnsi="Arial"/>
                <w:sz w:val="17"/>
                <w:szCs w:val="17"/>
                <w:color w:val="auto"/>
              </w:rPr>
              <w:t>2,035</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9"/>
        </w:trPr>
        <w:tc>
          <w:tcPr>
            <w:tcW w:w="640" w:type="dxa"/>
            <w:vAlign w:val="bottom"/>
            <w:tcBorders>
              <w:right w:val="single" w:sz="8" w:color="auto"/>
            </w:tcBorders>
          </w:tcPr>
          <w:p>
            <w:pPr>
              <w:spacing w:after="0"/>
              <w:rPr>
                <w:sz w:val="19"/>
                <w:szCs w:val="19"/>
                <w:color w:val="auto"/>
              </w:rPr>
            </w:pPr>
          </w:p>
        </w:tc>
        <w:tc>
          <w:tcPr>
            <w:tcW w:w="21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Leslie Brown</w:t>
            </w:r>
          </w:p>
        </w:tc>
        <w:tc>
          <w:tcPr>
            <w:tcW w:w="134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7"/>
                <w:szCs w:val="17"/>
                <w:color w:val="auto"/>
              </w:rPr>
              <w:t>103,764</w:t>
            </w:r>
          </w:p>
        </w:tc>
        <w:tc>
          <w:tcPr>
            <w:tcW w:w="102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130,310</w:t>
            </w:r>
          </w:p>
        </w:tc>
        <w:tc>
          <w:tcPr>
            <w:tcW w:w="1360" w:type="dxa"/>
            <w:vAlign w:val="bottom"/>
            <w:tcBorders>
              <w:right w:val="single" w:sz="8" w:color="CCEEFF"/>
            </w:tcBorders>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340" w:type="dxa"/>
            <w:vAlign w:val="bottom"/>
            <w:tcBorders>
              <w:right w:val="single" w:sz="8" w:color="CCEEFF"/>
            </w:tcBorders>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360" w:type="dxa"/>
            <w:vAlign w:val="bottom"/>
            <w:tcBorders>
              <w:right w:val="single" w:sz="8" w:color="CCEEFF"/>
            </w:tcBorders>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1360" w:type="dxa"/>
            <w:vAlign w:val="bottom"/>
            <w:tcBorders>
              <w:right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2,035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9"/>
        </w:trPr>
        <w:tc>
          <w:tcPr>
            <w:tcW w:w="640" w:type="dxa"/>
            <w:vAlign w:val="bottom"/>
            <w:tcBorders>
              <w:right w:val="single" w:sz="8" w:color="auto"/>
            </w:tcBorders>
          </w:tcPr>
          <w:p>
            <w:pPr>
              <w:spacing w:after="0"/>
              <w:rPr>
                <w:sz w:val="19"/>
                <w:szCs w:val="19"/>
                <w:color w:val="auto"/>
              </w:rPr>
            </w:pPr>
          </w:p>
        </w:tc>
        <w:tc>
          <w:tcPr>
            <w:tcW w:w="2120" w:type="dxa"/>
            <w:vAlign w:val="bottom"/>
          </w:tcPr>
          <w:p>
            <w:pPr>
              <w:ind w:left="20"/>
              <w:spacing w:after="0"/>
              <w:rPr>
                <w:sz w:val="20"/>
                <w:szCs w:val="20"/>
                <w:color w:val="auto"/>
              </w:rPr>
            </w:pPr>
            <w:r>
              <w:rPr>
                <w:rFonts w:ascii="Arial" w:cs="Arial" w:eastAsia="Arial" w:hAnsi="Arial"/>
                <w:sz w:val="17"/>
                <w:szCs w:val="17"/>
                <w:color w:val="auto"/>
              </w:rPr>
              <w:t>Garth Deur</w:t>
            </w:r>
          </w:p>
        </w:tc>
        <w:tc>
          <w:tcPr>
            <w:tcW w:w="1340" w:type="dxa"/>
            <w:vAlign w:val="bottom"/>
          </w:tcPr>
          <w:p>
            <w:pPr>
              <w:jc w:val="right"/>
              <w:ind w:right="3"/>
              <w:spacing w:after="0"/>
              <w:rPr>
                <w:sz w:val="20"/>
                <w:szCs w:val="20"/>
                <w:color w:val="auto"/>
              </w:rPr>
            </w:pPr>
            <w:r>
              <w:rPr>
                <w:rFonts w:ascii="Arial" w:cs="Arial" w:eastAsia="Arial" w:hAnsi="Arial"/>
                <w:sz w:val="17"/>
                <w:szCs w:val="17"/>
                <w:color w:val="auto"/>
              </w:rPr>
              <w:t>111,936</w:t>
            </w:r>
          </w:p>
        </w:tc>
        <w:tc>
          <w:tcPr>
            <w:tcW w:w="1020" w:type="dxa"/>
            <w:vAlign w:val="bottom"/>
          </w:tcPr>
          <w:p>
            <w:pPr>
              <w:jc w:val="right"/>
              <w:ind w:right="21"/>
              <w:spacing w:after="0"/>
              <w:rPr>
                <w:sz w:val="20"/>
                <w:szCs w:val="20"/>
                <w:color w:val="auto"/>
              </w:rPr>
            </w:pPr>
            <w:r>
              <w:rPr>
                <w:rFonts w:ascii="Arial" w:cs="Arial" w:eastAsia="Arial" w:hAnsi="Arial"/>
                <w:sz w:val="17"/>
                <w:szCs w:val="17"/>
                <w:color w:val="auto"/>
              </w:rPr>
              <w:t>130,310</w:t>
            </w:r>
          </w:p>
        </w:tc>
        <w:tc>
          <w:tcPr>
            <w:tcW w:w="1360" w:type="dxa"/>
            <w:vAlign w:val="bottom"/>
          </w:tcPr>
          <w:p>
            <w:pPr>
              <w:ind w:left="1080"/>
              <w:spacing w:after="0"/>
              <w:rPr>
                <w:sz w:val="20"/>
                <w:szCs w:val="20"/>
                <w:color w:val="auto"/>
              </w:rPr>
            </w:pPr>
            <w:r>
              <w:rPr>
                <w:rFonts w:ascii="Arial" w:cs="Arial" w:eastAsia="Arial" w:hAnsi="Arial"/>
                <w:sz w:val="17"/>
                <w:szCs w:val="17"/>
                <w:color w:val="auto"/>
              </w:rPr>
              <w:t>—</w:t>
            </w:r>
          </w:p>
        </w:tc>
        <w:tc>
          <w:tcPr>
            <w:tcW w:w="1340" w:type="dxa"/>
            <w:vAlign w:val="bottom"/>
          </w:tcPr>
          <w:p>
            <w:pPr>
              <w:ind w:left="1080"/>
              <w:spacing w:after="0"/>
              <w:rPr>
                <w:sz w:val="20"/>
                <w:szCs w:val="20"/>
                <w:color w:val="auto"/>
              </w:rPr>
            </w:pPr>
            <w:r>
              <w:rPr>
                <w:rFonts w:ascii="Arial" w:cs="Arial" w:eastAsia="Arial" w:hAnsi="Arial"/>
                <w:sz w:val="17"/>
                <w:szCs w:val="17"/>
                <w:color w:val="auto"/>
              </w:rPr>
              <w:t>—</w:t>
            </w:r>
          </w:p>
        </w:tc>
        <w:tc>
          <w:tcPr>
            <w:tcW w:w="1360" w:type="dxa"/>
            <w:vAlign w:val="bottom"/>
          </w:tcPr>
          <w:p>
            <w:pPr>
              <w:ind w:left="110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22"/>
              <w:spacing w:after="0"/>
              <w:rPr>
                <w:sz w:val="20"/>
                <w:szCs w:val="20"/>
                <w:color w:val="auto"/>
              </w:rPr>
            </w:pPr>
            <w:r>
              <w:rPr>
                <w:rFonts w:ascii="Arial" w:cs="Arial" w:eastAsia="Arial" w:hAnsi="Arial"/>
                <w:sz w:val="17"/>
                <w:szCs w:val="17"/>
                <w:color w:val="auto"/>
              </w:rPr>
              <w:t>2,035</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9"/>
        </w:trPr>
        <w:tc>
          <w:tcPr>
            <w:tcW w:w="640" w:type="dxa"/>
            <w:vAlign w:val="bottom"/>
            <w:tcBorders>
              <w:right w:val="single" w:sz="8" w:color="auto"/>
            </w:tcBorders>
          </w:tcPr>
          <w:p>
            <w:pPr>
              <w:spacing w:after="0"/>
              <w:rPr>
                <w:sz w:val="19"/>
                <w:szCs w:val="19"/>
                <w:color w:val="auto"/>
              </w:rPr>
            </w:pPr>
          </w:p>
        </w:tc>
        <w:tc>
          <w:tcPr>
            <w:tcW w:w="21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Gary Goode</w:t>
            </w:r>
          </w:p>
        </w:tc>
        <w:tc>
          <w:tcPr>
            <w:tcW w:w="134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7"/>
                <w:szCs w:val="17"/>
                <w:color w:val="auto"/>
              </w:rPr>
              <w:t>56,264</w:t>
            </w:r>
          </w:p>
        </w:tc>
        <w:tc>
          <w:tcPr>
            <w:tcW w:w="102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w:t>
            </w:r>
          </w:p>
        </w:tc>
        <w:tc>
          <w:tcPr>
            <w:tcW w:w="1360" w:type="dxa"/>
            <w:vAlign w:val="bottom"/>
            <w:tcBorders>
              <w:right w:val="single" w:sz="8" w:color="CCEEFF"/>
            </w:tcBorders>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340" w:type="dxa"/>
            <w:vAlign w:val="bottom"/>
            <w:tcBorders>
              <w:right w:val="single" w:sz="8" w:color="CCEEFF"/>
            </w:tcBorders>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360" w:type="dxa"/>
            <w:vAlign w:val="bottom"/>
            <w:tcBorders>
              <w:right w:val="single" w:sz="8" w:color="CCEEFF"/>
            </w:tcBorders>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1360" w:type="dxa"/>
            <w:vAlign w:val="bottom"/>
            <w:tcBorders>
              <w:right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1,132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9"/>
        </w:trPr>
        <w:tc>
          <w:tcPr>
            <w:tcW w:w="640" w:type="dxa"/>
            <w:vAlign w:val="bottom"/>
            <w:tcBorders>
              <w:right w:val="single" w:sz="8" w:color="auto"/>
            </w:tcBorders>
          </w:tcPr>
          <w:p>
            <w:pPr>
              <w:spacing w:after="0"/>
              <w:rPr>
                <w:sz w:val="19"/>
                <w:szCs w:val="19"/>
                <w:color w:val="auto"/>
              </w:rPr>
            </w:pPr>
          </w:p>
        </w:tc>
        <w:tc>
          <w:tcPr>
            <w:tcW w:w="2120" w:type="dxa"/>
            <w:vAlign w:val="bottom"/>
          </w:tcPr>
          <w:p>
            <w:pPr>
              <w:ind w:left="20"/>
              <w:spacing w:after="0"/>
              <w:rPr>
                <w:sz w:val="20"/>
                <w:szCs w:val="20"/>
                <w:color w:val="auto"/>
              </w:rPr>
            </w:pPr>
            <w:r>
              <w:rPr>
                <w:rFonts w:ascii="Arial" w:cs="Arial" w:eastAsia="Arial" w:hAnsi="Arial"/>
                <w:sz w:val="17"/>
                <w:szCs w:val="17"/>
                <w:color w:val="auto"/>
              </w:rPr>
              <w:t>Billy Pink</w:t>
            </w:r>
          </w:p>
        </w:tc>
        <w:tc>
          <w:tcPr>
            <w:tcW w:w="1340" w:type="dxa"/>
            <w:vAlign w:val="bottom"/>
          </w:tcPr>
          <w:p>
            <w:pPr>
              <w:jc w:val="right"/>
              <w:ind w:right="3"/>
              <w:spacing w:after="0"/>
              <w:rPr>
                <w:sz w:val="20"/>
                <w:szCs w:val="20"/>
                <w:color w:val="auto"/>
              </w:rPr>
            </w:pPr>
            <w:r>
              <w:rPr>
                <w:rFonts w:ascii="Arial" w:cs="Arial" w:eastAsia="Arial" w:hAnsi="Arial"/>
                <w:sz w:val="17"/>
                <w:szCs w:val="17"/>
                <w:color w:val="auto"/>
              </w:rPr>
              <w:t>56,374</w:t>
            </w:r>
          </w:p>
        </w:tc>
        <w:tc>
          <w:tcPr>
            <w:tcW w:w="1020" w:type="dxa"/>
            <w:vAlign w:val="bottom"/>
          </w:tcPr>
          <w:p>
            <w:pPr>
              <w:jc w:val="right"/>
              <w:ind w:right="21"/>
              <w:spacing w:after="0"/>
              <w:rPr>
                <w:sz w:val="20"/>
                <w:szCs w:val="20"/>
                <w:color w:val="auto"/>
              </w:rPr>
            </w:pPr>
            <w:r>
              <w:rPr>
                <w:rFonts w:ascii="Arial" w:cs="Arial" w:eastAsia="Arial" w:hAnsi="Arial"/>
                <w:sz w:val="17"/>
                <w:szCs w:val="17"/>
                <w:color w:val="auto"/>
              </w:rPr>
              <w:t>130,310</w:t>
            </w:r>
          </w:p>
        </w:tc>
        <w:tc>
          <w:tcPr>
            <w:tcW w:w="1360" w:type="dxa"/>
            <w:vAlign w:val="bottom"/>
          </w:tcPr>
          <w:p>
            <w:pPr>
              <w:ind w:left="1080"/>
              <w:spacing w:after="0"/>
              <w:rPr>
                <w:sz w:val="20"/>
                <w:szCs w:val="20"/>
                <w:color w:val="auto"/>
              </w:rPr>
            </w:pPr>
            <w:r>
              <w:rPr>
                <w:rFonts w:ascii="Arial" w:cs="Arial" w:eastAsia="Arial" w:hAnsi="Arial"/>
                <w:sz w:val="17"/>
                <w:szCs w:val="17"/>
                <w:color w:val="auto"/>
              </w:rPr>
              <w:t>—</w:t>
            </w:r>
          </w:p>
        </w:tc>
        <w:tc>
          <w:tcPr>
            <w:tcW w:w="1340" w:type="dxa"/>
            <w:vAlign w:val="bottom"/>
          </w:tcPr>
          <w:p>
            <w:pPr>
              <w:ind w:left="1080"/>
              <w:spacing w:after="0"/>
              <w:rPr>
                <w:sz w:val="20"/>
                <w:szCs w:val="20"/>
                <w:color w:val="auto"/>
              </w:rPr>
            </w:pPr>
            <w:r>
              <w:rPr>
                <w:rFonts w:ascii="Arial" w:cs="Arial" w:eastAsia="Arial" w:hAnsi="Arial"/>
                <w:sz w:val="17"/>
                <w:szCs w:val="17"/>
                <w:color w:val="auto"/>
              </w:rPr>
              <w:t>—</w:t>
            </w:r>
          </w:p>
        </w:tc>
        <w:tc>
          <w:tcPr>
            <w:tcW w:w="1360" w:type="dxa"/>
            <w:vAlign w:val="bottom"/>
          </w:tcPr>
          <w:p>
            <w:pPr>
              <w:ind w:left="110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22"/>
              <w:spacing w:after="0"/>
              <w:rPr>
                <w:sz w:val="20"/>
                <w:szCs w:val="20"/>
                <w:color w:val="auto"/>
              </w:rPr>
            </w:pPr>
            <w:r>
              <w:rPr>
                <w:rFonts w:ascii="Arial" w:cs="Arial" w:eastAsia="Arial" w:hAnsi="Arial"/>
                <w:sz w:val="17"/>
                <w:szCs w:val="17"/>
                <w:color w:val="auto"/>
              </w:rPr>
              <w:t>903</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9"/>
        </w:trPr>
        <w:tc>
          <w:tcPr>
            <w:tcW w:w="640" w:type="dxa"/>
            <w:vAlign w:val="bottom"/>
            <w:tcBorders>
              <w:right w:val="single" w:sz="8" w:color="auto"/>
            </w:tcBorders>
          </w:tcPr>
          <w:p>
            <w:pPr>
              <w:spacing w:after="0"/>
              <w:rPr>
                <w:sz w:val="19"/>
                <w:szCs w:val="19"/>
                <w:color w:val="auto"/>
              </w:rPr>
            </w:pPr>
          </w:p>
        </w:tc>
        <w:tc>
          <w:tcPr>
            <w:tcW w:w="21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Richard Schaum</w:t>
            </w:r>
          </w:p>
        </w:tc>
        <w:tc>
          <w:tcPr>
            <w:tcW w:w="134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7"/>
                <w:szCs w:val="17"/>
                <w:color w:val="auto"/>
              </w:rPr>
              <w:t>206,597</w:t>
            </w:r>
          </w:p>
        </w:tc>
        <w:tc>
          <w:tcPr>
            <w:tcW w:w="102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130,310</w:t>
            </w:r>
          </w:p>
        </w:tc>
        <w:tc>
          <w:tcPr>
            <w:tcW w:w="1360" w:type="dxa"/>
            <w:vAlign w:val="bottom"/>
            <w:tcBorders>
              <w:right w:val="single" w:sz="8" w:color="CCEEFF"/>
            </w:tcBorders>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340" w:type="dxa"/>
            <w:vAlign w:val="bottom"/>
            <w:tcBorders>
              <w:right w:val="single" w:sz="8" w:color="CCEEFF"/>
            </w:tcBorders>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360" w:type="dxa"/>
            <w:vAlign w:val="bottom"/>
            <w:tcBorders>
              <w:right w:val="single" w:sz="8" w:color="CCEEFF"/>
            </w:tcBorders>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1360" w:type="dxa"/>
            <w:vAlign w:val="bottom"/>
            <w:tcBorders>
              <w:right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2,035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19"/>
        </w:trPr>
        <w:tc>
          <w:tcPr>
            <w:tcW w:w="640" w:type="dxa"/>
            <w:vAlign w:val="bottom"/>
            <w:tcBorders>
              <w:right w:val="single" w:sz="8" w:color="auto"/>
            </w:tcBorders>
          </w:tcPr>
          <w:p>
            <w:pPr>
              <w:spacing w:after="0"/>
              <w:rPr>
                <w:sz w:val="19"/>
                <w:szCs w:val="19"/>
                <w:color w:val="auto"/>
              </w:rPr>
            </w:pPr>
          </w:p>
        </w:tc>
        <w:tc>
          <w:tcPr>
            <w:tcW w:w="2120" w:type="dxa"/>
            <w:vAlign w:val="bottom"/>
          </w:tcPr>
          <w:p>
            <w:pPr>
              <w:ind w:left="20"/>
              <w:spacing w:after="0"/>
              <w:rPr>
                <w:sz w:val="20"/>
                <w:szCs w:val="20"/>
                <w:color w:val="auto"/>
              </w:rPr>
            </w:pPr>
            <w:r>
              <w:rPr>
                <w:rFonts w:ascii="Arial" w:cs="Arial" w:eastAsia="Arial" w:hAnsi="Arial"/>
                <w:sz w:val="17"/>
                <w:szCs w:val="17"/>
                <w:color w:val="auto"/>
              </w:rPr>
              <w:t>Kathleen Starkoff</w:t>
            </w:r>
          </w:p>
        </w:tc>
        <w:tc>
          <w:tcPr>
            <w:tcW w:w="1340" w:type="dxa"/>
            <w:vAlign w:val="bottom"/>
          </w:tcPr>
          <w:p>
            <w:pPr>
              <w:jc w:val="right"/>
              <w:ind w:right="3"/>
              <w:spacing w:after="0"/>
              <w:rPr>
                <w:sz w:val="20"/>
                <w:szCs w:val="20"/>
                <w:color w:val="auto"/>
              </w:rPr>
            </w:pPr>
            <w:r>
              <w:rPr>
                <w:rFonts w:ascii="Arial" w:cs="Arial" w:eastAsia="Arial" w:hAnsi="Arial"/>
                <w:sz w:val="17"/>
                <w:szCs w:val="17"/>
                <w:color w:val="auto"/>
              </w:rPr>
              <w:t>96,264</w:t>
            </w:r>
          </w:p>
        </w:tc>
        <w:tc>
          <w:tcPr>
            <w:tcW w:w="1020" w:type="dxa"/>
            <w:vAlign w:val="bottom"/>
          </w:tcPr>
          <w:p>
            <w:pPr>
              <w:jc w:val="right"/>
              <w:ind w:right="21"/>
              <w:spacing w:after="0"/>
              <w:rPr>
                <w:sz w:val="20"/>
                <w:szCs w:val="20"/>
                <w:color w:val="auto"/>
              </w:rPr>
            </w:pPr>
            <w:r>
              <w:rPr>
                <w:rFonts w:ascii="Arial" w:cs="Arial" w:eastAsia="Arial" w:hAnsi="Arial"/>
                <w:sz w:val="17"/>
                <w:szCs w:val="17"/>
                <w:color w:val="auto"/>
              </w:rPr>
              <w:t>130,310</w:t>
            </w:r>
          </w:p>
        </w:tc>
        <w:tc>
          <w:tcPr>
            <w:tcW w:w="1360" w:type="dxa"/>
            <w:vAlign w:val="bottom"/>
          </w:tcPr>
          <w:p>
            <w:pPr>
              <w:ind w:left="1080"/>
              <w:spacing w:after="0"/>
              <w:rPr>
                <w:sz w:val="20"/>
                <w:szCs w:val="20"/>
                <w:color w:val="auto"/>
              </w:rPr>
            </w:pPr>
            <w:r>
              <w:rPr>
                <w:rFonts w:ascii="Arial" w:cs="Arial" w:eastAsia="Arial" w:hAnsi="Arial"/>
                <w:sz w:val="17"/>
                <w:szCs w:val="17"/>
                <w:color w:val="auto"/>
              </w:rPr>
              <w:t>—</w:t>
            </w:r>
          </w:p>
        </w:tc>
        <w:tc>
          <w:tcPr>
            <w:tcW w:w="1340" w:type="dxa"/>
            <w:vAlign w:val="bottom"/>
          </w:tcPr>
          <w:p>
            <w:pPr>
              <w:ind w:left="1080"/>
              <w:spacing w:after="0"/>
              <w:rPr>
                <w:sz w:val="20"/>
                <w:szCs w:val="20"/>
                <w:color w:val="auto"/>
              </w:rPr>
            </w:pPr>
            <w:r>
              <w:rPr>
                <w:rFonts w:ascii="Arial" w:cs="Arial" w:eastAsia="Arial" w:hAnsi="Arial"/>
                <w:sz w:val="17"/>
                <w:szCs w:val="17"/>
                <w:color w:val="auto"/>
              </w:rPr>
              <w:t>—</w:t>
            </w:r>
          </w:p>
        </w:tc>
        <w:tc>
          <w:tcPr>
            <w:tcW w:w="1360" w:type="dxa"/>
            <w:vAlign w:val="bottom"/>
          </w:tcPr>
          <w:p>
            <w:pPr>
              <w:ind w:left="110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22"/>
              <w:spacing w:after="0"/>
              <w:rPr>
                <w:sz w:val="20"/>
                <w:szCs w:val="20"/>
                <w:color w:val="auto"/>
              </w:rPr>
            </w:pPr>
            <w:r>
              <w:rPr>
                <w:rFonts w:ascii="Arial" w:cs="Arial" w:eastAsia="Arial" w:hAnsi="Arial"/>
                <w:sz w:val="17"/>
                <w:szCs w:val="17"/>
                <w:color w:val="auto"/>
              </w:rPr>
              <w:t>2,035</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9"/>
        </w:trPr>
        <w:tc>
          <w:tcPr>
            <w:tcW w:w="640" w:type="dxa"/>
            <w:vAlign w:val="bottom"/>
            <w:tcBorders>
              <w:right w:val="single" w:sz="8" w:color="auto"/>
            </w:tcBorders>
          </w:tcPr>
          <w:p>
            <w:pPr>
              <w:spacing w:after="0"/>
              <w:rPr>
                <w:sz w:val="19"/>
                <w:szCs w:val="19"/>
                <w:color w:val="auto"/>
              </w:rPr>
            </w:pPr>
          </w:p>
        </w:tc>
        <w:tc>
          <w:tcPr>
            <w:tcW w:w="21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Brian Walker</w:t>
            </w:r>
          </w:p>
        </w:tc>
        <w:tc>
          <w:tcPr>
            <w:tcW w:w="134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7"/>
                <w:szCs w:val="17"/>
                <w:color w:val="auto"/>
              </w:rPr>
              <w:t>104,097</w:t>
            </w:r>
          </w:p>
        </w:tc>
        <w:tc>
          <w:tcPr>
            <w:tcW w:w="102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130,310</w:t>
            </w:r>
          </w:p>
        </w:tc>
        <w:tc>
          <w:tcPr>
            <w:tcW w:w="1360" w:type="dxa"/>
            <w:vAlign w:val="bottom"/>
            <w:tcBorders>
              <w:right w:val="single" w:sz="8" w:color="CCEEFF"/>
            </w:tcBorders>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340" w:type="dxa"/>
            <w:vAlign w:val="bottom"/>
            <w:tcBorders>
              <w:right w:val="single" w:sz="8" w:color="CCEEFF"/>
            </w:tcBorders>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360" w:type="dxa"/>
            <w:vAlign w:val="bottom"/>
            <w:tcBorders>
              <w:right w:val="single" w:sz="8" w:color="CCEEFF"/>
            </w:tcBorders>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1360" w:type="dxa"/>
            <w:vAlign w:val="bottom"/>
            <w:tcBorders>
              <w:right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2,035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9"/>
        </w:trPr>
        <w:tc>
          <w:tcPr>
            <w:tcW w:w="640" w:type="dxa"/>
            <w:vAlign w:val="bottom"/>
            <w:tcBorders>
              <w:right w:val="single" w:sz="8" w:color="auto"/>
            </w:tcBorders>
          </w:tcPr>
          <w:p>
            <w:pPr>
              <w:spacing w:after="0"/>
              <w:rPr>
                <w:sz w:val="19"/>
                <w:szCs w:val="19"/>
                <w:color w:val="auto"/>
              </w:rPr>
            </w:pPr>
          </w:p>
        </w:tc>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Dr. Ling Zang</w:t>
            </w: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93,764</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130,310</w:t>
            </w:r>
          </w:p>
        </w:tc>
        <w:tc>
          <w:tcPr>
            <w:tcW w:w="1360" w:type="dxa"/>
            <w:vAlign w:val="bottom"/>
            <w:tcBorders>
              <w:bottom w:val="single" w:sz="8" w:color="auto"/>
            </w:tcBorders>
          </w:tcPr>
          <w:p>
            <w:pPr>
              <w:ind w:left="108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ind w:left="108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2,035</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820"/>
        </w:trPr>
        <w:tc>
          <w:tcPr>
            <w:tcW w:w="6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ind w:left="400"/>
              <w:spacing w:after="0"/>
              <w:rPr>
                <w:sz w:val="20"/>
                <w:szCs w:val="20"/>
                <w:color w:val="auto"/>
              </w:rPr>
            </w:pPr>
            <w:r>
              <w:rPr>
                <w:rFonts w:ascii="Arial" w:cs="Arial" w:eastAsia="Arial" w:hAnsi="Arial"/>
                <w:sz w:val="17"/>
                <w:szCs w:val="17"/>
                <w:color w:val="auto"/>
              </w:rPr>
              <w:t>39</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64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906" w:right="239" w:bottom="1440" w:gutter="0" w:footer="0" w:header="0"/>
        </w:sectPr>
      </w:pPr>
    </w:p>
    <w:bookmarkStart w:id="40" w:name="page41"/>
    <w:bookmarkEnd w:id="40"/>
    <w:p>
      <w:pPr>
        <w:jc w:val="both"/>
        <w:ind w:left="660" w:right="20" w:hanging="640"/>
        <w:spacing w:after="0" w:line="220"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director who is also an employee of the Company receives no compensation for services as a director. Directors who are not employees of the Company received a director's cash retainer in the amount of $90,000 per year ($22,500 per quarter). The Chair of the Board received an additional cash retainer of $100,000 (pro-rated based on date of appointment) and directors who chaired the Audit Committee, Compensation Committee, and the Nominating and Corporate Governance Committee each received an additional cash retainer fee in the amounts of $12,500, $10,000, and $10,000, respectively during 2024. In addition, each director who served as a member of the Audit Committee, Compensation Committee, Executive Committee, or Nominating and Corporate Governance Committee each received an additional cash retainer in the amount of $7,500, $5,000, $7,500 (prorated), and $5,000, respectively in 2024.</w:t>
      </w:r>
    </w:p>
    <w:p>
      <w:pPr>
        <w:spacing w:after="0" w:line="1" w:lineRule="exact"/>
        <w:rPr>
          <w:rFonts w:ascii="Arial" w:cs="Arial" w:eastAsia="Arial" w:hAnsi="Arial"/>
          <w:sz w:val="17"/>
          <w:szCs w:val="17"/>
          <w:color w:val="auto"/>
        </w:rPr>
      </w:pPr>
    </w:p>
    <w:p>
      <w:pPr>
        <w:jc w:val="both"/>
        <w:ind w:left="660" w:right="20" w:hanging="640"/>
        <w:spacing w:after="0" w:line="225"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Immediately following each Annual Meeting, non-employee directors receive a grant of RS equal to $130,000 divided by the average closing price per share of the Company's common stock on the twenty (20) trading days preceding the date of grant of such RS and such RS will vest on the first anniversary of the grant. See the Company’s Annual Report on Form 10-K (Footnote 5) for the year ended December 31, 2024 for the assumptions made in the valuation of RS awards.</w:t>
      </w:r>
    </w:p>
    <w:p>
      <w:pPr>
        <w:jc w:val="both"/>
        <w:ind w:left="660" w:right="20" w:hanging="640"/>
        <w:spacing w:after="0" w:line="231"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All other compensation includes RS dividends. The Company also makes Company aircraft available to directors for personal use if such use does not conflict with any business purpose for the aircraft. The cost of the flight is calculated using the same method as is used for NEOs.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securities issued and to be issued under the Company’s equity compensation plans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33655</wp:posOffset>
            </wp:positionV>
            <wp:extent cx="7065010" cy="9893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65010" cy="989330"/>
                    </a:xfrm>
                    <a:prstGeom prst="rect">
                      <a:avLst/>
                    </a:prstGeom>
                    <a:noFill/>
                  </pic:spPr>
                </pic:pic>
              </a:graphicData>
            </a:graphic>
          </wp:anchor>
        </w:drawing>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Executive Compensation Plan Information</w:t>
      </w:r>
    </w:p>
    <w:p>
      <w:pPr>
        <w:spacing w:after="0" w:line="29" w:lineRule="exact"/>
        <w:rPr>
          <w:sz w:val="20"/>
          <w:szCs w:val="20"/>
          <w:color w:val="auto"/>
        </w:rPr>
      </w:pPr>
    </w:p>
    <w:tbl>
      <w:tblPr>
        <w:tblLayout w:type="fixed"/>
        <w:tblInd w:w="80" w:type="dxa"/>
        <w:tblCellMar>
          <w:top w:w="0" w:type="dxa"/>
          <w:left w:w="0" w:type="dxa"/>
          <w:bottom w:w="0" w:type="dxa"/>
          <w:right w:w="0" w:type="dxa"/>
        </w:tblCellMar>
      </w:tblPr>
      <w:tr>
        <w:trPr>
          <w:trHeight w:val="135"/>
        </w:trPr>
        <w:tc>
          <w:tcPr>
            <w:tcW w:w="4840" w:type="dxa"/>
            <w:vAlign w:val="bottom"/>
            <w:tcBorders>
              <w:top w:val="single" w:sz="8" w:color="00000A"/>
              <w:right w:val="single" w:sz="8" w:color="00000A"/>
            </w:tcBorders>
          </w:tcPr>
          <w:p>
            <w:pPr>
              <w:spacing w:after="0"/>
              <w:rPr>
                <w:sz w:val="11"/>
                <w:szCs w:val="11"/>
                <w:color w:val="auto"/>
              </w:rPr>
            </w:pPr>
          </w:p>
        </w:tc>
        <w:tc>
          <w:tcPr>
            <w:tcW w:w="2040" w:type="dxa"/>
            <w:vAlign w:val="bottom"/>
            <w:tcBorders>
              <w:top w:val="single" w:sz="8" w:color="00000A"/>
              <w:right w:val="single" w:sz="8" w:color="00000A"/>
            </w:tcBorders>
          </w:tcPr>
          <w:p>
            <w:pPr>
              <w:jc w:val="center"/>
              <w:spacing w:after="0" w:line="135" w:lineRule="exact"/>
              <w:rPr>
                <w:sz w:val="20"/>
                <w:szCs w:val="20"/>
                <w:color w:val="auto"/>
              </w:rPr>
            </w:pPr>
            <w:r>
              <w:rPr>
                <w:rFonts w:ascii="Arial" w:cs="Arial" w:eastAsia="Arial" w:hAnsi="Arial"/>
                <w:sz w:val="14"/>
                <w:szCs w:val="14"/>
                <w:b w:val="1"/>
                <w:bCs w:val="1"/>
                <w:color w:val="auto"/>
                <w:w w:val="97"/>
              </w:rPr>
              <w:t>Number of securities to be</w:t>
            </w:r>
          </w:p>
        </w:tc>
        <w:tc>
          <w:tcPr>
            <w:tcW w:w="1660" w:type="dxa"/>
            <w:vAlign w:val="bottom"/>
            <w:tcBorders>
              <w:top w:val="single" w:sz="8" w:color="00000A"/>
              <w:right w:val="single" w:sz="8" w:color="00000A"/>
            </w:tcBorders>
          </w:tcPr>
          <w:p>
            <w:pPr>
              <w:jc w:val="center"/>
              <w:spacing w:after="0" w:line="135" w:lineRule="exact"/>
              <w:rPr>
                <w:sz w:val="20"/>
                <w:szCs w:val="20"/>
                <w:color w:val="auto"/>
              </w:rPr>
            </w:pPr>
            <w:r>
              <w:rPr>
                <w:rFonts w:ascii="Arial" w:cs="Arial" w:eastAsia="Arial" w:hAnsi="Arial"/>
                <w:sz w:val="14"/>
                <w:szCs w:val="14"/>
                <w:b w:val="1"/>
                <w:bCs w:val="1"/>
                <w:color w:val="auto"/>
                <w:w w:val="98"/>
              </w:rPr>
              <w:t>Weighted average</w:t>
            </w:r>
          </w:p>
        </w:tc>
        <w:tc>
          <w:tcPr>
            <w:tcW w:w="2580" w:type="dxa"/>
            <w:vAlign w:val="bottom"/>
            <w:tcBorders>
              <w:top w:val="single" w:sz="8" w:color="00000A"/>
            </w:tcBorders>
          </w:tcPr>
          <w:p>
            <w:pPr>
              <w:jc w:val="center"/>
              <w:spacing w:after="0" w:line="135" w:lineRule="exact"/>
              <w:rPr>
                <w:sz w:val="20"/>
                <w:szCs w:val="20"/>
                <w:color w:val="auto"/>
              </w:rPr>
            </w:pPr>
            <w:r>
              <w:rPr>
                <w:rFonts w:ascii="Arial" w:cs="Arial" w:eastAsia="Arial" w:hAnsi="Arial"/>
                <w:sz w:val="14"/>
                <w:szCs w:val="14"/>
                <w:b w:val="1"/>
                <w:bCs w:val="1"/>
                <w:color w:val="auto"/>
                <w:w w:val="98"/>
              </w:rPr>
              <w:t>Number of securities remaining</w:t>
            </w:r>
          </w:p>
        </w:tc>
      </w:tr>
      <w:tr>
        <w:trPr>
          <w:trHeight w:val="132"/>
        </w:trPr>
        <w:tc>
          <w:tcPr>
            <w:tcW w:w="4840" w:type="dxa"/>
            <w:vAlign w:val="bottom"/>
            <w:tcBorders>
              <w:right w:val="single" w:sz="8" w:color="00000A"/>
            </w:tcBorders>
          </w:tcPr>
          <w:p>
            <w:pPr>
              <w:spacing w:after="0"/>
              <w:rPr>
                <w:sz w:val="11"/>
                <w:szCs w:val="11"/>
                <w:color w:val="auto"/>
              </w:rPr>
            </w:pPr>
          </w:p>
        </w:tc>
        <w:tc>
          <w:tcPr>
            <w:tcW w:w="2040" w:type="dxa"/>
            <w:vAlign w:val="bottom"/>
            <w:tcBorders>
              <w:right w:val="single" w:sz="8" w:color="00000A"/>
            </w:tcBorders>
          </w:tcPr>
          <w:p>
            <w:pPr>
              <w:jc w:val="center"/>
              <w:spacing w:after="0" w:line="133" w:lineRule="exact"/>
              <w:rPr>
                <w:sz w:val="20"/>
                <w:szCs w:val="20"/>
                <w:color w:val="auto"/>
              </w:rPr>
            </w:pPr>
            <w:r>
              <w:rPr>
                <w:rFonts w:ascii="Arial" w:cs="Arial" w:eastAsia="Arial" w:hAnsi="Arial"/>
                <w:sz w:val="14"/>
                <w:szCs w:val="14"/>
                <w:b w:val="1"/>
                <w:bCs w:val="1"/>
                <w:color w:val="auto"/>
                <w:w w:val="97"/>
              </w:rPr>
              <w:t>issued upon exercise of</w:t>
            </w:r>
          </w:p>
        </w:tc>
        <w:tc>
          <w:tcPr>
            <w:tcW w:w="1660" w:type="dxa"/>
            <w:vAlign w:val="bottom"/>
            <w:tcBorders>
              <w:right w:val="single" w:sz="8" w:color="00000A"/>
            </w:tcBorders>
          </w:tcPr>
          <w:p>
            <w:pPr>
              <w:jc w:val="center"/>
              <w:spacing w:after="0" w:line="133" w:lineRule="exact"/>
              <w:rPr>
                <w:sz w:val="20"/>
                <w:szCs w:val="20"/>
                <w:color w:val="auto"/>
              </w:rPr>
            </w:pPr>
            <w:r>
              <w:rPr>
                <w:rFonts w:ascii="Arial" w:cs="Arial" w:eastAsia="Arial" w:hAnsi="Arial"/>
                <w:sz w:val="14"/>
                <w:szCs w:val="14"/>
                <w:b w:val="1"/>
                <w:bCs w:val="1"/>
                <w:color w:val="auto"/>
                <w:w w:val="97"/>
              </w:rPr>
              <w:t>exercise price of</w:t>
            </w:r>
          </w:p>
        </w:tc>
        <w:tc>
          <w:tcPr>
            <w:tcW w:w="25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available for future issuance under</w:t>
            </w:r>
          </w:p>
        </w:tc>
      </w:tr>
      <w:tr>
        <w:trPr>
          <w:trHeight w:val="142"/>
        </w:trPr>
        <w:tc>
          <w:tcPr>
            <w:tcW w:w="4840" w:type="dxa"/>
            <w:vAlign w:val="bottom"/>
            <w:tcBorders>
              <w:right w:val="single" w:sz="8" w:color="00000A"/>
            </w:tcBorders>
          </w:tcPr>
          <w:p>
            <w:pPr>
              <w:spacing w:after="0"/>
              <w:rPr>
                <w:sz w:val="12"/>
                <w:szCs w:val="12"/>
                <w:color w:val="auto"/>
              </w:rPr>
            </w:pPr>
          </w:p>
        </w:tc>
        <w:tc>
          <w:tcPr>
            <w:tcW w:w="2040" w:type="dxa"/>
            <w:vAlign w:val="bottom"/>
            <w:tcBorders>
              <w:right w:val="single" w:sz="8" w:color="00000A"/>
            </w:tcBorders>
          </w:tcPr>
          <w:p>
            <w:pPr>
              <w:jc w:val="center"/>
              <w:spacing w:after="0" w:line="142" w:lineRule="exact"/>
              <w:rPr>
                <w:sz w:val="20"/>
                <w:szCs w:val="20"/>
                <w:color w:val="auto"/>
              </w:rPr>
            </w:pPr>
            <w:r>
              <w:rPr>
                <w:rFonts w:ascii="Arial" w:cs="Arial" w:eastAsia="Arial" w:hAnsi="Arial"/>
                <w:sz w:val="14"/>
                <w:szCs w:val="14"/>
                <w:b w:val="1"/>
                <w:bCs w:val="1"/>
                <w:color w:val="auto"/>
                <w:w w:val="97"/>
              </w:rPr>
              <w:t>outstanding options, warrants</w:t>
            </w:r>
          </w:p>
        </w:tc>
        <w:tc>
          <w:tcPr>
            <w:tcW w:w="1660" w:type="dxa"/>
            <w:vAlign w:val="bottom"/>
            <w:tcBorders>
              <w:right w:val="single" w:sz="8" w:color="00000A"/>
            </w:tcBorders>
          </w:tcPr>
          <w:p>
            <w:pPr>
              <w:jc w:val="center"/>
              <w:spacing w:after="0" w:line="142" w:lineRule="exact"/>
              <w:rPr>
                <w:sz w:val="20"/>
                <w:szCs w:val="20"/>
                <w:color w:val="auto"/>
              </w:rPr>
            </w:pPr>
            <w:r>
              <w:rPr>
                <w:rFonts w:ascii="Arial" w:cs="Arial" w:eastAsia="Arial" w:hAnsi="Arial"/>
                <w:sz w:val="14"/>
                <w:szCs w:val="14"/>
                <w:b w:val="1"/>
                <w:bCs w:val="1"/>
                <w:color w:val="auto"/>
                <w:w w:val="98"/>
              </w:rPr>
              <w:t>outstanding options,</w:t>
            </w:r>
          </w:p>
        </w:tc>
        <w:tc>
          <w:tcPr>
            <w:tcW w:w="2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equity compensation plans (excluding</w:t>
            </w:r>
          </w:p>
        </w:tc>
      </w:tr>
      <w:tr>
        <w:trPr>
          <w:trHeight w:val="189"/>
        </w:trPr>
        <w:tc>
          <w:tcPr>
            <w:tcW w:w="4840" w:type="dxa"/>
            <w:vAlign w:val="bottom"/>
            <w:tcBorders>
              <w:bottom w:val="single" w:sz="8" w:color="00000A"/>
              <w:right w:val="single" w:sz="8" w:color="00000A"/>
            </w:tcBorders>
          </w:tcPr>
          <w:p>
            <w:pPr>
              <w:spacing w:after="0"/>
              <w:rPr>
                <w:sz w:val="16"/>
                <w:szCs w:val="16"/>
                <w:color w:val="auto"/>
              </w:rPr>
            </w:pP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b w:val="1"/>
                <w:bCs w:val="1"/>
                <w:color w:val="auto"/>
              </w:rPr>
              <w:t>and rights</w:t>
            </w:r>
          </w:p>
        </w:tc>
        <w:tc>
          <w:tcPr>
            <w:tcW w:w="16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b w:val="1"/>
                <w:bCs w:val="1"/>
                <w:color w:val="auto"/>
                <w:w w:val="98"/>
              </w:rPr>
              <w:t>warrants and rights</w:t>
            </w:r>
          </w:p>
        </w:tc>
        <w:tc>
          <w:tcPr>
            <w:tcW w:w="2580" w:type="dxa"/>
            <w:vAlign w:val="bottom"/>
            <w:tcBorders>
              <w:bottom w:val="single" w:sz="8" w:color="00000A"/>
            </w:tcBorders>
          </w:tcPr>
          <w:p>
            <w:pPr>
              <w:jc w:val="center"/>
              <w:spacing w:after="0"/>
              <w:rPr>
                <w:sz w:val="20"/>
                <w:szCs w:val="20"/>
                <w:color w:val="auto"/>
              </w:rPr>
            </w:pPr>
            <w:r>
              <w:rPr>
                <w:rFonts w:ascii="Arial" w:cs="Arial" w:eastAsia="Arial" w:hAnsi="Arial"/>
                <w:sz w:val="14"/>
                <w:szCs w:val="14"/>
                <w:b w:val="1"/>
                <w:bCs w:val="1"/>
                <w:color w:val="auto"/>
                <w:w w:val="97"/>
              </w:rPr>
              <w:t>securities reflected in the first column)</w:t>
            </w:r>
          </w:p>
        </w:tc>
      </w:tr>
      <w:tr>
        <w:trPr>
          <w:trHeight w:val="213"/>
        </w:trPr>
        <w:tc>
          <w:tcPr>
            <w:tcW w:w="4840" w:type="dxa"/>
            <w:vAlign w:val="bottom"/>
            <w:tcBorders>
              <w:bottom w:val="single" w:sz="8" w:color="00000A"/>
              <w:right w:val="single" w:sz="8" w:color="00000A"/>
            </w:tcBorders>
            <w:shd w:val="clear" w:color="auto" w:fill="CCEEFF"/>
          </w:tcPr>
          <w:p>
            <w:pPr>
              <w:ind w:left="40"/>
              <w:spacing w:after="0"/>
              <w:rPr>
                <w:sz w:val="20"/>
                <w:szCs w:val="20"/>
                <w:color w:val="auto"/>
              </w:rPr>
            </w:pPr>
            <w:r>
              <w:rPr>
                <w:rFonts w:ascii="Arial" w:cs="Arial" w:eastAsia="Arial" w:hAnsi="Arial"/>
                <w:sz w:val="17"/>
                <w:szCs w:val="17"/>
                <w:color w:val="auto"/>
              </w:rPr>
              <w:t>Equity compensation Plans approved by Shareholders</w:t>
            </w:r>
          </w:p>
        </w:tc>
        <w:tc>
          <w:tcPr>
            <w:tcW w:w="2040" w:type="dxa"/>
            <w:vAlign w:val="bottom"/>
            <w:tcBorders>
              <w:bottom w:val="single" w:sz="8" w:color="00000A"/>
              <w:right w:val="single" w:sz="8" w:color="00000A"/>
            </w:tcBorders>
            <w:shd w:val="clear" w:color="auto" w:fill="CCEEFF"/>
          </w:tcPr>
          <w:p>
            <w:pPr>
              <w:jc w:val="right"/>
              <w:ind w:right="24"/>
              <w:spacing w:after="0"/>
              <w:rPr>
                <w:sz w:val="20"/>
                <w:szCs w:val="20"/>
                <w:color w:val="auto"/>
              </w:rPr>
            </w:pPr>
            <w:r>
              <w:rPr>
                <w:rFonts w:ascii="Arial" w:cs="Arial" w:eastAsia="Arial" w:hAnsi="Arial"/>
                <w:sz w:val="17"/>
                <w:szCs w:val="17"/>
                <w:color w:val="auto"/>
              </w:rPr>
              <w:t>3,790,624</w:t>
            </w:r>
          </w:p>
        </w:tc>
        <w:tc>
          <w:tcPr>
            <w:tcW w:w="1660" w:type="dxa"/>
            <w:vAlign w:val="bottom"/>
            <w:tcBorders>
              <w:bottom w:val="single" w:sz="8" w:color="00000A"/>
              <w:right w:val="single" w:sz="8" w:color="00000A"/>
            </w:tcBorders>
            <w:shd w:val="clear" w:color="auto" w:fill="CCEEFF"/>
          </w:tcPr>
          <w:p>
            <w:pPr>
              <w:jc w:val="right"/>
              <w:ind w:right="4"/>
              <w:spacing w:after="0"/>
              <w:rPr>
                <w:sz w:val="20"/>
                <w:szCs w:val="20"/>
                <w:color w:val="auto"/>
              </w:rPr>
            </w:pPr>
            <w:r>
              <w:rPr>
                <w:rFonts w:ascii="Arial" w:cs="Arial" w:eastAsia="Arial" w:hAnsi="Arial"/>
                <w:sz w:val="17"/>
                <w:szCs w:val="17"/>
                <w:color w:val="auto"/>
              </w:rPr>
              <w:t>29.52</w:t>
            </w:r>
          </w:p>
        </w:tc>
        <w:tc>
          <w:tcPr>
            <w:tcW w:w="2580" w:type="dxa"/>
            <w:vAlign w:val="bottom"/>
            <w:tcBorders>
              <w:bottom w:val="single" w:sz="8" w:color="00000A"/>
            </w:tcBorders>
            <w:shd w:val="clear" w:color="auto" w:fill="CCEEFF"/>
          </w:tcPr>
          <w:p>
            <w:pPr>
              <w:jc w:val="right"/>
              <w:ind w:right="4"/>
              <w:spacing w:after="0"/>
              <w:rPr>
                <w:sz w:val="20"/>
                <w:szCs w:val="20"/>
                <w:color w:val="auto"/>
              </w:rPr>
            </w:pPr>
            <w:r>
              <w:rPr>
                <w:rFonts w:ascii="Arial" w:cs="Arial" w:eastAsia="Arial" w:hAnsi="Arial"/>
                <w:sz w:val="17"/>
                <w:szCs w:val="17"/>
                <w:color w:val="auto"/>
              </w:rPr>
              <w:t>14,336,246</w:t>
            </w:r>
          </w:p>
        </w:tc>
      </w:tr>
      <w:tr>
        <w:trPr>
          <w:trHeight w:val="212"/>
        </w:trPr>
        <w:tc>
          <w:tcPr>
            <w:tcW w:w="484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17"/>
                <w:szCs w:val="17"/>
                <w:color w:val="auto"/>
              </w:rPr>
              <w:t>Equity Compensation Plans not approved by Shareholders</w:t>
            </w:r>
          </w:p>
        </w:tc>
        <w:tc>
          <w:tcPr>
            <w:tcW w:w="2040" w:type="dxa"/>
            <w:vAlign w:val="bottom"/>
            <w:tcBorders>
              <w:bottom w:val="single" w:sz="8" w:color="00000A"/>
              <w:right w:val="single" w:sz="8" w:color="00000A"/>
            </w:tcBorders>
          </w:tcPr>
          <w:p>
            <w:pPr>
              <w:jc w:val="right"/>
              <w:ind w:right="24"/>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00000A"/>
              <w:right w:val="single" w:sz="8" w:color="00000A"/>
            </w:tcBorders>
          </w:tcPr>
          <w:p>
            <w:pPr>
              <w:jc w:val="right"/>
              <w:ind w:right="4"/>
              <w:spacing w:after="0"/>
              <w:rPr>
                <w:sz w:val="20"/>
                <w:szCs w:val="20"/>
                <w:color w:val="auto"/>
              </w:rPr>
            </w:pPr>
            <w:r>
              <w:rPr>
                <w:rFonts w:ascii="Arial" w:cs="Arial" w:eastAsia="Arial" w:hAnsi="Arial"/>
                <w:sz w:val="17"/>
                <w:szCs w:val="17"/>
                <w:color w:val="auto"/>
              </w:rPr>
              <w:t>—</w:t>
            </w:r>
          </w:p>
        </w:tc>
        <w:tc>
          <w:tcPr>
            <w:tcW w:w="2580" w:type="dxa"/>
            <w:vAlign w:val="bottom"/>
            <w:tcBorders>
              <w:bottom w:val="single" w:sz="8" w:color="00000A"/>
            </w:tcBorders>
          </w:tcPr>
          <w:p>
            <w:pPr>
              <w:jc w:val="right"/>
              <w:ind w:right="4"/>
              <w:spacing w:after="0"/>
              <w:rPr>
                <w:sz w:val="20"/>
                <w:szCs w:val="20"/>
                <w:color w:val="auto"/>
              </w:rPr>
            </w:pPr>
            <w:r>
              <w:rPr>
                <w:rFonts w:ascii="Arial" w:cs="Arial" w:eastAsia="Arial" w:hAnsi="Arial"/>
                <w:sz w:val="17"/>
                <w:szCs w:val="17"/>
                <w:color w:val="auto"/>
              </w:rPr>
              <w:t>—</w:t>
            </w:r>
          </w:p>
        </w:tc>
      </w:tr>
      <w:tr>
        <w:trPr>
          <w:trHeight w:val="212"/>
        </w:trPr>
        <w:tc>
          <w:tcPr>
            <w:tcW w:w="4840" w:type="dxa"/>
            <w:vAlign w:val="bottom"/>
            <w:tcBorders>
              <w:bottom w:val="single" w:sz="8" w:color="00000A"/>
              <w:right w:val="single" w:sz="8" w:color="00000A"/>
            </w:tcBorders>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2040" w:type="dxa"/>
            <w:vAlign w:val="bottom"/>
            <w:tcBorders>
              <w:bottom w:val="single" w:sz="8" w:color="00000A"/>
              <w:right w:val="single" w:sz="8" w:color="00000A"/>
            </w:tcBorders>
            <w:shd w:val="clear" w:color="auto" w:fill="CCEEFF"/>
          </w:tcPr>
          <w:p>
            <w:pPr>
              <w:jc w:val="right"/>
              <w:ind w:right="24"/>
              <w:spacing w:after="0"/>
              <w:rPr>
                <w:sz w:val="20"/>
                <w:szCs w:val="20"/>
                <w:color w:val="auto"/>
              </w:rPr>
            </w:pPr>
            <w:r>
              <w:rPr>
                <w:rFonts w:ascii="Arial" w:cs="Arial" w:eastAsia="Arial" w:hAnsi="Arial"/>
                <w:sz w:val="17"/>
                <w:szCs w:val="17"/>
                <w:color w:val="auto"/>
              </w:rPr>
              <w:t>3,790,624</w:t>
            </w:r>
          </w:p>
        </w:tc>
        <w:tc>
          <w:tcPr>
            <w:tcW w:w="1660" w:type="dxa"/>
            <w:vAlign w:val="bottom"/>
            <w:tcBorders>
              <w:bottom w:val="single" w:sz="8" w:color="00000A"/>
              <w:right w:val="single" w:sz="8" w:color="00000A"/>
            </w:tcBorders>
            <w:shd w:val="clear" w:color="auto" w:fill="CCEEFF"/>
          </w:tcPr>
          <w:p>
            <w:pPr>
              <w:jc w:val="right"/>
              <w:ind w:right="4"/>
              <w:spacing w:after="0"/>
              <w:rPr>
                <w:sz w:val="20"/>
                <w:szCs w:val="20"/>
                <w:color w:val="auto"/>
              </w:rPr>
            </w:pPr>
            <w:r>
              <w:rPr>
                <w:rFonts w:ascii="Arial" w:cs="Arial" w:eastAsia="Arial" w:hAnsi="Arial"/>
                <w:sz w:val="17"/>
                <w:szCs w:val="17"/>
                <w:color w:val="auto"/>
              </w:rPr>
              <w:t>29.52</w:t>
            </w:r>
          </w:p>
        </w:tc>
        <w:tc>
          <w:tcPr>
            <w:tcW w:w="2580" w:type="dxa"/>
            <w:vAlign w:val="bottom"/>
            <w:tcBorders>
              <w:bottom w:val="single" w:sz="8" w:color="00000A"/>
            </w:tcBorders>
            <w:shd w:val="clear" w:color="auto" w:fill="CCEEFF"/>
          </w:tcPr>
          <w:p>
            <w:pPr>
              <w:jc w:val="right"/>
              <w:ind w:right="4"/>
              <w:spacing w:after="0"/>
              <w:rPr>
                <w:sz w:val="20"/>
                <w:szCs w:val="20"/>
                <w:color w:val="auto"/>
              </w:rPr>
            </w:pPr>
            <w:r>
              <w:rPr>
                <w:rFonts w:ascii="Arial" w:cs="Arial" w:eastAsia="Arial" w:hAnsi="Arial"/>
                <w:sz w:val="17"/>
                <w:szCs w:val="17"/>
                <w:color w:val="auto"/>
              </w:rPr>
              <w:t>14,336,246</w:t>
            </w:r>
          </w:p>
        </w:tc>
      </w:tr>
    </w:tbl>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COMPENSATION COMMITTEE INTERLOCKS AND INSIDER PARTICIPATION</w:t>
      </w:r>
    </w:p>
    <w:p>
      <w:pPr>
        <w:spacing w:after="0" w:line="244"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17"/>
          <w:szCs w:val="17"/>
          <w:color w:val="auto"/>
        </w:rPr>
        <w:t>The Compensation Committee, which includes Messrs. Schaum (Chair), Deur, and Walker, is currently comprised solely of members of the Company’s Board who are independent under the applicable NASDAQ listing standards. The Compensation Committee is responsible for supervising the Company’s executive compensation arrangements, including the making of decisions with respect to the award of stock-based incentives.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CERTAIN TRANSACTIONS</w:t>
      </w:r>
    </w:p>
    <w:p>
      <w:pPr>
        <w:spacing w:after="0" w:line="244"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17"/>
          <w:szCs w:val="17"/>
          <w:color w:val="auto"/>
        </w:rPr>
        <w:t>The Audit Committee of the Company reviews and approves all related party transactions in accordance with its Charter. The Code of Business Conduct and Ethics requires directors, officers, and employees to report these types of matters. In addition, the Company uses questionnaires for its directors and officers annually in part to discover any unreported related-party transactions. The approval of the Audit Committee is required for related-party transactions.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ind w:left="100"/>
        <w:spacing w:after="0"/>
        <w:rPr>
          <w:sz w:val="20"/>
          <w:szCs w:val="20"/>
          <w:color w:val="auto"/>
        </w:rPr>
      </w:pPr>
      <w:r>
        <w:rPr>
          <w:rFonts w:ascii="Arial" w:cs="Arial" w:eastAsia="Arial" w:hAnsi="Arial"/>
          <w:sz w:val="17"/>
          <w:szCs w:val="17"/>
          <w:b w:val="1"/>
          <w:bCs w:val="1"/>
          <w:u w:val="single" w:color="auto"/>
          <w:color w:val="auto"/>
        </w:rPr>
        <w:t>PAY RATIO</w:t>
      </w:r>
    </w:p>
    <w:p>
      <w:pPr>
        <w:spacing w:after="0" w:line="244" w:lineRule="exact"/>
        <w:rPr>
          <w:sz w:val="20"/>
          <w:szCs w:val="20"/>
          <w:color w:val="auto"/>
        </w:rPr>
      </w:pPr>
    </w:p>
    <w:p>
      <w:pPr>
        <w:jc w:val="both"/>
        <w:ind w:left="100" w:firstLine="618"/>
        <w:spacing w:after="0" w:line="265" w:lineRule="auto"/>
        <w:rPr>
          <w:sz w:val="20"/>
          <w:szCs w:val="20"/>
          <w:color w:val="auto"/>
        </w:rPr>
      </w:pPr>
      <w:r>
        <w:rPr>
          <w:rFonts w:ascii="Arial" w:cs="Arial" w:eastAsia="Arial" w:hAnsi="Arial"/>
          <w:sz w:val="17"/>
          <w:szCs w:val="17"/>
          <w:color w:val="auto"/>
        </w:rPr>
        <w:t>We are required to disclose the annual total compensation for both our Chief Executive Officer and median employee and the ratio of those two amounts. In 2024, the CEO's annual total compensation was $4,780,362 as reflected in the "Summary Compensation Table." Our median employee's annual compensation for 2024 was $55,950. As a result, we estimate that the CEO's annual total compensation was approximately 85 times that of our median employee in 2024.</w:t>
      </w:r>
    </w:p>
    <w:p>
      <w:pPr>
        <w:spacing w:after="0" w:line="193" w:lineRule="exact"/>
        <w:rPr>
          <w:sz w:val="20"/>
          <w:szCs w:val="20"/>
          <w:color w:val="auto"/>
        </w:rPr>
      </w:pPr>
    </w:p>
    <w:p>
      <w:pPr>
        <w:jc w:val="both"/>
        <w:ind w:left="100" w:firstLine="618"/>
        <w:spacing w:after="0" w:line="271" w:lineRule="auto"/>
        <w:rPr>
          <w:sz w:val="20"/>
          <w:szCs w:val="20"/>
          <w:color w:val="auto"/>
        </w:rPr>
      </w:pPr>
      <w:r>
        <w:rPr>
          <w:rFonts w:ascii="Arial" w:cs="Arial" w:eastAsia="Arial" w:hAnsi="Arial"/>
          <w:sz w:val="17"/>
          <w:szCs w:val="17"/>
          <w:color w:val="auto"/>
        </w:rPr>
        <w:t>To identify our median paid employee, we analyzed our employee population as of 12/31/2024. We identified our median paid employee based on gross annualized earnings for 2024, which included gross wages, bonus payments, stock compensation expense, and taxable benefits. Compensation earned in currencies other than U.S. Dollars was translated into U.S. Dollars.</w:t>
      </w:r>
    </w:p>
    <w:p>
      <w:pPr>
        <w:spacing w:after="0" w:line="188" w:lineRule="exact"/>
        <w:rPr>
          <w:sz w:val="20"/>
          <w:szCs w:val="20"/>
          <w:color w:val="auto"/>
        </w:rPr>
      </w:pPr>
    </w:p>
    <w:p>
      <w:pPr>
        <w:jc w:val="both"/>
        <w:ind w:left="100" w:firstLine="618"/>
        <w:spacing w:after="0" w:line="289" w:lineRule="auto"/>
        <w:rPr>
          <w:sz w:val="20"/>
          <w:szCs w:val="20"/>
          <w:color w:val="auto"/>
        </w:rPr>
      </w:pPr>
      <w:r>
        <w:rPr>
          <w:rFonts w:ascii="Arial" w:cs="Arial" w:eastAsia="Arial" w:hAnsi="Arial"/>
          <w:sz w:val="17"/>
          <w:szCs w:val="17"/>
          <w:color w:val="auto"/>
        </w:rPr>
        <w:t>We determined the median paid employee's annual total compensation using the methodology for calculating total compensation for the Summary Compensation Table and compared that to the annual total compensation of our CEO, as disclosed in the Summary Compensation Table.</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7"/>
          <w:szCs w:val="17"/>
          <w:b w:val="1"/>
          <w:bCs w:val="1"/>
          <w:u w:val="single" w:color="auto"/>
          <w:color w:val="auto"/>
        </w:rPr>
        <w:t>PAY VERSUS PERFORMANCE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420" w:type="dxa"/>
            <w:vAlign w:val="bottom"/>
            <w:tcBorders>
              <w:top w:val="single" w:sz="8" w:color="00000A"/>
            </w:tcBorders>
          </w:tcPr>
          <w:p>
            <w:pPr>
              <w:spacing w:after="0"/>
              <w:rPr>
                <w:sz w:val="11"/>
                <w:szCs w:val="11"/>
                <w:color w:val="auto"/>
              </w:rPr>
            </w:pPr>
          </w:p>
        </w:tc>
        <w:tc>
          <w:tcPr>
            <w:tcW w:w="20" w:type="dxa"/>
            <w:vAlign w:val="bottom"/>
            <w:tcBorders>
              <w:top w:val="single" w:sz="8" w:color="00000A"/>
            </w:tcBorders>
          </w:tcPr>
          <w:p>
            <w:pPr>
              <w:spacing w:after="0"/>
              <w:rPr>
                <w:sz w:val="11"/>
                <w:szCs w:val="11"/>
                <w:color w:val="auto"/>
              </w:rPr>
            </w:pPr>
          </w:p>
        </w:tc>
        <w:tc>
          <w:tcPr>
            <w:tcW w:w="1300" w:type="dxa"/>
            <w:vAlign w:val="bottom"/>
            <w:tcBorders>
              <w:top w:val="single" w:sz="8" w:color="00000A"/>
            </w:tcBorders>
          </w:tcPr>
          <w:p>
            <w:pPr>
              <w:spacing w:after="0"/>
              <w:rPr>
                <w:sz w:val="11"/>
                <w:szCs w:val="11"/>
                <w:color w:val="auto"/>
              </w:rPr>
            </w:pPr>
          </w:p>
        </w:tc>
        <w:tc>
          <w:tcPr>
            <w:tcW w:w="1340" w:type="dxa"/>
            <w:vAlign w:val="bottom"/>
            <w:tcBorders>
              <w:top w:val="single" w:sz="8" w:color="00000A"/>
            </w:tcBorders>
          </w:tcPr>
          <w:p>
            <w:pPr>
              <w:spacing w:after="0"/>
              <w:rPr>
                <w:sz w:val="11"/>
                <w:szCs w:val="11"/>
                <w:color w:val="auto"/>
              </w:rPr>
            </w:pPr>
          </w:p>
        </w:tc>
        <w:tc>
          <w:tcPr>
            <w:tcW w:w="1320" w:type="dxa"/>
            <w:vAlign w:val="bottom"/>
            <w:tcBorders>
              <w:top w:val="single" w:sz="8" w:color="00000A"/>
            </w:tcBorders>
          </w:tcPr>
          <w:p>
            <w:pPr>
              <w:spacing w:after="0"/>
              <w:rPr>
                <w:sz w:val="11"/>
                <w:szCs w:val="11"/>
                <w:color w:val="auto"/>
              </w:rPr>
            </w:pPr>
          </w:p>
        </w:tc>
        <w:tc>
          <w:tcPr>
            <w:tcW w:w="1320" w:type="dxa"/>
            <w:vAlign w:val="bottom"/>
            <w:tcBorders>
              <w:top w:val="single" w:sz="8" w:color="00000A"/>
              <w:right w:val="single" w:sz="8" w:color="auto"/>
            </w:tcBorders>
          </w:tcPr>
          <w:p>
            <w:pPr>
              <w:spacing w:after="0"/>
              <w:rPr>
                <w:sz w:val="11"/>
                <w:szCs w:val="11"/>
                <w:color w:val="auto"/>
              </w:rPr>
            </w:pPr>
          </w:p>
        </w:tc>
        <w:tc>
          <w:tcPr>
            <w:tcW w:w="2660" w:type="dxa"/>
            <w:vAlign w:val="bottom"/>
            <w:tcBorders>
              <w:top w:val="single" w:sz="8" w:color="00000A"/>
              <w:right w:val="single" w:sz="8" w:color="auto"/>
            </w:tcBorders>
            <w:gridSpan w:val="3"/>
          </w:tcPr>
          <w:p>
            <w:pPr>
              <w:jc w:val="right"/>
              <w:ind w:right="15"/>
              <w:spacing w:after="0" w:line="129" w:lineRule="exact"/>
              <w:rPr>
                <w:sz w:val="20"/>
                <w:szCs w:val="20"/>
                <w:color w:val="auto"/>
              </w:rPr>
            </w:pPr>
            <w:r>
              <w:rPr>
                <w:rFonts w:ascii="Arial" w:cs="Arial" w:eastAsia="Arial" w:hAnsi="Arial"/>
                <w:sz w:val="12"/>
                <w:szCs w:val="12"/>
                <w:b w:val="1"/>
                <w:bCs w:val="1"/>
                <w:color w:val="auto"/>
              </w:rPr>
              <w:t>Value of Initial Fixed $100 Investment Based</w:t>
            </w:r>
          </w:p>
        </w:tc>
        <w:tc>
          <w:tcPr>
            <w:tcW w:w="1320" w:type="dxa"/>
            <w:vAlign w:val="bottom"/>
            <w:tcBorders>
              <w:top w:val="single" w:sz="8" w:color="00000A"/>
            </w:tcBorders>
          </w:tcPr>
          <w:p>
            <w:pPr>
              <w:spacing w:after="0"/>
              <w:rPr>
                <w:sz w:val="11"/>
                <w:szCs w:val="11"/>
                <w:color w:val="auto"/>
              </w:rPr>
            </w:pPr>
          </w:p>
        </w:tc>
        <w:tc>
          <w:tcPr>
            <w:tcW w:w="1360" w:type="dxa"/>
            <w:vAlign w:val="bottom"/>
            <w:tcBorders>
              <w:top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220"/>
              <w:spacing w:after="0"/>
              <w:rPr>
                <w:sz w:val="20"/>
                <w:szCs w:val="20"/>
                <w:color w:val="auto"/>
              </w:rPr>
            </w:pPr>
            <w:r>
              <w:rPr>
                <w:rFonts w:ascii="Arial" w:cs="Arial" w:eastAsia="Arial" w:hAnsi="Arial"/>
                <w:sz w:val="12"/>
                <w:szCs w:val="12"/>
                <w:b w:val="1"/>
                <w:bCs w:val="1"/>
                <w:color w:val="auto"/>
                <w:w w:val="96"/>
              </w:rPr>
              <w:t>on:</w:t>
            </w:r>
          </w:p>
        </w:tc>
        <w:tc>
          <w:tcPr>
            <w:tcW w:w="124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2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b w:val="1"/>
                <w:bCs w:val="1"/>
                <w:color w:val="auto"/>
              </w:rPr>
              <w:t>Company Selected</w:t>
            </w:r>
          </w:p>
        </w:tc>
        <w:tc>
          <w:tcPr>
            <w:tcW w:w="0" w:type="dxa"/>
            <w:vAlign w:val="bottom"/>
          </w:tcPr>
          <w:p>
            <w:pPr>
              <w:spacing w:after="0"/>
              <w:rPr>
                <w:sz w:val="1"/>
                <w:szCs w:val="1"/>
                <w:color w:val="auto"/>
              </w:rPr>
            </w:pPr>
          </w:p>
        </w:tc>
      </w:tr>
      <w:tr>
        <w:trPr>
          <w:trHeight w:val="165"/>
        </w:trPr>
        <w:tc>
          <w:tcPr>
            <w:tcW w:w="4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8"/>
              </w:rPr>
              <w:t>Average Summary</w:t>
            </w:r>
          </w:p>
        </w:tc>
        <w:tc>
          <w:tcPr>
            <w:tcW w:w="1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Measure</w:t>
            </w:r>
          </w:p>
        </w:tc>
        <w:tc>
          <w:tcPr>
            <w:tcW w:w="0" w:type="dxa"/>
            <w:vAlign w:val="bottom"/>
          </w:tcPr>
          <w:p>
            <w:pPr>
              <w:spacing w:after="0"/>
              <w:rPr>
                <w:sz w:val="1"/>
                <w:szCs w:val="1"/>
                <w:color w:val="auto"/>
              </w:rPr>
            </w:pPr>
          </w:p>
        </w:tc>
      </w:tr>
      <w:tr>
        <w:trPr>
          <w:trHeight w:val="67"/>
        </w:trPr>
        <w:tc>
          <w:tcPr>
            <w:tcW w:w="42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vMerge w:val="continue"/>
          </w:tcPr>
          <w:p>
            <w:pPr>
              <w:spacing w:after="0"/>
              <w:rPr>
                <w:sz w:val="5"/>
                <w:szCs w:val="5"/>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7"/>
              </w:rPr>
              <w:t>Average</w:t>
            </w:r>
          </w:p>
        </w:tc>
        <w:tc>
          <w:tcPr>
            <w:tcW w:w="13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4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8"/>
              </w:rPr>
              <w:t>Summary</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Compensation</w:t>
            </w:r>
          </w:p>
        </w:tc>
        <w:tc>
          <w:tcPr>
            <w:tcW w:w="1320" w:type="dxa"/>
            <w:vAlign w:val="bottom"/>
            <w:tcBorders>
              <w:right w:val="single" w:sz="8" w:color="auto"/>
            </w:tcBorders>
          </w:tcPr>
          <w:p>
            <w:pPr>
              <w:jc w:val="right"/>
              <w:ind w:right="36"/>
              <w:spacing w:after="0" w:line="129" w:lineRule="exact"/>
              <w:rPr>
                <w:sz w:val="20"/>
                <w:szCs w:val="20"/>
                <w:color w:val="auto"/>
              </w:rPr>
            </w:pPr>
            <w:r>
              <w:rPr>
                <w:rFonts w:ascii="Arial" w:cs="Arial" w:eastAsia="Arial" w:hAnsi="Arial"/>
                <w:sz w:val="12"/>
                <w:szCs w:val="12"/>
                <w:b w:val="1"/>
                <w:bCs w:val="1"/>
                <w:color w:val="auto"/>
              </w:rPr>
              <w:t>Compensation Table</w:t>
            </w:r>
          </w:p>
        </w:tc>
        <w:tc>
          <w:tcPr>
            <w:tcW w:w="1320" w:type="dxa"/>
            <w:vAlign w:val="bottom"/>
            <w:tcBorders>
              <w:right w:val="single" w:sz="8" w:color="auto"/>
            </w:tcBorders>
            <w:vMerge w:val="continue"/>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right w:val="single" w:sz="8" w:color="auto"/>
            </w:tcBorders>
            <w:vMerge w:val="restart"/>
          </w:tcPr>
          <w:p>
            <w:pPr>
              <w:jc w:val="center"/>
              <w:ind w:right="55"/>
              <w:spacing w:after="0"/>
              <w:rPr>
                <w:sz w:val="20"/>
                <w:szCs w:val="20"/>
                <w:color w:val="auto"/>
              </w:rPr>
            </w:pPr>
            <w:r>
              <w:rPr>
                <w:rFonts w:ascii="Arial" w:cs="Arial" w:eastAsia="Arial" w:hAnsi="Arial"/>
                <w:sz w:val="12"/>
                <w:szCs w:val="12"/>
                <w:b w:val="1"/>
                <w:bCs w:val="1"/>
                <w:color w:val="auto"/>
                <w:w w:val="98"/>
              </w:rPr>
              <w:t>Peer Group Total</w:t>
            </w:r>
          </w:p>
        </w:tc>
        <w:tc>
          <w:tcPr>
            <w:tcW w:w="1320" w:type="dxa"/>
            <w:vAlign w:val="bottom"/>
            <w:tcBorders>
              <w:right w:val="single" w:sz="8" w:color="auto"/>
            </w:tcBorders>
            <w:vMerge w:val="restart"/>
          </w:tcPr>
          <w:p>
            <w:pPr>
              <w:jc w:val="right"/>
              <w:ind w:right="15"/>
              <w:spacing w:after="0"/>
              <w:rPr>
                <w:sz w:val="20"/>
                <w:szCs w:val="20"/>
                <w:color w:val="auto"/>
              </w:rPr>
            </w:pPr>
            <w:r>
              <w:rPr>
                <w:rFonts w:ascii="Arial" w:cs="Arial" w:eastAsia="Arial" w:hAnsi="Arial"/>
                <w:sz w:val="12"/>
                <w:szCs w:val="12"/>
                <w:b w:val="1"/>
                <w:bCs w:val="1"/>
                <w:color w:val="auto"/>
                <w:w w:val="99"/>
              </w:rPr>
              <w:t>Company Net Income</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9"/>
              </w:rPr>
              <w:t>Net Sales</w:t>
            </w:r>
          </w:p>
        </w:tc>
        <w:tc>
          <w:tcPr>
            <w:tcW w:w="0" w:type="dxa"/>
            <w:vAlign w:val="bottom"/>
          </w:tcPr>
          <w:p>
            <w:pPr>
              <w:spacing w:after="0"/>
              <w:rPr>
                <w:sz w:val="1"/>
                <w:szCs w:val="1"/>
                <w:color w:val="auto"/>
              </w:rPr>
            </w:pPr>
          </w:p>
        </w:tc>
      </w:tr>
      <w:tr>
        <w:trPr>
          <w:trHeight w:val="116"/>
        </w:trPr>
        <w:tc>
          <w:tcPr>
            <w:tcW w:w="4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w w:val="99"/>
              </w:rPr>
              <w:t>Total for Non-PEO</w:t>
            </w:r>
          </w:p>
        </w:tc>
        <w:tc>
          <w:tcPr>
            <w:tcW w:w="13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w w:val="98"/>
              </w:rPr>
              <w:t>Compensation</w:t>
            </w:r>
          </w:p>
        </w:tc>
        <w:tc>
          <w:tcPr>
            <w:tcW w:w="1340" w:type="dxa"/>
            <w:vAlign w:val="bottom"/>
            <w:tcBorders>
              <w:right w:val="single" w:sz="8" w:color="auto"/>
            </w:tcBorders>
            <w:vMerge w:val="restart"/>
          </w:tcPr>
          <w:p>
            <w:pPr>
              <w:jc w:val="right"/>
              <w:ind w:right="115"/>
              <w:spacing w:after="0"/>
              <w:rPr>
                <w:sz w:val="20"/>
                <w:szCs w:val="20"/>
                <w:color w:val="auto"/>
              </w:rPr>
            </w:pPr>
            <w:r>
              <w:rPr>
                <w:rFonts w:ascii="Arial" w:cs="Arial" w:eastAsia="Arial" w:hAnsi="Arial"/>
                <w:sz w:val="12"/>
                <w:szCs w:val="12"/>
                <w:b w:val="1"/>
                <w:bCs w:val="1"/>
                <w:color w:val="auto"/>
              </w:rPr>
              <w:t>Total Shareholder</w:t>
            </w:r>
          </w:p>
        </w:tc>
        <w:tc>
          <w:tcPr>
            <w:tcW w:w="80" w:type="dxa"/>
            <w:vAlign w:val="bottom"/>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20" w:type="dxa"/>
            <w:vAlign w:val="bottom"/>
            <w:tcBorders>
              <w:right w:val="single" w:sz="8" w:color="auto"/>
            </w:tcBorders>
            <w:vMerge w:val="restart"/>
          </w:tcPr>
          <w:p>
            <w:pPr>
              <w:jc w:val="right"/>
              <w:ind w:right="133"/>
              <w:spacing w:after="0"/>
              <w:rPr>
                <w:sz w:val="20"/>
                <w:szCs w:val="20"/>
                <w:color w:val="auto"/>
              </w:rPr>
            </w:pPr>
            <w:r>
              <w:rPr>
                <w:rFonts w:ascii="Arial" w:cs="Arial" w:eastAsia="Arial" w:hAnsi="Arial"/>
                <w:sz w:val="12"/>
                <w:szCs w:val="12"/>
                <w:b w:val="1"/>
                <w:bCs w:val="1"/>
                <w:color w:val="auto"/>
                <w:w w:val="76"/>
              </w:rPr>
              <w:t>Year</w:t>
            </w:r>
          </w:p>
        </w:tc>
        <w:tc>
          <w:tcPr>
            <w:tcW w:w="20" w:type="dxa"/>
            <w:vAlign w:val="bottom"/>
          </w:tcPr>
          <w:p>
            <w:pPr>
              <w:spacing w:after="0"/>
              <w:rPr>
                <w:sz w:val="11"/>
                <w:szCs w:val="11"/>
                <w:color w:val="auto"/>
              </w:rPr>
            </w:pPr>
          </w:p>
        </w:tc>
        <w:tc>
          <w:tcPr>
            <w:tcW w:w="130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9"/>
              </w:rPr>
              <w:t>Compensation Table</w:t>
            </w:r>
          </w:p>
        </w:tc>
        <w:tc>
          <w:tcPr>
            <w:tcW w:w="13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rPr>
              <w:t>Actually Paid to PEO</w:t>
            </w:r>
          </w:p>
        </w:tc>
        <w:tc>
          <w:tcPr>
            <w:tcW w:w="132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7"/>
              </w:rPr>
              <w:t>NEOs</w:t>
            </w:r>
          </w:p>
        </w:tc>
        <w:tc>
          <w:tcPr>
            <w:tcW w:w="132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9"/>
              </w:rPr>
              <w:t>Actually Paid to NEOs</w:t>
            </w:r>
          </w:p>
        </w:tc>
        <w:tc>
          <w:tcPr>
            <w:tcW w:w="134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right w:val="single" w:sz="8" w:color="auto"/>
            </w:tcBorders>
          </w:tcPr>
          <w:p>
            <w:pPr>
              <w:jc w:val="center"/>
              <w:ind w:right="55"/>
              <w:spacing w:after="0" w:line="129" w:lineRule="exact"/>
              <w:rPr>
                <w:sz w:val="20"/>
                <w:szCs w:val="20"/>
                <w:color w:val="auto"/>
              </w:rPr>
            </w:pPr>
            <w:r>
              <w:rPr>
                <w:rFonts w:ascii="Arial" w:cs="Arial" w:eastAsia="Arial" w:hAnsi="Arial"/>
                <w:sz w:val="12"/>
                <w:szCs w:val="12"/>
                <w:b w:val="1"/>
                <w:bCs w:val="1"/>
                <w:color w:val="auto"/>
                <w:w w:val="99"/>
              </w:rPr>
              <w:t>Shareholder Return</w:t>
            </w:r>
          </w:p>
        </w:tc>
        <w:tc>
          <w:tcPr>
            <w:tcW w:w="1320" w:type="dxa"/>
            <w:vAlign w:val="bottom"/>
            <w:tcBorders>
              <w:right w:val="single" w:sz="8" w:color="auto"/>
            </w:tcBorders>
          </w:tcPr>
          <w:p>
            <w:pPr>
              <w:jc w:val="right"/>
              <w:ind w:right="195"/>
              <w:spacing w:after="0" w:line="129" w:lineRule="exact"/>
              <w:rPr>
                <w:sz w:val="20"/>
                <w:szCs w:val="20"/>
                <w:color w:val="auto"/>
              </w:rPr>
            </w:pPr>
            <w:r>
              <w:rPr>
                <w:rFonts w:ascii="Arial" w:cs="Arial" w:eastAsia="Arial" w:hAnsi="Arial"/>
                <w:sz w:val="12"/>
                <w:szCs w:val="12"/>
                <w:b w:val="1"/>
                <w:bCs w:val="1"/>
                <w:color w:val="auto"/>
              </w:rPr>
              <w:t>(in thousands)</w:t>
            </w:r>
          </w:p>
        </w:tc>
        <w:tc>
          <w:tcPr>
            <w:tcW w:w="13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9"/>
              </w:rPr>
              <w:t>(in thousands)</w:t>
            </w:r>
          </w:p>
        </w:tc>
        <w:tc>
          <w:tcPr>
            <w:tcW w:w="0" w:type="dxa"/>
            <w:vAlign w:val="bottom"/>
          </w:tcPr>
          <w:p>
            <w:pPr>
              <w:spacing w:after="0"/>
              <w:rPr>
                <w:sz w:val="1"/>
                <w:szCs w:val="1"/>
                <w:color w:val="auto"/>
              </w:rPr>
            </w:pPr>
          </w:p>
        </w:tc>
      </w:tr>
      <w:tr>
        <w:trPr>
          <w:trHeight w:val="166"/>
        </w:trPr>
        <w:tc>
          <w:tcPr>
            <w:tcW w:w="420" w:type="dxa"/>
            <w:vAlign w:val="bottom"/>
            <w:tcBorders>
              <w:bottom w:val="single" w:sz="8" w:color="auto"/>
              <w:right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Total for PEO (1)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(2)</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(3)</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(2)</w:t>
            </w:r>
          </w:p>
        </w:tc>
        <w:tc>
          <w:tcPr>
            <w:tcW w:w="1340" w:type="dxa"/>
            <w:vAlign w:val="bottom"/>
            <w:tcBorders>
              <w:bottom w:val="single" w:sz="8" w:color="auto"/>
              <w:right w:val="single" w:sz="8" w:color="auto"/>
            </w:tcBorders>
          </w:tcPr>
          <w:p>
            <w:pPr>
              <w:jc w:val="right"/>
              <w:ind w:right="435"/>
              <w:spacing w:after="0"/>
              <w:rPr>
                <w:sz w:val="20"/>
                <w:szCs w:val="20"/>
                <w:color w:val="auto"/>
              </w:rPr>
            </w:pPr>
            <w:r>
              <w:rPr>
                <w:rFonts w:ascii="Arial" w:cs="Arial" w:eastAsia="Arial" w:hAnsi="Arial"/>
                <w:sz w:val="12"/>
                <w:szCs w:val="12"/>
                <w:b w:val="1"/>
                <w:bCs w:val="1"/>
                <w:color w:val="auto"/>
              </w:rPr>
              <w:t>Return</w:t>
            </w: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jc w:val="center"/>
              <w:ind w:right="55"/>
              <w:spacing w:after="0"/>
              <w:rPr>
                <w:sz w:val="20"/>
                <w:szCs w:val="20"/>
                <w:color w:val="auto"/>
              </w:rPr>
            </w:pPr>
            <w:r>
              <w:rPr>
                <w:rFonts w:ascii="Arial" w:cs="Arial" w:eastAsia="Arial" w:hAnsi="Arial"/>
                <w:sz w:val="12"/>
                <w:szCs w:val="12"/>
                <w:b w:val="1"/>
                <w:bCs w:val="1"/>
                <w:color w:val="auto"/>
              </w:rPr>
              <w:t>(4)</w:t>
            </w:r>
          </w:p>
        </w:tc>
        <w:tc>
          <w:tcPr>
            <w:tcW w:w="1320" w:type="dxa"/>
            <w:vAlign w:val="bottom"/>
            <w:tcBorders>
              <w:bottom w:val="single" w:sz="8" w:color="auto"/>
              <w:right w:val="single" w:sz="8" w:color="auto"/>
            </w:tcBorders>
          </w:tcPr>
          <w:p>
            <w:pPr>
              <w:jc w:val="right"/>
              <w:ind w:right="535"/>
              <w:spacing w:after="0"/>
              <w:rPr>
                <w:sz w:val="20"/>
                <w:szCs w:val="20"/>
                <w:color w:val="auto"/>
              </w:rPr>
            </w:pPr>
            <w:r>
              <w:rPr>
                <w:rFonts w:ascii="Arial" w:cs="Arial" w:eastAsia="Arial" w:hAnsi="Arial"/>
                <w:sz w:val="12"/>
                <w:szCs w:val="12"/>
                <w:b w:val="1"/>
                <w:bCs w:val="1"/>
                <w:color w:val="auto"/>
              </w:rPr>
              <w:t>(5)</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(5)</w:t>
            </w:r>
          </w:p>
        </w:tc>
        <w:tc>
          <w:tcPr>
            <w:tcW w:w="0" w:type="dxa"/>
            <w:vAlign w:val="bottom"/>
          </w:tcPr>
          <w:p>
            <w:pPr>
              <w:spacing w:after="0"/>
              <w:rPr>
                <w:sz w:val="1"/>
                <w:szCs w:val="1"/>
                <w:color w:val="auto"/>
              </w:rPr>
            </w:pPr>
          </w:p>
        </w:tc>
      </w:tr>
      <w:tr>
        <w:trPr>
          <w:trHeight w:val="184"/>
        </w:trPr>
        <w:tc>
          <w:tcPr>
            <w:tcW w:w="420" w:type="dxa"/>
            <w:vAlign w:val="bottom"/>
            <w:tcBorders>
              <w:bottom w:val="single" w:sz="8" w:color="auto"/>
              <w:right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color w:val="auto"/>
              </w:rPr>
              <w:t>024</w:t>
            </w:r>
          </w:p>
        </w:tc>
        <w:tc>
          <w:tcPr>
            <w:tcW w:w="1320" w:type="dxa"/>
            <w:vAlign w:val="bottom"/>
            <w:tcBorders>
              <w:bottom w:val="single" w:sz="8" w:color="auto"/>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4,780,362</w:t>
            </w:r>
          </w:p>
        </w:tc>
        <w:tc>
          <w:tcPr>
            <w:tcW w:w="134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2,340,513</w:t>
            </w:r>
          </w:p>
        </w:tc>
        <w:tc>
          <w:tcPr>
            <w:tcW w:w="132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color w:val="auto"/>
              </w:rPr>
              <w:t>1,756,723</w:t>
            </w:r>
          </w:p>
        </w:tc>
        <w:tc>
          <w:tcPr>
            <w:tcW w:w="132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1,099,108</w:t>
            </w:r>
          </w:p>
        </w:tc>
        <w:tc>
          <w:tcPr>
            <w:tcW w:w="134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107.41</w:t>
            </w:r>
          </w:p>
        </w:tc>
        <w:tc>
          <w:tcPr>
            <w:tcW w:w="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434.04</w:t>
            </w:r>
          </w:p>
        </w:tc>
        <w:tc>
          <w:tcPr>
            <w:tcW w:w="132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404,488</w:t>
            </w:r>
          </w:p>
        </w:tc>
        <w:tc>
          <w:tcPr>
            <w:tcW w:w="1360" w:type="dxa"/>
            <w:vAlign w:val="bottom"/>
            <w:tcBorders>
              <w:bottom w:val="single" w:sz="8" w:color="auto"/>
              <w:right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2,313,314</w:t>
            </w:r>
          </w:p>
        </w:tc>
        <w:tc>
          <w:tcPr>
            <w:tcW w:w="0" w:type="dxa"/>
            <w:vAlign w:val="bottom"/>
          </w:tcPr>
          <w:p>
            <w:pPr>
              <w:spacing w:after="0"/>
              <w:rPr>
                <w:sz w:val="1"/>
                <w:szCs w:val="1"/>
                <w:color w:val="auto"/>
              </w:rPr>
            </w:pPr>
          </w:p>
        </w:tc>
      </w:tr>
      <w:tr>
        <w:trPr>
          <w:trHeight w:val="186"/>
        </w:trPr>
        <w:tc>
          <w:tcPr>
            <w:tcW w:w="420" w:type="dxa"/>
            <w:vAlign w:val="bottom"/>
            <w:tcBorders>
              <w:bottom w:val="single" w:sz="8" w:color="auto"/>
              <w:right w:val="single" w:sz="8" w:color="auto"/>
            </w:tcBorders>
          </w:tcPr>
          <w:p>
            <w:pPr>
              <w:jc w:val="right"/>
              <w:ind w:right="93"/>
              <w:spacing w:after="0"/>
              <w:rPr>
                <w:sz w:val="20"/>
                <w:szCs w:val="20"/>
                <w:color w:val="auto"/>
              </w:rPr>
            </w:pPr>
            <w:r>
              <w:rPr>
                <w:rFonts w:ascii="Arial" w:cs="Arial" w:eastAsia="Arial" w:hAnsi="Arial"/>
                <w:sz w:val="14"/>
                <w:szCs w:val="14"/>
                <w:color w:val="auto"/>
              </w:rPr>
              <w:t>023</w:t>
            </w:r>
          </w:p>
        </w:tc>
        <w:tc>
          <w:tcPr>
            <w:tcW w:w="1320" w:type="dxa"/>
            <w:vAlign w:val="bottom"/>
            <w:tcBorders>
              <w:bottom w:val="single" w:sz="8" w:color="auto"/>
              <w:right w:val="single" w:sz="8" w:color="auto"/>
            </w:tcBorders>
            <w:gridSpan w:val="2"/>
          </w:tcPr>
          <w:p>
            <w:pPr>
              <w:jc w:val="right"/>
              <w:ind w:right="17"/>
              <w:spacing w:after="0"/>
              <w:rPr>
                <w:sz w:val="20"/>
                <w:szCs w:val="20"/>
                <w:color w:val="auto"/>
              </w:rPr>
            </w:pPr>
            <w:r>
              <w:rPr>
                <w:rFonts w:ascii="Arial" w:cs="Arial" w:eastAsia="Arial" w:hAnsi="Arial"/>
                <w:sz w:val="14"/>
                <w:szCs w:val="14"/>
                <w:color w:val="auto"/>
              </w:rPr>
              <w:t>7,111,530</w:t>
            </w:r>
          </w:p>
        </w:tc>
        <w:tc>
          <w:tcPr>
            <w:tcW w:w="134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4"/>
                <w:szCs w:val="14"/>
                <w:color w:val="auto"/>
              </w:rPr>
              <w:t>12,940,505</w:t>
            </w:r>
          </w:p>
        </w:tc>
        <w:tc>
          <w:tcPr>
            <w:tcW w:w="132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4"/>
                <w:szCs w:val="14"/>
                <w:color w:val="auto"/>
              </w:rPr>
              <w:t>2,810,684</w:t>
            </w:r>
          </w:p>
        </w:tc>
        <w:tc>
          <w:tcPr>
            <w:tcW w:w="132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4"/>
                <w:szCs w:val="14"/>
                <w:color w:val="auto"/>
              </w:rPr>
              <w:t>4,035,955</w:t>
            </w:r>
          </w:p>
        </w:tc>
        <w:tc>
          <w:tcPr>
            <w:tcW w:w="134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4"/>
                <w:szCs w:val="14"/>
                <w:color w:val="auto"/>
              </w:rPr>
              <w:t>120.29</w:t>
            </w: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4"/>
                <w:szCs w:val="14"/>
                <w:color w:val="auto"/>
              </w:rPr>
              <w:t>296.83</w:t>
            </w:r>
          </w:p>
        </w:tc>
        <w:tc>
          <w:tcPr>
            <w:tcW w:w="132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4"/>
                <w:szCs w:val="14"/>
                <w:color w:val="auto"/>
              </w:rPr>
              <w:t>428,403</w:t>
            </w:r>
          </w:p>
        </w:tc>
        <w:tc>
          <w:tcPr>
            <w:tcW w:w="1360" w:type="dxa"/>
            <w:vAlign w:val="bottom"/>
            <w:tcBorders>
              <w:bottom w:val="single" w:sz="8" w:color="auto"/>
              <w:right w:val="single" w:sz="8" w:color="auto"/>
            </w:tcBorders>
          </w:tcPr>
          <w:p>
            <w:pPr>
              <w:jc w:val="right"/>
              <w:ind w:right="36"/>
              <w:spacing w:after="0"/>
              <w:rPr>
                <w:sz w:val="20"/>
                <w:szCs w:val="20"/>
                <w:color w:val="auto"/>
              </w:rPr>
            </w:pPr>
            <w:r>
              <w:rPr>
                <w:rFonts w:ascii="Arial" w:cs="Arial" w:eastAsia="Arial" w:hAnsi="Arial"/>
                <w:sz w:val="14"/>
                <w:szCs w:val="14"/>
                <w:color w:val="auto"/>
              </w:rPr>
              <w:t>2,300,845</w:t>
            </w:r>
          </w:p>
        </w:tc>
        <w:tc>
          <w:tcPr>
            <w:tcW w:w="0" w:type="dxa"/>
            <w:vAlign w:val="bottom"/>
          </w:tcPr>
          <w:p>
            <w:pPr>
              <w:spacing w:after="0"/>
              <w:rPr>
                <w:sz w:val="1"/>
                <w:szCs w:val="1"/>
                <w:color w:val="auto"/>
              </w:rPr>
            </w:pPr>
          </w:p>
        </w:tc>
      </w:tr>
      <w:tr>
        <w:trPr>
          <w:trHeight w:val="186"/>
        </w:trPr>
        <w:tc>
          <w:tcPr>
            <w:tcW w:w="420" w:type="dxa"/>
            <w:vAlign w:val="bottom"/>
            <w:tcBorders>
              <w:bottom w:val="single" w:sz="8" w:color="auto"/>
              <w:right w:val="single" w:sz="8" w:color="00000A"/>
            </w:tcBorders>
            <w:shd w:val="clear" w:color="auto" w:fill="CCEEFF"/>
          </w:tcPr>
          <w:p>
            <w:pPr>
              <w:jc w:val="right"/>
              <w:ind w:right="93"/>
              <w:spacing w:after="0"/>
              <w:rPr>
                <w:sz w:val="20"/>
                <w:szCs w:val="20"/>
                <w:color w:val="auto"/>
              </w:rPr>
            </w:pPr>
            <w:r>
              <w:rPr>
                <w:rFonts w:ascii="Arial" w:cs="Arial" w:eastAsia="Arial" w:hAnsi="Arial"/>
                <w:sz w:val="14"/>
                <w:szCs w:val="14"/>
                <w:color w:val="auto"/>
              </w:rPr>
              <w:t>022</w:t>
            </w:r>
          </w:p>
        </w:tc>
        <w:tc>
          <w:tcPr>
            <w:tcW w:w="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00000A"/>
              <w:right w:val="single" w:sz="8" w:color="auto"/>
            </w:tcBorders>
            <w:shd w:val="clear" w:color="auto" w:fill="CCEEFF"/>
          </w:tcPr>
          <w:p>
            <w:pPr>
              <w:jc w:val="right"/>
              <w:ind w:right="17"/>
              <w:spacing w:after="0"/>
              <w:rPr>
                <w:sz w:val="20"/>
                <w:szCs w:val="20"/>
                <w:color w:val="auto"/>
              </w:rPr>
            </w:pPr>
            <w:r>
              <w:rPr>
                <w:rFonts w:ascii="Arial" w:cs="Arial" w:eastAsia="Arial" w:hAnsi="Arial"/>
                <w:sz w:val="14"/>
                <w:szCs w:val="14"/>
                <w:color w:val="auto"/>
              </w:rPr>
              <w:t>4,508,367</w:t>
            </w:r>
          </w:p>
        </w:tc>
        <w:tc>
          <w:tcPr>
            <w:tcW w:w="134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571,286</w:t>
            </w:r>
          </w:p>
        </w:tc>
        <w:tc>
          <w:tcPr>
            <w:tcW w:w="132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color w:val="auto"/>
              </w:rPr>
              <w:t>1,514,556</w:t>
            </w:r>
          </w:p>
        </w:tc>
        <w:tc>
          <w:tcPr>
            <w:tcW w:w="132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551,000</w:t>
            </w:r>
          </w:p>
        </w:tc>
        <w:tc>
          <w:tcPr>
            <w:tcW w:w="1340" w:type="dxa"/>
            <w:vAlign w:val="bottom"/>
            <w:tcBorders>
              <w:bottom w:val="single" w:sz="8" w:color="auto"/>
              <w:right w:val="single" w:sz="8" w:color="00000A"/>
            </w:tcBorders>
            <w:shd w:val="clear" w:color="auto" w:fill="CCEEFF"/>
          </w:tcPr>
          <w:p>
            <w:pPr>
              <w:jc w:val="right"/>
              <w:ind w:right="35"/>
              <w:spacing w:after="0"/>
              <w:rPr>
                <w:sz w:val="20"/>
                <w:szCs w:val="20"/>
                <w:color w:val="auto"/>
              </w:rPr>
            </w:pPr>
            <w:r>
              <w:rPr>
                <w:rFonts w:ascii="Arial" w:cs="Arial" w:eastAsia="Arial" w:hAnsi="Arial"/>
                <w:sz w:val="14"/>
                <w:szCs w:val="14"/>
                <w:color w:val="auto"/>
              </w:rPr>
              <w:t>98.79</w:t>
            </w:r>
          </w:p>
        </w:tc>
        <w:tc>
          <w:tcPr>
            <w:tcW w:w="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right w:val="single" w:sz="8" w:color="00000A"/>
            </w:tcBorders>
            <w:shd w:val="clear" w:color="auto" w:fill="CCEEFF"/>
          </w:tcPr>
          <w:p>
            <w:pPr>
              <w:jc w:val="right"/>
              <w:ind w:right="15"/>
              <w:spacing w:after="0"/>
              <w:rPr>
                <w:sz w:val="20"/>
                <w:szCs w:val="20"/>
                <w:color w:val="auto"/>
              </w:rPr>
            </w:pPr>
            <w:r>
              <w:rPr>
                <w:rFonts w:ascii="Arial" w:cs="Arial" w:eastAsia="Arial" w:hAnsi="Arial"/>
                <w:sz w:val="14"/>
                <w:szCs w:val="14"/>
                <w:color w:val="auto"/>
              </w:rPr>
              <w:t>183.92</w:t>
            </w:r>
          </w:p>
        </w:tc>
        <w:tc>
          <w:tcPr>
            <w:tcW w:w="1320" w:type="dxa"/>
            <w:vAlign w:val="bottom"/>
            <w:tcBorders>
              <w:bottom w:val="single" w:sz="8" w:color="auto"/>
              <w:right w:val="single" w:sz="8" w:color="00000A"/>
            </w:tcBorders>
            <w:shd w:val="clear" w:color="auto" w:fill="CCEEFF"/>
          </w:tcPr>
          <w:p>
            <w:pPr>
              <w:jc w:val="right"/>
              <w:ind w:right="15"/>
              <w:spacing w:after="0"/>
              <w:rPr>
                <w:sz w:val="20"/>
                <w:szCs w:val="20"/>
                <w:color w:val="auto"/>
              </w:rPr>
            </w:pPr>
            <w:r>
              <w:rPr>
                <w:rFonts w:ascii="Arial" w:cs="Arial" w:eastAsia="Arial" w:hAnsi="Arial"/>
                <w:sz w:val="14"/>
                <w:szCs w:val="14"/>
                <w:color w:val="auto"/>
              </w:rPr>
              <w:t>318,757</w:t>
            </w:r>
          </w:p>
        </w:tc>
        <w:tc>
          <w:tcPr>
            <w:tcW w:w="1360" w:type="dxa"/>
            <w:vAlign w:val="bottom"/>
            <w:tcBorders>
              <w:bottom w:val="single" w:sz="8" w:color="00000A"/>
              <w:right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1,918,958</w:t>
            </w:r>
          </w:p>
        </w:tc>
        <w:tc>
          <w:tcPr>
            <w:tcW w:w="0" w:type="dxa"/>
            <w:vAlign w:val="bottom"/>
          </w:tcPr>
          <w:p>
            <w:pPr>
              <w:spacing w:after="0"/>
              <w:rPr>
                <w:sz w:val="1"/>
                <w:szCs w:val="1"/>
                <w:color w:val="auto"/>
              </w:rPr>
            </w:pPr>
          </w:p>
        </w:tc>
      </w:tr>
      <w:tr>
        <w:trPr>
          <w:trHeight w:val="186"/>
        </w:trPr>
        <w:tc>
          <w:tcPr>
            <w:tcW w:w="420" w:type="dxa"/>
            <w:vAlign w:val="bottom"/>
            <w:tcBorders>
              <w:bottom w:val="single" w:sz="8" w:color="auto"/>
              <w:right w:val="single" w:sz="8" w:color="00000A"/>
            </w:tcBorders>
          </w:tcPr>
          <w:p>
            <w:pPr>
              <w:jc w:val="right"/>
              <w:ind w:right="93"/>
              <w:spacing w:after="0"/>
              <w:rPr>
                <w:sz w:val="20"/>
                <w:szCs w:val="20"/>
                <w:color w:val="auto"/>
              </w:rPr>
            </w:pPr>
            <w:r>
              <w:rPr>
                <w:rFonts w:ascii="Arial" w:cs="Arial" w:eastAsia="Arial" w:hAnsi="Arial"/>
                <w:sz w:val="14"/>
                <w:szCs w:val="14"/>
                <w:color w:val="auto"/>
              </w:rPr>
              <w:t>021</w:t>
            </w:r>
          </w:p>
        </w:tc>
        <w:tc>
          <w:tcPr>
            <w:tcW w:w="20" w:type="dxa"/>
            <w:vAlign w:val="bottom"/>
            <w:tcBorders>
              <w:bottom w:val="single" w:sz="8" w:color="auto"/>
            </w:tcBorders>
          </w:tcPr>
          <w:p>
            <w:pPr>
              <w:spacing w:after="0"/>
              <w:rPr>
                <w:sz w:val="16"/>
                <w:szCs w:val="16"/>
                <w:color w:val="auto"/>
              </w:rPr>
            </w:pPr>
          </w:p>
        </w:tc>
        <w:tc>
          <w:tcPr>
            <w:tcW w:w="1300" w:type="dxa"/>
            <w:vAlign w:val="bottom"/>
            <w:tcBorders>
              <w:bottom w:val="single" w:sz="8" w:color="00000A"/>
              <w:right w:val="single" w:sz="8" w:color="auto"/>
            </w:tcBorders>
          </w:tcPr>
          <w:p>
            <w:pPr>
              <w:jc w:val="right"/>
              <w:ind w:right="17"/>
              <w:spacing w:after="0"/>
              <w:rPr>
                <w:sz w:val="20"/>
                <w:szCs w:val="20"/>
                <w:color w:val="auto"/>
              </w:rPr>
            </w:pPr>
            <w:r>
              <w:rPr>
                <w:rFonts w:ascii="Arial" w:cs="Arial" w:eastAsia="Arial" w:hAnsi="Arial"/>
                <w:sz w:val="14"/>
                <w:szCs w:val="14"/>
                <w:color w:val="auto"/>
              </w:rPr>
              <w:t>3,661,366</w:t>
            </w:r>
          </w:p>
        </w:tc>
        <w:tc>
          <w:tcPr>
            <w:tcW w:w="134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4"/>
                <w:szCs w:val="14"/>
                <w:color w:val="auto"/>
              </w:rPr>
              <w:t>3,978,785</w:t>
            </w:r>
          </w:p>
        </w:tc>
        <w:tc>
          <w:tcPr>
            <w:tcW w:w="1320" w:type="dxa"/>
            <w:vAlign w:val="bottom"/>
            <w:tcBorders>
              <w:bottom w:val="single" w:sz="8" w:color="00000A"/>
              <w:right w:val="single" w:sz="8" w:color="auto"/>
            </w:tcBorders>
          </w:tcPr>
          <w:p>
            <w:pPr>
              <w:jc w:val="right"/>
              <w:ind w:right="16"/>
              <w:spacing w:after="0"/>
              <w:rPr>
                <w:sz w:val="20"/>
                <w:szCs w:val="20"/>
                <w:color w:val="auto"/>
              </w:rPr>
            </w:pPr>
            <w:r>
              <w:rPr>
                <w:rFonts w:ascii="Arial" w:cs="Arial" w:eastAsia="Arial" w:hAnsi="Arial"/>
                <w:sz w:val="14"/>
                <w:szCs w:val="14"/>
                <w:color w:val="auto"/>
              </w:rPr>
              <w:t>1,421,813</w:t>
            </w:r>
          </w:p>
        </w:tc>
        <w:tc>
          <w:tcPr>
            <w:tcW w:w="132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4"/>
                <w:szCs w:val="14"/>
                <w:color w:val="auto"/>
              </w:rPr>
              <w:t>1,523,590</w:t>
            </w:r>
          </w:p>
        </w:tc>
        <w:tc>
          <w:tcPr>
            <w:tcW w:w="1340" w:type="dxa"/>
            <w:vAlign w:val="bottom"/>
            <w:tcBorders>
              <w:bottom w:val="single" w:sz="8" w:color="00000A"/>
              <w:right w:val="single" w:sz="8" w:color="00000A"/>
            </w:tcBorders>
          </w:tcPr>
          <w:p>
            <w:pPr>
              <w:jc w:val="right"/>
              <w:ind w:right="35"/>
              <w:spacing w:after="0"/>
              <w:rPr>
                <w:sz w:val="20"/>
                <w:szCs w:val="20"/>
                <w:color w:val="auto"/>
              </w:rPr>
            </w:pPr>
            <w:r>
              <w:rPr>
                <w:rFonts w:ascii="Arial" w:cs="Arial" w:eastAsia="Arial" w:hAnsi="Arial"/>
                <w:sz w:val="14"/>
                <w:szCs w:val="14"/>
                <w:color w:val="auto"/>
              </w:rPr>
              <w:t>124.16</w:t>
            </w:r>
          </w:p>
        </w:tc>
        <w:tc>
          <w:tcPr>
            <w:tcW w:w="80" w:type="dxa"/>
            <w:vAlign w:val="bottom"/>
            <w:tcBorders>
              <w:bottom w:val="single" w:sz="8" w:color="00000A"/>
            </w:tcBorders>
          </w:tcPr>
          <w:p>
            <w:pPr>
              <w:spacing w:after="0"/>
              <w:rPr>
                <w:sz w:val="16"/>
                <w:szCs w:val="16"/>
                <w:color w:val="auto"/>
              </w:rPr>
            </w:pPr>
          </w:p>
        </w:tc>
        <w:tc>
          <w:tcPr>
            <w:tcW w:w="1240" w:type="dxa"/>
            <w:vAlign w:val="bottom"/>
            <w:tcBorders>
              <w:bottom w:val="single" w:sz="8" w:color="00000A"/>
              <w:right w:val="single" w:sz="8" w:color="00000A"/>
            </w:tcBorders>
          </w:tcPr>
          <w:p>
            <w:pPr>
              <w:jc w:val="right"/>
              <w:ind w:right="15"/>
              <w:spacing w:after="0"/>
              <w:rPr>
                <w:sz w:val="20"/>
                <w:szCs w:val="20"/>
                <w:color w:val="auto"/>
              </w:rPr>
            </w:pPr>
            <w:r>
              <w:rPr>
                <w:rFonts w:ascii="Arial" w:cs="Arial" w:eastAsia="Arial" w:hAnsi="Arial"/>
                <w:sz w:val="14"/>
                <w:szCs w:val="14"/>
                <w:color w:val="auto"/>
              </w:rPr>
              <w:t>433.35</w:t>
            </w:r>
          </w:p>
        </w:tc>
        <w:tc>
          <w:tcPr>
            <w:tcW w:w="1320" w:type="dxa"/>
            <w:vAlign w:val="bottom"/>
            <w:tcBorders>
              <w:bottom w:val="single" w:sz="8" w:color="00000A"/>
              <w:right w:val="single" w:sz="8" w:color="00000A"/>
            </w:tcBorders>
          </w:tcPr>
          <w:p>
            <w:pPr>
              <w:jc w:val="right"/>
              <w:ind w:right="15"/>
              <w:spacing w:after="0"/>
              <w:rPr>
                <w:sz w:val="20"/>
                <w:szCs w:val="20"/>
                <w:color w:val="auto"/>
              </w:rPr>
            </w:pPr>
            <w:r>
              <w:rPr>
                <w:rFonts w:ascii="Arial" w:cs="Arial" w:eastAsia="Arial" w:hAnsi="Arial"/>
                <w:sz w:val="14"/>
                <w:szCs w:val="14"/>
                <w:color w:val="auto"/>
              </w:rPr>
              <w:t>360,797</w:t>
            </w:r>
          </w:p>
        </w:tc>
        <w:tc>
          <w:tcPr>
            <w:tcW w:w="1360" w:type="dxa"/>
            <w:vAlign w:val="bottom"/>
            <w:tcBorders>
              <w:bottom w:val="single" w:sz="8" w:color="00000A"/>
              <w:right w:val="single" w:sz="8" w:color="auto"/>
            </w:tcBorders>
          </w:tcPr>
          <w:p>
            <w:pPr>
              <w:jc w:val="right"/>
              <w:ind w:right="36"/>
              <w:spacing w:after="0"/>
              <w:rPr>
                <w:sz w:val="20"/>
                <w:szCs w:val="20"/>
                <w:color w:val="auto"/>
              </w:rPr>
            </w:pPr>
            <w:r>
              <w:rPr>
                <w:rFonts w:ascii="Arial" w:cs="Arial" w:eastAsia="Arial" w:hAnsi="Arial"/>
                <w:sz w:val="14"/>
                <w:szCs w:val="14"/>
                <w:color w:val="auto"/>
              </w:rPr>
              <w:t>1,731,170</w:t>
            </w:r>
          </w:p>
        </w:tc>
        <w:tc>
          <w:tcPr>
            <w:tcW w:w="0" w:type="dxa"/>
            <w:vAlign w:val="bottom"/>
          </w:tcPr>
          <w:p>
            <w:pPr>
              <w:spacing w:after="0"/>
              <w:rPr>
                <w:sz w:val="1"/>
                <w:szCs w:val="1"/>
                <w:color w:val="auto"/>
              </w:rPr>
            </w:pPr>
          </w:p>
        </w:tc>
      </w:tr>
      <w:tr>
        <w:trPr>
          <w:trHeight w:val="186"/>
        </w:trPr>
        <w:tc>
          <w:tcPr>
            <w:tcW w:w="420" w:type="dxa"/>
            <w:vAlign w:val="bottom"/>
            <w:tcBorders>
              <w:bottom w:val="single" w:sz="8" w:color="00000A"/>
              <w:right w:val="single" w:sz="8" w:color="00000A"/>
            </w:tcBorders>
            <w:shd w:val="clear" w:color="auto" w:fill="CCEEFF"/>
          </w:tcPr>
          <w:p>
            <w:pPr>
              <w:jc w:val="right"/>
              <w:ind w:right="93"/>
              <w:spacing w:after="0"/>
              <w:rPr>
                <w:sz w:val="20"/>
                <w:szCs w:val="20"/>
                <w:color w:val="auto"/>
              </w:rPr>
            </w:pPr>
            <w:r>
              <w:rPr>
                <w:rFonts w:ascii="Arial" w:cs="Arial" w:eastAsia="Arial" w:hAnsi="Arial"/>
                <w:sz w:val="14"/>
                <w:szCs w:val="14"/>
                <w:color w:val="auto"/>
              </w:rPr>
              <w:t>020</w:t>
            </w:r>
          </w:p>
        </w:tc>
        <w:tc>
          <w:tcPr>
            <w:tcW w:w="1320" w:type="dxa"/>
            <w:vAlign w:val="bottom"/>
            <w:tcBorders>
              <w:bottom w:val="single" w:sz="8" w:color="00000A"/>
              <w:right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3,537,446</w:t>
            </w:r>
          </w:p>
        </w:tc>
        <w:tc>
          <w:tcPr>
            <w:tcW w:w="134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5,159,285</w:t>
            </w:r>
          </w:p>
        </w:tc>
        <w:tc>
          <w:tcPr>
            <w:tcW w:w="132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color w:val="auto"/>
              </w:rPr>
              <w:t>1,314,773</w:t>
            </w:r>
          </w:p>
        </w:tc>
        <w:tc>
          <w:tcPr>
            <w:tcW w:w="132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1,811,197</w:t>
            </w:r>
          </w:p>
        </w:tc>
        <w:tc>
          <w:tcPr>
            <w:tcW w:w="1340" w:type="dxa"/>
            <w:vAlign w:val="bottom"/>
            <w:tcBorders>
              <w:bottom w:val="single" w:sz="8" w:color="auto"/>
              <w:right w:val="single" w:sz="8" w:color="00000A"/>
            </w:tcBorders>
            <w:shd w:val="clear" w:color="auto" w:fill="CCEEFF"/>
          </w:tcPr>
          <w:p>
            <w:pPr>
              <w:jc w:val="right"/>
              <w:ind w:right="35"/>
              <w:spacing w:after="0"/>
              <w:rPr>
                <w:sz w:val="20"/>
                <w:szCs w:val="20"/>
                <w:color w:val="auto"/>
              </w:rPr>
            </w:pPr>
            <w:r>
              <w:rPr>
                <w:rFonts w:ascii="Arial" w:cs="Arial" w:eastAsia="Arial" w:hAnsi="Arial"/>
                <w:sz w:val="14"/>
                <w:szCs w:val="14"/>
                <w:color w:val="auto"/>
              </w:rPr>
              <w:t>119.23</w:t>
            </w:r>
          </w:p>
        </w:tc>
        <w:tc>
          <w:tcPr>
            <w:tcW w:w="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right w:val="single" w:sz="8" w:color="00000A"/>
            </w:tcBorders>
            <w:shd w:val="clear" w:color="auto" w:fill="CCEEFF"/>
          </w:tcPr>
          <w:p>
            <w:pPr>
              <w:jc w:val="right"/>
              <w:ind w:right="15"/>
              <w:spacing w:after="0"/>
              <w:rPr>
                <w:sz w:val="20"/>
                <w:szCs w:val="20"/>
                <w:color w:val="auto"/>
              </w:rPr>
            </w:pPr>
            <w:r>
              <w:rPr>
                <w:rFonts w:ascii="Arial" w:cs="Arial" w:eastAsia="Arial" w:hAnsi="Arial"/>
                <w:sz w:val="14"/>
                <w:szCs w:val="14"/>
                <w:color w:val="auto"/>
              </w:rPr>
              <w:t>291.17</w:t>
            </w:r>
          </w:p>
        </w:tc>
        <w:tc>
          <w:tcPr>
            <w:tcW w:w="1320" w:type="dxa"/>
            <w:vAlign w:val="bottom"/>
            <w:tcBorders>
              <w:bottom w:val="single" w:sz="8" w:color="auto"/>
              <w:right w:val="single" w:sz="8" w:color="00000A"/>
            </w:tcBorders>
            <w:shd w:val="clear" w:color="auto" w:fill="CCEEFF"/>
          </w:tcPr>
          <w:p>
            <w:pPr>
              <w:jc w:val="right"/>
              <w:ind w:right="15"/>
              <w:spacing w:after="0"/>
              <w:rPr>
                <w:sz w:val="20"/>
                <w:szCs w:val="20"/>
                <w:color w:val="auto"/>
              </w:rPr>
            </w:pPr>
            <w:r>
              <w:rPr>
                <w:rFonts w:ascii="Arial" w:cs="Arial" w:eastAsia="Arial" w:hAnsi="Arial"/>
                <w:sz w:val="14"/>
                <w:szCs w:val="14"/>
                <w:color w:val="auto"/>
              </w:rPr>
              <w:t>347,564</w:t>
            </w:r>
          </w:p>
        </w:tc>
        <w:tc>
          <w:tcPr>
            <w:tcW w:w="1360" w:type="dxa"/>
            <w:vAlign w:val="bottom"/>
            <w:tcBorders>
              <w:bottom w:val="single" w:sz="8" w:color="00000A"/>
              <w:right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1,688,189</w:t>
            </w:r>
          </w:p>
        </w:tc>
        <w:tc>
          <w:tcPr>
            <w:tcW w:w="0" w:type="dxa"/>
            <w:vAlign w:val="bottom"/>
          </w:tcPr>
          <w:p>
            <w:pPr>
              <w:spacing w:after="0"/>
              <w:rPr>
                <w:sz w:val="1"/>
                <w:szCs w:val="1"/>
                <w:color w:val="auto"/>
              </w:rPr>
            </w:pPr>
          </w:p>
        </w:tc>
      </w:tr>
    </w:tbl>
    <w:p>
      <w:pPr>
        <w:spacing w:after="0" w:line="344" w:lineRule="exact"/>
        <w:rPr>
          <w:sz w:val="20"/>
          <w:szCs w:val="20"/>
          <w:color w:val="auto"/>
        </w:rPr>
      </w:pPr>
    </w:p>
    <w:p>
      <w:pPr>
        <w:ind w:left="720" w:right="20" w:hanging="600"/>
        <w:spacing w:after="0" w:line="242" w:lineRule="auto"/>
        <w:tabs>
          <w:tab w:leader="none" w:pos="7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Amounts represent compensation reported in the Summary Compensation Table for our CEO, Steve Downing, for the respective years shown.</w:t>
      </w:r>
    </w:p>
    <w:p>
      <w:pPr>
        <w:spacing w:after="0" w:line="4" w:lineRule="exact"/>
        <w:rPr>
          <w:rFonts w:ascii="Arial" w:cs="Arial" w:eastAsia="Arial" w:hAnsi="Arial"/>
          <w:sz w:val="17"/>
          <w:szCs w:val="17"/>
          <w:color w:val="auto"/>
        </w:rPr>
      </w:pPr>
    </w:p>
    <w:p>
      <w:pPr>
        <w:jc w:val="both"/>
        <w:ind w:left="720" w:right="20" w:hanging="600"/>
        <w:spacing w:after="0"/>
        <w:tabs>
          <w:tab w:leader="none" w:pos="7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Compensation Actually Paid ("CAP") amounts include total compensation per the Summary Compensation Table, adjusted as set forth in the table below, as determined in accordance with applicable SEC rules. For awards with dividend rights, these amounts are paid in Company shares once the underlying award vests, and are incorporated as applicable in the table below. The dollar amounts reflected in the table above do not reflect the actual amount of compensation earned by or paid to our CEO during the applicable year. For information regarding the decisions made by our Compensation Committee and the Board in regards to the CEO's compensation for each fiscal year, please see the Compensation Discussion and Analysis section of the Proxy Statements reporting pay for the fiscal years covered in the table above.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220" w:top="739" w:right="339" w:bottom="1440" w:gutter="0" w:footer="0" w:header="0"/>
        </w:sectPr>
      </w:pPr>
    </w:p>
    <w:bookmarkStart w:id="42" w:name="page43"/>
    <w:bookmarkEnd w:id="42"/>
    <w:tbl>
      <w:tblPr>
        <w:tblLayout w:type="fixed"/>
        <w:tblInd w:w="10" w:type="dxa"/>
        <w:tblCellMar>
          <w:top w:w="0" w:type="dxa"/>
          <w:left w:w="0" w:type="dxa"/>
          <w:bottom w:w="0" w:type="dxa"/>
          <w:right w:w="0" w:type="dxa"/>
        </w:tblCellMar>
      </w:tblPr>
      <w:tr>
        <w:trPr>
          <w:trHeight w:val="179"/>
        </w:trPr>
        <w:tc>
          <w:tcPr>
            <w:tcW w:w="1580" w:type="dxa"/>
            <w:vAlign w:val="bottom"/>
            <w:tcBorders>
              <w:top w:val="single" w:sz="8" w:color="auto"/>
              <w:left w:val="single" w:sz="8" w:color="auto"/>
              <w:right w:val="single" w:sz="8" w:color="auto"/>
            </w:tcBorders>
          </w:tcPr>
          <w:p>
            <w:pPr>
              <w:spacing w:after="0"/>
              <w:rPr>
                <w:sz w:val="15"/>
                <w:szCs w:val="15"/>
                <w:color w:val="auto"/>
              </w:rPr>
            </w:pPr>
          </w:p>
        </w:tc>
        <w:tc>
          <w:tcPr>
            <w:tcW w:w="1940" w:type="dxa"/>
            <w:vAlign w:val="bottom"/>
            <w:tcBorders>
              <w:top w:val="single" w:sz="8" w:color="auto"/>
              <w:bottom w:val="single" w:sz="8" w:color="auto"/>
              <w:right w:val="single" w:sz="8" w:color="auto"/>
            </w:tcBorders>
            <w:gridSpan w:val="2"/>
          </w:tcPr>
          <w:p>
            <w:pPr>
              <w:jc w:val="right"/>
              <w:ind w:right="793"/>
              <w:spacing w:after="0"/>
              <w:rPr>
                <w:sz w:val="20"/>
                <w:szCs w:val="20"/>
                <w:color w:val="auto"/>
              </w:rPr>
            </w:pPr>
            <w:r>
              <w:rPr>
                <w:rFonts w:ascii="Arial" w:cs="Arial" w:eastAsia="Arial" w:hAnsi="Arial"/>
                <w:sz w:val="12"/>
                <w:szCs w:val="12"/>
                <w:b w:val="1"/>
                <w:bCs w:val="1"/>
                <w:color w:val="auto"/>
              </w:rPr>
              <w:t>2024</w:t>
            </w:r>
          </w:p>
        </w:tc>
        <w:tc>
          <w:tcPr>
            <w:tcW w:w="1920" w:type="dxa"/>
            <w:vAlign w:val="bottom"/>
            <w:tcBorders>
              <w:top w:val="single" w:sz="8" w:color="auto"/>
              <w:bottom w:val="single" w:sz="8" w:color="auto"/>
              <w:right w:val="single" w:sz="8" w:color="auto"/>
            </w:tcBorders>
            <w:gridSpan w:val="2"/>
          </w:tcPr>
          <w:p>
            <w:pPr>
              <w:jc w:val="right"/>
              <w:ind w:right="773"/>
              <w:spacing w:after="0"/>
              <w:rPr>
                <w:sz w:val="20"/>
                <w:szCs w:val="20"/>
                <w:color w:val="auto"/>
              </w:rPr>
            </w:pPr>
            <w:r>
              <w:rPr>
                <w:rFonts w:ascii="Arial" w:cs="Arial" w:eastAsia="Arial" w:hAnsi="Arial"/>
                <w:sz w:val="12"/>
                <w:szCs w:val="12"/>
                <w:b w:val="1"/>
                <w:bCs w:val="1"/>
                <w:color w:val="auto"/>
              </w:rPr>
              <w:t>2023</w:t>
            </w:r>
          </w:p>
        </w:tc>
        <w:tc>
          <w:tcPr>
            <w:tcW w:w="1940" w:type="dxa"/>
            <w:vAlign w:val="bottom"/>
            <w:tcBorders>
              <w:top w:val="single" w:sz="8" w:color="auto"/>
              <w:bottom w:val="single" w:sz="8" w:color="auto"/>
              <w:right w:val="single" w:sz="8" w:color="auto"/>
            </w:tcBorders>
            <w:gridSpan w:val="2"/>
          </w:tcPr>
          <w:p>
            <w:pPr>
              <w:jc w:val="right"/>
              <w:ind w:right="773"/>
              <w:spacing w:after="0"/>
              <w:rPr>
                <w:sz w:val="20"/>
                <w:szCs w:val="20"/>
                <w:color w:val="auto"/>
              </w:rPr>
            </w:pPr>
            <w:r>
              <w:rPr>
                <w:rFonts w:ascii="Arial" w:cs="Arial" w:eastAsia="Arial" w:hAnsi="Arial"/>
                <w:sz w:val="12"/>
                <w:szCs w:val="12"/>
                <w:b w:val="1"/>
                <w:bCs w:val="1"/>
                <w:color w:val="auto"/>
              </w:rPr>
              <w:t>2022</w:t>
            </w:r>
          </w:p>
        </w:tc>
        <w:tc>
          <w:tcPr>
            <w:tcW w:w="1920" w:type="dxa"/>
            <w:vAlign w:val="bottom"/>
            <w:tcBorders>
              <w:top w:val="single" w:sz="8" w:color="auto"/>
              <w:bottom w:val="single" w:sz="8" w:color="auto"/>
              <w:right w:val="single" w:sz="8" w:color="auto"/>
            </w:tcBorders>
            <w:gridSpan w:val="2"/>
          </w:tcPr>
          <w:p>
            <w:pPr>
              <w:jc w:val="right"/>
              <w:ind w:right="773"/>
              <w:spacing w:after="0"/>
              <w:rPr>
                <w:sz w:val="20"/>
                <w:szCs w:val="20"/>
                <w:color w:val="auto"/>
              </w:rPr>
            </w:pPr>
            <w:r>
              <w:rPr>
                <w:rFonts w:ascii="Arial" w:cs="Arial" w:eastAsia="Arial" w:hAnsi="Arial"/>
                <w:sz w:val="12"/>
                <w:szCs w:val="12"/>
                <w:b w:val="1"/>
                <w:bCs w:val="1"/>
                <w:color w:val="auto"/>
              </w:rPr>
              <w:t>2021</w:t>
            </w:r>
          </w:p>
        </w:tc>
        <w:tc>
          <w:tcPr>
            <w:tcW w:w="1940" w:type="dxa"/>
            <w:vAlign w:val="bottom"/>
            <w:tcBorders>
              <w:top w:val="single" w:sz="8" w:color="auto"/>
              <w:bottom w:val="single" w:sz="8" w:color="auto"/>
              <w:right w:val="single" w:sz="8" w:color="auto"/>
            </w:tcBorders>
            <w:gridSpan w:val="2"/>
          </w:tcPr>
          <w:p>
            <w:pPr>
              <w:jc w:val="right"/>
              <w:ind w:right="773"/>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10"/>
        </w:trPr>
        <w:tc>
          <w:tcPr>
            <w:tcW w:w="158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auto"/>
            </w:tcBorders>
            <w:vMerge w:val="restart"/>
          </w:tcPr>
          <w:p>
            <w:pPr>
              <w:jc w:val="right"/>
              <w:ind w:right="293"/>
              <w:spacing w:after="0"/>
              <w:rPr>
                <w:sz w:val="20"/>
                <w:szCs w:val="20"/>
                <w:color w:val="auto"/>
              </w:rPr>
            </w:pPr>
            <w:r>
              <w:rPr>
                <w:rFonts w:ascii="Arial" w:cs="Arial" w:eastAsia="Arial" w:hAnsi="Arial"/>
                <w:sz w:val="12"/>
                <w:szCs w:val="12"/>
                <w:b w:val="1"/>
                <w:bCs w:val="1"/>
                <w:color w:val="auto"/>
              </w:rPr>
              <w:t>PEO</w:t>
            </w:r>
          </w:p>
        </w:tc>
        <w:tc>
          <w:tcPr>
            <w:tcW w:w="980" w:type="dxa"/>
            <w:vAlign w:val="bottom"/>
            <w:tcBorders>
              <w:right w:val="single" w:sz="8" w:color="auto"/>
            </w:tcBorders>
          </w:tcPr>
          <w:p>
            <w:pPr>
              <w:jc w:val="right"/>
              <w:ind w:right="113"/>
              <w:spacing w:after="0" w:line="110" w:lineRule="exact"/>
              <w:rPr>
                <w:sz w:val="20"/>
                <w:szCs w:val="20"/>
                <w:color w:val="auto"/>
              </w:rPr>
            </w:pPr>
            <w:r>
              <w:rPr>
                <w:rFonts w:ascii="Arial" w:cs="Arial" w:eastAsia="Arial" w:hAnsi="Arial"/>
                <w:sz w:val="12"/>
                <w:szCs w:val="12"/>
                <w:b w:val="1"/>
                <w:bCs w:val="1"/>
                <w:color w:val="auto"/>
              </w:rPr>
              <w:t>Average for</w:t>
            </w:r>
          </w:p>
        </w:tc>
        <w:tc>
          <w:tcPr>
            <w:tcW w:w="960" w:type="dxa"/>
            <w:vAlign w:val="bottom"/>
            <w:tcBorders>
              <w:right w:val="single" w:sz="8" w:color="auto"/>
            </w:tcBorders>
            <w:vMerge w:val="restart"/>
          </w:tcPr>
          <w:p>
            <w:pPr>
              <w:jc w:val="right"/>
              <w:ind w:right="313"/>
              <w:spacing w:after="0"/>
              <w:rPr>
                <w:sz w:val="20"/>
                <w:szCs w:val="20"/>
                <w:color w:val="auto"/>
              </w:rPr>
            </w:pPr>
            <w:r>
              <w:rPr>
                <w:rFonts w:ascii="Arial" w:cs="Arial" w:eastAsia="Arial" w:hAnsi="Arial"/>
                <w:sz w:val="12"/>
                <w:szCs w:val="12"/>
                <w:b w:val="1"/>
                <w:bCs w:val="1"/>
                <w:color w:val="auto"/>
              </w:rPr>
              <w:t>PEO</w:t>
            </w:r>
          </w:p>
        </w:tc>
        <w:tc>
          <w:tcPr>
            <w:tcW w:w="960" w:type="dxa"/>
            <w:vAlign w:val="bottom"/>
            <w:tcBorders>
              <w:right w:val="single" w:sz="8" w:color="auto"/>
            </w:tcBorders>
          </w:tcPr>
          <w:p>
            <w:pPr>
              <w:jc w:val="right"/>
              <w:ind w:right="93"/>
              <w:spacing w:after="0" w:line="110" w:lineRule="exact"/>
              <w:rPr>
                <w:sz w:val="20"/>
                <w:szCs w:val="20"/>
                <w:color w:val="auto"/>
              </w:rPr>
            </w:pPr>
            <w:r>
              <w:rPr>
                <w:rFonts w:ascii="Arial" w:cs="Arial" w:eastAsia="Arial" w:hAnsi="Arial"/>
                <w:sz w:val="12"/>
                <w:szCs w:val="12"/>
                <w:b w:val="1"/>
                <w:bCs w:val="1"/>
                <w:color w:val="auto"/>
              </w:rPr>
              <w:t>Average for</w:t>
            </w:r>
          </w:p>
        </w:tc>
        <w:tc>
          <w:tcPr>
            <w:tcW w:w="980" w:type="dxa"/>
            <w:vAlign w:val="bottom"/>
            <w:tcBorders>
              <w:right w:val="single" w:sz="8" w:color="auto"/>
            </w:tcBorders>
            <w:vMerge w:val="restart"/>
          </w:tcPr>
          <w:p>
            <w:pPr>
              <w:jc w:val="right"/>
              <w:ind w:right="313"/>
              <w:spacing w:after="0"/>
              <w:rPr>
                <w:sz w:val="20"/>
                <w:szCs w:val="20"/>
                <w:color w:val="auto"/>
              </w:rPr>
            </w:pPr>
            <w:r>
              <w:rPr>
                <w:rFonts w:ascii="Arial" w:cs="Arial" w:eastAsia="Arial" w:hAnsi="Arial"/>
                <w:sz w:val="12"/>
                <w:szCs w:val="12"/>
                <w:b w:val="1"/>
                <w:bCs w:val="1"/>
                <w:color w:val="auto"/>
              </w:rPr>
              <w:t>PEO</w:t>
            </w:r>
          </w:p>
        </w:tc>
        <w:tc>
          <w:tcPr>
            <w:tcW w:w="960" w:type="dxa"/>
            <w:vAlign w:val="bottom"/>
            <w:tcBorders>
              <w:right w:val="single" w:sz="8" w:color="auto"/>
            </w:tcBorders>
          </w:tcPr>
          <w:p>
            <w:pPr>
              <w:jc w:val="right"/>
              <w:ind w:right="93"/>
              <w:spacing w:after="0" w:line="110" w:lineRule="exact"/>
              <w:rPr>
                <w:sz w:val="20"/>
                <w:szCs w:val="20"/>
                <w:color w:val="auto"/>
              </w:rPr>
            </w:pPr>
            <w:r>
              <w:rPr>
                <w:rFonts w:ascii="Arial" w:cs="Arial" w:eastAsia="Arial" w:hAnsi="Arial"/>
                <w:sz w:val="12"/>
                <w:szCs w:val="12"/>
                <w:b w:val="1"/>
                <w:bCs w:val="1"/>
                <w:color w:val="auto"/>
              </w:rPr>
              <w:t>Average for</w:t>
            </w:r>
          </w:p>
        </w:tc>
        <w:tc>
          <w:tcPr>
            <w:tcW w:w="960" w:type="dxa"/>
            <w:vAlign w:val="bottom"/>
            <w:tcBorders>
              <w:right w:val="single" w:sz="8" w:color="auto"/>
            </w:tcBorders>
            <w:vMerge w:val="restart"/>
          </w:tcPr>
          <w:p>
            <w:pPr>
              <w:jc w:val="right"/>
              <w:ind w:right="293"/>
              <w:spacing w:after="0"/>
              <w:rPr>
                <w:sz w:val="20"/>
                <w:szCs w:val="20"/>
                <w:color w:val="auto"/>
              </w:rPr>
            </w:pPr>
            <w:r>
              <w:rPr>
                <w:rFonts w:ascii="Arial" w:cs="Arial" w:eastAsia="Arial" w:hAnsi="Arial"/>
                <w:sz w:val="12"/>
                <w:szCs w:val="12"/>
                <w:b w:val="1"/>
                <w:bCs w:val="1"/>
                <w:color w:val="auto"/>
              </w:rPr>
              <w:t>PEO</w:t>
            </w:r>
          </w:p>
        </w:tc>
        <w:tc>
          <w:tcPr>
            <w:tcW w:w="960" w:type="dxa"/>
            <w:vAlign w:val="bottom"/>
            <w:tcBorders>
              <w:right w:val="single" w:sz="8" w:color="auto"/>
            </w:tcBorders>
          </w:tcPr>
          <w:p>
            <w:pPr>
              <w:jc w:val="right"/>
              <w:ind w:right="93"/>
              <w:spacing w:after="0" w:line="110" w:lineRule="exact"/>
              <w:rPr>
                <w:sz w:val="20"/>
                <w:szCs w:val="20"/>
                <w:color w:val="auto"/>
              </w:rPr>
            </w:pPr>
            <w:r>
              <w:rPr>
                <w:rFonts w:ascii="Arial" w:cs="Arial" w:eastAsia="Arial" w:hAnsi="Arial"/>
                <w:sz w:val="12"/>
                <w:szCs w:val="12"/>
                <w:b w:val="1"/>
                <w:bCs w:val="1"/>
                <w:color w:val="auto"/>
              </w:rPr>
              <w:t>Average for</w:t>
            </w:r>
          </w:p>
        </w:tc>
        <w:tc>
          <w:tcPr>
            <w:tcW w:w="980" w:type="dxa"/>
            <w:vAlign w:val="bottom"/>
            <w:tcBorders>
              <w:right w:val="single" w:sz="8" w:color="auto"/>
            </w:tcBorders>
            <w:vMerge w:val="restart"/>
          </w:tcPr>
          <w:p>
            <w:pPr>
              <w:jc w:val="right"/>
              <w:ind w:right="313"/>
              <w:spacing w:after="0"/>
              <w:rPr>
                <w:sz w:val="20"/>
                <w:szCs w:val="20"/>
                <w:color w:val="auto"/>
              </w:rPr>
            </w:pPr>
            <w:r>
              <w:rPr>
                <w:rFonts w:ascii="Arial" w:cs="Arial" w:eastAsia="Arial" w:hAnsi="Arial"/>
                <w:sz w:val="12"/>
                <w:szCs w:val="12"/>
                <w:b w:val="1"/>
                <w:bCs w:val="1"/>
                <w:color w:val="auto"/>
              </w:rPr>
              <w:t>PEO</w:t>
            </w:r>
          </w:p>
        </w:tc>
        <w:tc>
          <w:tcPr>
            <w:tcW w:w="960" w:type="dxa"/>
            <w:vAlign w:val="bottom"/>
            <w:tcBorders>
              <w:right w:val="single" w:sz="8" w:color="auto"/>
            </w:tcBorders>
          </w:tcPr>
          <w:p>
            <w:pPr>
              <w:jc w:val="right"/>
              <w:ind w:right="93"/>
              <w:spacing w:after="0" w:line="110" w:lineRule="exact"/>
              <w:rPr>
                <w:sz w:val="20"/>
                <w:szCs w:val="20"/>
                <w:color w:val="auto"/>
              </w:rPr>
            </w:pPr>
            <w:r>
              <w:rPr>
                <w:rFonts w:ascii="Arial" w:cs="Arial" w:eastAsia="Arial" w:hAnsi="Arial"/>
                <w:sz w:val="12"/>
                <w:szCs w:val="12"/>
                <w:b w:val="1"/>
                <w:bCs w:val="1"/>
                <w:color w:val="auto"/>
              </w:rPr>
              <w:t>Average for</w:t>
            </w:r>
          </w:p>
        </w:tc>
        <w:tc>
          <w:tcPr>
            <w:tcW w:w="0" w:type="dxa"/>
            <w:vAlign w:val="bottom"/>
          </w:tcPr>
          <w:p>
            <w:pPr>
              <w:spacing w:after="0"/>
              <w:rPr>
                <w:sz w:val="1"/>
                <w:szCs w:val="1"/>
                <w:color w:val="auto"/>
              </w:rPr>
            </w:pPr>
          </w:p>
        </w:tc>
      </w:tr>
      <w:tr>
        <w:trPr>
          <w:trHeight w:val="177"/>
        </w:trPr>
        <w:tc>
          <w:tcPr>
            <w:tcW w:w="1580" w:type="dxa"/>
            <w:vAlign w:val="bottom"/>
            <w:tcBorders>
              <w:left w:val="single" w:sz="8" w:color="auto"/>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b w:val="1"/>
                <w:bCs w:val="1"/>
                <w:color w:val="auto"/>
              </w:rPr>
              <w:t>Non-PEO NEOs</w:t>
            </w:r>
          </w:p>
        </w:tc>
        <w:tc>
          <w:tcPr>
            <w:tcW w:w="960" w:type="dxa"/>
            <w:vAlign w:val="bottom"/>
            <w:tcBorders>
              <w:bottom w:val="single" w:sz="8" w:color="auto"/>
              <w:right w:val="single" w:sz="8" w:color="auto"/>
            </w:tcBorders>
            <w:vMerge w:val="continue"/>
          </w:tcPr>
          <w:p>
            <w:pPr>
              <w:spacing w:after="0"/>
              <w:rPr>
                <w:sz w:val="15"/>
                <w:szCs w:val="15"/>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b w:val="1"/>
                <w:bCs w:val="1"/>
                <w:color w:val="auto"/>
              </w:rPr>
              <w:t>Non-PEO NEOs</w:t>
            </w: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b w:val="1"/>
                <w:bCs w:val="1"/>
                <w:color w:val="auto"/>
                <w:w w:val="99"/>
              </w:rPr>
              <w:t>Non-PEO NEOs</w:t>
            </w:r>
          </w:p>
        </w:tc>
        <w:tc>
          <w:tcPr>
            <w:tcW w:w="960" w:type="dxa"/>
            <w:vAlign w:val="bottom"/>
            <w:tcBorders>
              <w:bottom w:val="single" w:sz="8" w:color="auto"/>
              <w:right w:val="single" w:sz="8" w:color="auto"/>
            </w:tcBorders>
            <w:vMerge w:val="continue"/>
          </w:tcPr>
          <w:p>
            <w:pPr>
              <w:spacing w:after="0"/>
              <w:rPr>
                <w:sz w:val="15"/>
                <w:szCs w:val="15"/>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b w:val="1"/>
                <w:bCs w:val="1"/>
                <w:color w:val="auto"/>
              </w:rPr>
              <w:t>Non-PEO NEOs</w:t>
            </w: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b w:val="1"/>
                <w:bCs w:val="1"/>
                <w:color w:val="auto"/>
                <w:w w:val="99"/>
              </w:rPr>
              <w:t>Non-PEO NEOs</w:t>
            </w:r>
          </w:p>
        </w:tc>
        <w:tc>
          <w:tcPr>
            <w:tcW w:w="0" w:type="dxa"/>
            <w:vAlign w:val="bottom"/>
          </w:tcPr>
          <w:p>
            <w:pPr>
              <w:spacing w:after="0"/>
              <w:rPr>
                <w:sz w:val="1"/>
                <w:szCs w:val="1"/>
                <w:color w:val="auto"/>
              </w:rPr>
            </w:pPr>
          </w:p>
        </w:tc>
      </w:tr>
      <w:tr>
        <w:trPr>
          <w:trHeight w:val="144"/>
        </w:trPr>
        <w:tc>
          <w:tcPr>
            <w:tcW w:w="1580" w:type="dxa"/>
            <w:vAlign w:val="bottom"/>
            <w:tcBorders>
              <w:left w:val="single" w:sz="8" w:color="auto"/>
              <w:right w:val="single" w:sz="8" w:color="auto"/>
            </w:tcBorders>
          </w:tcPr>
          <w:p>
            <w:pPr>
              <w:ind w:left="40"/>
              <w:spacing w:after="0" w:line="144" w:lineRule="exact"/>
              <w:rPr>
                <w:sz w:val="20"/>
                <w:szCs w:val="20"/>
                <w:color w:val="auto"/>
              </w:rPr>
            </w:pPr>
            <w:r>
              <w:rPr>
                <w:rFonts w:ascii="Arial" w:cs="Arial" w:eastAsia="Arial" w:hAnsi="Arial"/>
                <w:sz w:val="14"/>
                <w:szCs w:val="14"/>
                <w:color w:val="auto"/>
                <w:w w:val="97"/>
              </w:rPr>
              <w:t>Summary Compensation</w:t>
            </w:r>
          </w:p>
        </w:tc>
        <w:tc>
          <w:tcPr>
            <w:tcW w:w="9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4,780,362</w:t>
            </w:r>
          </w:p>
        </w:tc>
        <w:tc>
          <w:tcPr>
            <w:tcW w:w="98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4"/>
                <w:szCs w:val="14"/>
                <w:color w:val="auto"/>
              </w:rPr>
              <w:t>1,756,723</w:t>
            </w:r>
          </w:p>
        </w:tc>
        <w:tc>
          <w:tcPr>
            <w:tcW w:w="9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7,111,530</w:t>
            </w:r>
          </w:p>
        </w:tc>
        <w:tc>
          <w:tcPr>
            <w:tcW w:w="9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2,810,684</w:t>
            </w:r>
          </w:p>
        </w:tc>
        <w:tc>
          <w:tcPr>
            <w:tcW w:w="98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4"/>
                <w:szCs w:val="14"/>
                <w:color w:val="auto"/>
              </w:rPr>
              <w:t>4,508,367</w:t>
            </w:r>
          </w:p>
        </w:tc>
        <w:tc>
          <w:tcPr>
            <w:tcW w:w="9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1,514,556</w:t>
            </w:r>
          </w:p>
        </w:tc>
        <w:tc>
          <w:tcPr>
            <w:tcW w:w="9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3,661,366</w:t>
            </w:r>
          </w:p>
        </w:tc>
        <w:tc>
          <w:tcPr>
            <w:tcW w:w="9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1,421,813</w:t>
            </w:r>
          </w:p>
        </w:tc>
        <w:tc>
          <w:tcPr>
            <w:tcW w:w="98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4"/>
                <w:szCs w:val="14"/>
                <w:color w:val="auto"/>
              </w:rPr>
              <w:t>3,537,446</w:t>
            </w:r>
          </w:p>
        </w:tc>
        <w:tc>
          <w:tcPr>
            <w:tcW w:w="9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1,314,773</w:t>
            </w:r>
          </w:p>
        </w:tc>
        <w:tc>
          <w:tcPr>
            <w:tcW w:w="0" w:type="dxa"/>
            <w:vAlign w:val="bottom"/>
          </w:tcPr>
          <w:p>
            <w:pPr>
              <w:spacing w:after="0"/>
              <w:rPr>
                <w:sz w:val="1"/>
                <w:szCs w:val="1"/>
                <w:color w:val="auto"/>
              </w:rPr>
            </w:pPr>
          </w:p>
        </w:tc>
      </w:tr>
      <w:tr>
        <w:trPr>
          <w:trHeight w:val="136"/>
        </w:trPr>
        <w:tc>
          <w:tcPr>
            <w:tcW w:w="1580" w:type="dxa"/>
            <w:vAlign w:val="bottom"/>
            <w:tcBorders>
              <w:left w:val="single" w:sz="8" w:color="auto"/>
              <w:right w:val="single" w:sz="8" w:color="auto"/>
            </w:tcBorders>
          </w:tcPr>
          <w:p>
            <w:pPr>
              <w:ind w:left="40"/>
              <w:spacing w:after="0" w:line="137" w:lineRule="exact"/>
              <w:rPr>
                <w:sz w:val="20"/>
                <w:szCs w:val="20"/>
                <w:color w:val="auto"/>
              </w:rPr>
            </w:pPr>
            <w:r>
              <w:rPr>
                <w:rFonts w:ascii="Arial" w:cs="Arial" w:eastAsia="Arial" w:hAnsi="Arial"/>
                <w:sz w:val="14"/>
                <w:szCs w:val="14"/>
                <w:color w:val="auto"/>
              </w:rPr>
              <w:t>Table Total</w:t>
            </w:r>
          </w:p>
        </w:tc>
        <w:tc>
          <w:tcPr>
            <w:tcW w:w="96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Compensation ($)</w:t>
            </w:r>
          </w:p>
        </w:tc>
        <w:tc>
          <w:tcPr>
            <w:tcW w:w="96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580" w:type="dxa"/>
            <w:vAlign w:val="bottom"/>
            <w:tcBorders>
              <w:left w:val="single" w:sz="8" w:color="auto"/>
              <w:right w:val="single" w:sz="8" w:color="auto"/>
            </w:tcBorders>
            <w:shd w:val="clear" w:color="auto" w:fill="CCEEFF"/>
          </w:tcPr>
          <w:p>
            <w:pPr>
              <w:ind w:left="140"/>
              <w:spacing w:after="0" w:line="140" w:lineRule="exact"/>
              <w:rPr>
                <w:sz w:val="20"/>
                <w:szCs w:val="20"/>
                <w:color w:val="auto"/>
              </w:rPr>
            </w:pPr>
            <w:r>
              <w:rPr>
                <w:rFonts w:ascii="Arial" w:cs="Arial" w:eastAsia="Arial" w:hAnsi="Arial"/>
                <w:sz w:val="14"/>
                <w:szCs w:val="14"/>
                <w:color w:val="auto"/>
              </w:rPr>
              <w:t>Less: Stock and</w:t>
            </w:r>
          </w:p>
        </w:tc>
        <w:tc>
          <w:tcPr>
            <w:tcW w:w="960" w:type="dxa"/>
            <w:vAlign w:val="bottom"/>
            <w:tcBorders>
              <w:right w:val="single" w:sz="8" w:color="auto"/>
            </w:tcBorders>
            <w:shd w:val="clear" w:color="auto" w:fill="CCEEFF"/>
          </w:tcPr>
          <w:p>
            <w:pPr>
              <w:spacing w:after="0"/>
              <w:rPr>
                <w:sz w:val="12"/>
                <w:szCs w:val="12"/>
                <w:color w:val="auto"/>
              </w:rPr>
            </w:pPr>
          </w:p>
        </w:tc>
        <w:tc>
          <w:tcPr>
            <w:tcW w:w="98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98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98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80" w:type="dxa"/>
            <w:vAlign w:val="bottom"/>
            <w:tcBorders>
              <w:left w:val="single" w:sz="8" w:color="auto"/>
              <w:right w:val="single" w:sz="8" w:color="auto"/>
            </w:tcBorders>
            <w:shd w:val="clear" w:color="auto" w:fill="CCEEFF"/>
          </w:tcPr>
          <w:p>
            <w:pPr>
              <w:ind w:left="140"/>
              <w:spacing w:after="0" w:line="137" w:lineRule="exact"/>
              <w:rPr>
                <w:sz w:val="20"/>
                <w:szCs w:val="20"/>
                <w:color w:val="auto"/>
              </w:rPr>
            </w:pPr>
            <w:r>
              <w:rPr>
                <w:rFonts w:ascii="Arial" w:cs="Arial" w:eastAsia="Arial" w:hAnsi="Arial"/>
                <w:sz w:val="14"/>
                <w:szCs w:val="14"/>
                <w:color w:val="auto"/>
              </w:rPr>
              <w:t>Option Award Values</w:t>
            </w:r>
          </w:p>
        </w:tc>
        <w:tc>
          <w:tcPr>
            <w:tcW w:w="960" w:type="dxa"/>
            <w:vAlign w:val="bottom"/>
            <w:tcBorders>
              <w:right w:val="single" w:sz="8" w:color="auto"/>
            </w:tcBorders>
            <w:shd w:val="clear" w:color="auto" w:fill="CCEEFF"/>
          </w:tcPr>
          <w:p>
            <w:pPr>
              <w:spacing w:after="0"/>
              <w:rPr>
                <w:sz w:val="11"/>
                <w:szCs w:val="11"/>
                <w:color w:val="auto"/>
              </w:rPr>
            </w:pPr>
          </w:p>
        </w:tc>
        <w:tc>
          <w:tcPr>
            <w:tcW w:w="980" w:type="dxa"/>
            <w:vAlign w:val="bottom"/>
            <w:tcBorders>
              <w:right w:val="single" w:sz="8" w:color="auto"/>
            </w:tcBorders>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spacing w:after="0"/>
              <w:rPr>
                <w:sz w:val="11"/>
                <w:szCs w:val="11"/>
                <w:color w:val="auto"/>
              </w:rPr>
            </w:pPr>
          </w:p>
        </w:tc>
        <w:tc>
          <w:tcPr>
            <w:tcW w:w="980" w:type="dxa"/>
            <w:vAlign w:val="bottom"/>
            <w:tcBorders>
              <w:right w:val="single" w:sz="8" w:color="auto"/>
            </w:tcBorders>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spacing w:after="0"/>
              <w:rPr>
                <w:sz w:val="11"/>
                <w:szCs w:val="11"/>
                <w:color w:val="auto"/>
              </w:rPr>
            </w:pPr>
          </w:p>
        </w:tc>
        <w:tc>
          <w:tcPr>
            <w:tcW w:w="980" w:type="dxa"/>
            <w:vAlign w:val="bottom"/>
            <w:tcBorders>
              <w:right w:val="single" w:sz="8" w:color="auto"/>
            </w:tcBorders>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580" w:type="dxa"/>
            <w:vAlign w:val="bottom"/>
            <w:tcBorders>
              <w:left w:val="single" w:sz="8" w:color="auto"/>
              <w:right w:val="single" w:sz="8" w:color="auto"/>
            </w:tcBorders>
            <w:shd w:val="clear" w:color="auto" w:fill="CCEEFF"/>
          </w:tcPr>
          <w:p>
            <w:pPr>
              <w:ind w:left="140"/>
              <w:spacing w:after="0" w:line="135" w:lineRule="exact"/>
              <w:rPr>
                <w:sz w:val="20"/>
                <w:szCs w:val="20"/>
                <w:color w:val="auto"/>
              </w:rPr>
            </w:pPr>
            <w:r>
              <w:rPr>
                <w:rFonts w:ascii="Arial" w:cs="Arial" w:eastAsia="Arial" w:hAnsi="Arial"/>
                <w:sz w:val="14"/>
                <w:szCs w:val="14"/>
                <w:color w:val="auto"/>
              </w:rPr>
              <w:t>Reported in Summary</w:t>
            </w: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(2,931,383)</w:t>
            </w:r>
          </w:p>
        </w:tc>
        <w:tc>
          <w:tcPr>
            <w:tcW w:w="9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(787,506)</w:t>
            </w: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(4,418,429)</w:t>
            </w: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(1,525,194)</w:t>
            </w:r>
          </w:p>
        </w:tc>
        <w:tc>
          <w:tcPr>
            <w:tcW w:w="9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(2,865,225)</w:t>
            </w: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(696,593)</w:t>
            </w: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(2,132,006)</w:t>
            </w: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(709,037)</w:t>
            </w:r>
          </w:p>
        </w:tc>
        <w:tc>
          <w:tcPr>
            <w:tcW w:w="9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(1,843,293)</w:t>
            </w: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(538,150)</w:t>
            </w:r>
          </w:p>
        </w:tc>
        <w:tc>
          <w:tcPr>
            <w:tcW w:w="0" w:type="dxa"/>
            <w:vAlign w:val="bottom"/>
          </w:tcPr>
          <w:p>
            <w:pPr>
              <w:spacing w:after="0"/>
              <w:rPr>
                <w:sz w:val="1"/>
                <w:szCs w:val="1"/>
                <w:color w:val="auto"/>
              </w:rPr>
            </w:pPr>
          </w:p>
        </w:tc>
      </w:tr>
      <w:tr>
        <w:trPr>
          <w:trHeight w:val="103"/>
        </w:trPr>
        <w:tc>
          <w:tcPr>
            <w:tcW w:w="1580" w:type="dxa"/>
            <w:vAlign w:val="bottom"/>
            <w:tcBorders>
              <w:left w:val="single" w:sz="8" w:color="auto"/>
              <w:right w:val="single" w:sz="8" w:color="auto"/>
            </w:tcBorders>
            <w:vMerge w:val="restart"/>
            <w:shd w:val="clear" w:color="auto" w:fill="CCEEFF"/>
          </w:tcPr>
          <w:p>
            <w:pPr>
              <w:ind w:left="140"/>
              <w:spacing w:after="0" w:line="142" w:lineRule="exact"/>
              <w:rPr>
                <w:sz w:val="20"/>
                <w:szCs w:val="20"/>
                <w:color w:val="auto"/>
              </w:rPr>
            </w:pPr>
            <w:r>
              <w:rPr>
                <w:rFonts w:ascii="Arial" w:cs="Arial" w:eastAsia="Arial" w:hAnsi="Arial"/>
                <w:sz w:val="14"/>
                <w:szCs w:val="14"/>
                <w:color w:val="auto"/>
              </w:rPr>
              <w:t>Compensation Table</w:t>
            </w:r>
          </w:p>
        </w:tc>
        <w:tc>
          <w:tcPr>
            <w:tcW w:w="960" w:type="dxa"/>
            <w:vAlign w:val="bottom"/>
            <w:tcBorders>
              <w:right w:val="single" w:sz="8" w:color="auto"/>
            </w:tcBorders>
            <w:vMerge w:val="continue"/>
            <w:shd w:val="clear" w:color="auto" w:fill="CCEEFF"/>
          </w:tcPr>
          <w:p>
            <w:pPr>
              <w:spacing w:after="0"/>
              <w:rPr>
                <w:sz w:val="8"/>
                <w:szCs w:val="8"/>
                <w:color w:val="auto"/>
              </w:rPr>
            </w:pPr>
          </w:p>
        </w:tc>
        <w:tc>
          <w:tcPr>
            <w:tcW w:w="980" w:type="dxa"/>
            <w:vAlign w:val="bottom"/>
            <w:tcBorders>
              <w:right w:val="single" w:sz="8" w:color="auto"/>
            </w:tcBorders>
            <w:vMerge w:val="continue"/>
            <w:shd w:val="clear" w:color="auto" w:fill="CCEEFF"/>
          </w:tcPr>
          <w:p>
            <w:pPr>
              <w:spacing w:after="0"/>
              <w:rPr>
                <w:sz w:val="8"/>
                <w:szCs w:val="8"/>
                <w:color w:val="auto"/>
              </w:rPr>
            </w:pPr>
          </w:p>
        </w:tc>
        <w:tc>
          <w:tcPr>
            <w:tcW w:w="960" w:type="dxa"/>
            <w:vAlign w:val="bottom"/>
            <w:tcBorders>
              <w:right w:val="single" w:sz="8" w:color="auto"/>
            </w:tcBorders>
            <w:vMerge w:val="continue"/>
            <w:shd w:val="clear" w:color="auto" w:fill="CCEEFF"/>
          </w:tcPr>
          <w:p>
            <w:pPr>
              <w:spacing w:after="0"/>
              <w:rPr>
                <w:sz w:val="8"/>
                <w:szCs w:val="8"/>
                <w:color w:val="auto"/>
              </w:rPr>
            </w:pPr>
          </w:p>
        </w:tc>
        <w:tc>
          <w:tcPr>
            <w:tcW w:w="960" w:type="dxa"/>
            <w:vAlign w:val="bottom"/>
            <w:tcBorders>
              <w:right w:val="single" w:sz="8" w:color="auto"/>
            </w:tcBorders>
            <w:vMerge w:val="continue"/>
            <w:shd w:val="clear" w:color="auto" w:fill="CCEEFF"/>
          </w:tcPr>
          <w:p>
            <w:pPr>
              <w:spacing w:after="0"/>
              <w:rPr>
                <w:sz w:val="8"/>
                <w:szCs w:val="8"/>
                <w:color w:val="auto"/>
              </w:rPr>
            </w:pPr>
          </w:p>
        </w:tc>
        <w:tc>
          <w:tcPr>
            <w:tcW w:w="980" w:type="dxa"/>
            <w:vAlign w:val="bottom"/>
            <w:tcBorders>
              <w:right w:val="single" w:sz="8" w:color="auto"/>
            </w:tcBorders>
            <w:vMerge w:val="continue"/>
            <w:shd w:val="clear" w:color="auto" w:fill="CCEEFF"/>
          </w:tcPr>
          <w:p>
            <w:pPr>
              <w:spacing w:after="0"/>
              <w:rPr>
                <w:sz w:val="8"/>
                <w:szCs w:val="8"/>
                <w:color w:val="auto"/>
              </w:rPr>
            </w:pPr>
          </w:p>
        </w:tc>
        <w:tc>
          <w:tcPr>
            <w:tcW w:w="960" w:type="dxa"/>
            <w:vAlign w:val="bottom"/>
            <w:tcBorders>
              <w:right w:val="single" w:sz="8" w:color="auto"/>
            </w:tcBorders>
            <w:vMerge w:val="continue"/>
            <w:shd w:val="clear" w:color="auto" w:fill="CCEEFF"/>
          </w:tcPr>
          <w:p>
            <w:pPr>
              <w:spacing w:after="0"/>
              <w:rPr>
                <w:sz w:val="8"/>
                <w:szCs w:val="8"/>
                <w:color w:val="auto"/>
              </w:rPr>
            </w:pPr>
          </w:p>
        </w:tc>
        <w:tc>
          <w:tcPr>
            <w:tcW w:w="960" w:type="dxa"/>
            <w:vAlign w:val="bottom"/>
            <w:tcBorders>
              <w:right w:val="single" w:sz="8" w:color="auto"/>
            </w:tcBorders>
            <w:vMerge w:val="continue"/>
            <w:shd w:val="clear" w:color="auto" w:fill="CCEEFF"/>
          </w:tcPr>
          <w:p>
            <w:pPr>
              <w:spacing w:after="0"/>
              <w:rPr>
                <w:sz w:val="8"/>
                <w:szCs w:val="8"/>
                <w:color w:val="auto"/>
              </w:rPr>
            </w:pPr>
          </w:p>
        </w:tc>
        <w:tc>
          <w:tcPr>
            <w:tcW w:w="960" w:type="dxa"/>
            <w:vAlign w:val="bottom"/>
            <w:tcBorders>
              <w:right w:val="single" w:sz="8" w:color="auto"/>
            </w:tcBorders>
            <w:vMerge w:val="continue"/>
            <w:shd w:val="clear" w:color="auto" w:fill="CCEEFF"/>
          </w:tcPr>
          <w:p>
            <w:pPr>
              <w:spacing w:after="0"/>
              <w:rPr>
                <w:sz w:val="8"/>
                <w:szCs w:val="8"/>
                <w:color w:val="auto"/>
              </w:rPr>
            </w:pPr>
          </w:p>
        </w:tc>
        <w:tc>
          <w:tcPr>
            <w:tcW w:w="980" w:type="dxa"/>
            <w:vAlign w:val="bottom"/>
            <w:tcBorders>
              <w:right w:val="single" w:sz="8" w:color="auto"/>
            </w:tcBorders>
            <w:vMerge w:val="continue"/>
            <w:shd w:val="clear" w:color="auto" w:fill="CCEEFF"/>
          </w:tcPr>
          <w:p>
            <w:pPr>
              <w:spacing w:after="0"/>
              <w:rPr>
                <w:sz w:val="8"/>
                <w:szCs w:val="8"/>
                <w:color w:val="auto"/>
              </w:rPr>
            </w:pPr>
          </w:p>
        </w:tc>
        <w:tc>
          <w:tcPr>
            <w:tcW w:w="96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1580" w:type="dxa"/>
            <w:vAlign w:val="bottom"/>
            <w:tcBorders>
              <w:left w:val="single" w:sz="8" w:color="auto"/>
              <w:right w:val="single" w:sz="8" w:color="auto"/>
            </w:tcBorders>
            <w:vMerge w:val="continue"/>
            <w:shd w:val="clear" w:color="auto" w:fill="CCEEFF"/>
          </w:tcPr>
          <w:p>
            <w:pPr>
              <w:spacing w:after="0"/>
              <w:rPr>
                <w:sz w:val="3"/>
                <w:szCs w:val="3"/>
                <w:color w:val="auto"/>
              </w:rPr>
            </w:pPr>
          </w:p>
        </w:tc>
        <w:tc>
          <w:tcPr>
            <w:tcW w:w="960" w:type="dxa"/>
            <w:vAlign w:val="bottom"/>
            <w:tcBorders>
              <w:right w:val="single" w:sz="8" w:color="auto"/>
            </w:tcBorders>
            <w:shd w:val="clear" w:color="auto" w:fill="CCEEFF"/>
          </w:tcPr>
          <w:p>
            <w:pPr>
              <w:spacing w:after="0"/>
              <w:rPr>
                <w:sz w:val="3"/>
                <w:szCs w:val="3"/>
                <w:color w:val="auto"/>
              </w:rPr>
            </w:pPr>
          </w:p>
        </w:tc>
        <w:tc>
          <w:tcPr>
            <w:tcW w:w="980" w:type="dxa"/>
            <w:vAlign w:val="bottom"/>
            <w:tcBorders>
              <w:right w:val="single" w:sz="8" w:color="auto"/>
            </w:tcBorders>
            <w:shd w:val="clear" w:color="auto" w:fill="CCEEFF"/>
          </w:tcPr>
          <w:p>
            <w:pPr>
              <w:spacing w:after="0"/>
              <w:rPr>
                <w:sz w:val="3"/>
                <w:szCs w:val="3"/>
                <w:color w:val="auto"/>
              </w:rPr>
            </w:pPr>
          </w:p>
        </w:tc>
        <w:tc>
          <w:tcPr>
            <w:tcW w:w="960" w:type="dxa"/>
            <w:vAlign w:val="bottom"/>
            <w:tcBorders>
              <w:right w:val="single" w:sz="8" w:color="auto"/>
            </w:tcBorders>
            <w:shd w:val="clear" w:color="auto" w:fill="CCEEFF"/>
          </w:tcPr>
          <w:p>
            <w:pPr>
              <w:spacing w:after="0"/>
              <w:rPr>
                <w:sz w:val="3"/>
                <w:szCs w:val="3"/>
                <w:color w:val="auto"/>
              </w:rPr>
            </w:pPr>
          </w:p>
        </w:tc>
        <w:tc>
          <w:tcPr>
            <w:tcW w:w="960" w:type="dxa"/>
            <w:vAlign w:val="bottom"/>
            <w:tcBorders>
              <w:right w:val="single" w:sz="8" w:color="auto"/>
            </w:tcBorders>
            <w:shd w:val="clear" w:color="auto" w:fill="CCEEFF"/>
          </w:tcPr>
          <w:p>
            <w:pPr>
              <w:spacing w:after="0"/>
              <w:rPr>
                <w:sz w:val="3"/>
                <w:szCs w:val="3"/>
                <w:color w:val="auto"/>
              </w:rPr>
            </w:pPr>
          </w:p>
        </w:tc>
        <w:tc>
          <w:tcPr>
            <w:tcW w:w="980" w:type="dxa"/>
            <w:vAlign w:val="bottom"/>
            <w:tcBorders>
              <w:right w:val="single" w:sz="8" w:color="auto"/>
            </w:tcBorders>
            <w:shd w:val="clear" w:color="auto" w:fill="CCEEFF"/>
          </w:tcPr>
          <w:p>
            <w:pPr>
              <w:spacing w:after="0"/>
              <w:rPr>
                <w:sz w:val="3"/>
                <w:szCs w:val="3"/>
                <w:color w:val="auto"/>
              </w:rPr>
            </w:pPr>
          </w:p>
        </w:tc>
        <w:tc>
          <w:tcPr>
            <w:tcW w:w="960" w:type="dxa"/>
            <w:vAlign w:val="bottom"/>
            <w:tcBorders>
              <w:right w:val="single" w:sz="8" w:color="auto"/>
            </w:tcBorders>
            <w:shd w:val="clear" w:color="auto" w:fill="CCEEFF"/>
          </w:tcPr>
          <w:p>
            <w:pPr>
              <w:spacing w:after="0"/>
              <w:rPr>
                <w:sz w:val="3"/>
                <w:szCs w:val="3"/>
                <w:color w:val="auto"/>
              </w:rPr>
            </w:pPr>
          </w:p>
        </w:tc>
        <w:tc>
          <w:tcPr>
            <w:tcW w:w="960" w:type="dxa"/>
            <w:vAlign w:val="bottom"/>
            <w:tcBorders>
              <w:right w:val="single" w:sz="8" w:color="auto"/>
            </w:tcBorders>
            <w:shd w:val="clear" w:color="auto" w:fill="CCEEFF"/>
          </w:tcPr>
          <w:p>
            <w:pPr>
              <w:spacing w:after="0"/>
              <w:rPr>
                <w:sz w:val="3"/>
                <w:szCs w:val="3"/>
                <w:color w:val="auto"/>
              </w:rPr>
            </w:pPr>
          </w:p>
        </w:tc>
        <w:tc>
          <w:tcPr>
            <w:tcW w:w="960" w:type="dxa"/>
            <w:vAlign w:val="bottom"/>
            <w:tcBorders>
              <w:right w:val="single" w:sz="8" w:color="auto"/>
            </w:tcBorders>
            <w:shd w:val="clear" w:color="auto" w:fill="CCEEFF"/>
          </w:tcPr>
          <w:p>
            <w:pPr>
              <w:spacing w:after="0"/>
              <w:rPr>
                <w:sz w:val="3"/>
                <w:szCs w:val="3"/>
                <w:color w:val="auto"/>
              </w:rPr>
            </w:pPr>
          </w:p>
        </w:tc>
        <w:tc>
          <w:tcPr>
            <w:tcW w:w="980" w:type="dxa"/>
            <w:vAlign w:val="bottom"/>
            <w:tcBorders>
              <w:right w:val="single" w:sz="8" w:color="auto"/>
            </w:tcBorders>
            <w:shd w:val="clear" w:color="auto" w:fill="CCEEFF"/>
          </w:tcPr>
          <w:p>
            <w:pPr>
              <w:spacing w:after="0"/>
              <w:rPr>
                <w:sz w:val="3"/>
                <w:szCs w:val="3"/>
                <w:color w:val="auto"/>
              </w:rPr>
            </w:pPr>
          </w:p>
        </w:tc>
        <w:tc>
          <w:tcPr>
            <w:tcW w:w="960" w:type="dxa"/>
            <w:vAlign w:val="bottom"/>
            <w:tcBorders>
              <w:right w:val="single" w:sz="8" w:color="auto"/>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1580" w:type="dxa"/>
            <w:vAlign w:val="bottom"/>
            <w:tcBorders>
              <w:left w:val="single" w:sz="8" w:color="auto"/>
              <w:right w:val="single" w:sz="8" w:color="auto"/>
            </w:tcBorders>
            <w:shd w:val="clear" w:color="auto" w:fill="CCEEFF"/>
          </w:tcPr>
          <w:p>
            <w:pPr>
              <w:ind w:left="140"/>
              <w:spacing w:after="0" w:line="137" w:lineRule="exact"/>
              <w:rPr>
                <w:sz w:val="20"/>
                <w:szCs w:val="20"/>
                <w:color w:val="auto"/>
              </w:rPr>
            </w:pPr>
            <w:r>
              <w:rPr>
                <w:rFonts w:ascii="Arial" w:cs="Arial" w:eastAsia="Arial" w:hAnsi="Arial"/>
                <w:sz w:val="14"/>
                <w:szCs w:val="14"/>
                <w:color w:val="auto"/>
              </w:rPr>
              <w:t>for the Covered Year</w:t>
            </w:r>
          </w:p>
        </w:tc>
        <w:tc>
          <w:tcPr>
            <w:tcW w:w="960" w:type="dxa"/>
            <w:vAlign w:val="bottom"/>
            <w:tcBorders>
              <w:right w:val="single" w:sz="8" w:color="auto"/>
            </w:tcBorders>
            <w:shd w:val="clear" w:color="auto" w:fill="CCEEFF"/>
          </w:tcPr>
          <w:p>
            <w:pPr>
              <w:spacing w:after="0"/>
              <w:rPr>
                <w:sz w:val="11"/>
                <w:szCs w:val="11"/>
                <w:color w:val="auto"/>
              </w:rPr>
            </w:pPr>
          </w:p>
        </w:tc>
        <w:tc>
          <w:tcPr>
            <w:tcW w:w="980" w:type="dxa"/>
            <w:vAlign w:val="bottom"/>
            <w:tcBorders>
              <w:right w:val="single" w:sz="8" w:color="auto"/>
            </w:tcBorders>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spacing w:after="0"/>
              <w:rPr>
                <w:sz w:val="11"/>
                <w:szCs w:val="11"/>
                <w:color w:val="auto"/>
              </w:rPr>
            </w:pPr>
          </w:p>
        </w:tc>
        <w:tc>
          <w:tcPr>
            <w:tcW w:w="980" w:type="dxa"/>
            <w:vAlign w:val="bottom"/>
            <w:tcBorders>
              <w:right w:val="single" w:sz="8" w:color="auto"/>
            </w:tcBorders>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spacing w:after="0"/>
              <w:rPr>
                <w:sz w:val="11"/>
                <w:szCs w:val="11"/>
                <w:color w:val="auto"/>
              </w:rPr>
            </w:pPr>
          </w:p>
        </w:tc>
        <w:tc>
          <w:tcPr>
            <w:tcW w:w="980" w:type="dxa"/>
            <w:vAlign w:val="bottom"/>
            <w:tcBorders>
              <w:right w:val="single" w:sz="8" w:color="auto"/>
            </w:tcBorders>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5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shd w:val="clear" w:color="auto" w:fill="CCEEFF"/>
          </w:tcPr>
          <w:p>
            <w:pPr>
              <w:spacing w:after="0"/>
              <w:rPr>
                <w:sz w:val="15"/>
                <w:szCs w:val="15"/>
                <w:color w:val="auto"/>
              </w:rPr>
            </w:pPr>
          </w:p>
        </w:tc>
        <w:tc>
          <w:tcPr>
            <w:tcW w:w="980" w:type="dxa"/>
            <w:vAlign w:val="bottom"/>
            <w:tcBorders>
              <w:bottom w:val="single" w:sz="8" w:color="auto"/>
              <w:right w:val="single" w:sz="8" w:color="auto"/>
            </w:tcBorders>
            <w:shd w:val="clear" w:color="auto" w:fill="CCEEFF"/>
          </w:tcPr>
          <w:p>
            <w:pPr>
              <w:spacing w:after="0"/>
              <w:rPr>
                <w:sz w:val="15"/>
                <w:szCs w:val="15"/>
                <w:color w:val="auto"/>
              </w:rPr>
            </w:pPr>
          </w:p>
        </w:tc>
        <w:tc>
          <w:tcPr>
            <w:tcW w:w="960" w:type="dxa"/>
            <w:vAlign w:val="bottom"/>
            <w:tcBorders>
              <w:bottom w:val="single" w:sz="8" w:color="auto"/>
              <w:right w:val="single" w:sz="8" w:color="auto"/>
            </w:tcBorders>
            <w:shd w:val="clear" w:color="auto" w:fill="CCEEFF"/>
          </w:tcPr>
          <w:p>
            <w:pPr>
              <w:spacing w:after="0"/>
              <w:rPr>
                <w:sz w:val="15"/>
                <w:szCs w:val="15"/>
                <w:color w:val="auto"/>
              </w:rPr>
            </w:pPr>
          </w:p>
        </w:tc>
        <w:tc>
          <w:tcPr>
            <w:tcW w:w="960" w:type="dxa"/>
            <w:vAlign w:val="bottom"/>
            <w:tcBorders>
              <w:bottom w:val="single" w:sz="8" w:color="auto"/>
              <w:right w:val="single" w:sz="8" w:color="auto"/>
            </w:tcBorders>
            <w:shd w:val="clear" w:color="auto" w:fill="CCEEFF"/>
          </w:tcPr>
          <w:p>
            <w:pPr>
              <w:spacing w:after="0"/>
              <w:rPr>
                <w:sz w:val="15"/>
                <w:szCs w:val="15"/>
                <w:color w:val="auto"/>
              </w:rPr>
            </w:pPr>
          </w:p>
        </w:tc>
        <w:tc>
          <w:tcPr>
            <w:tcW w:w="980" w:type="dxa"/>
            <w:vAlign w:val="bottom"/>
            <w:tcBorders>
              <w:bottom w:val="single" w:sz="8" w:color="auto"/>
              <w:right w:val="single" w:sz="8" w:color="auto"/>
            </w:tcBorders>
            <w:shd w:val="clear" w:color="auto" w:fill="CCEEFF"/>
          </w:tcPr>
          <w:p>
            <w:pPr>
              <w:spacing w:after="0"/>
              <w:rPr>
                <w:sz w:val="15"/>
                <w:szCs w:val="15"/>
                <w:color w:val="auto"/>
              </w:rPr>
            </w:pPr>
          </w:p>
        </w:tc>
        <w:tc>
          <w:tcPr>
            <w:tcW w:w="960" w:type="dxa"/>
            <w:vAlign w:val="bottom"/>
            <w:tcBorders>
              <w:bottom w:val="single" w:sz="8" w:color="auto"/>
              <w:right w:val="single" w:sz="8" w:color="auto"/>
            </w:tcBorders>
            <w:shd w:val="clear" w:color="auto" w:fill="CCEEFF"/>
          </w:tcPr>
          <w:p>
            <w:pPr>
              <w:spacing w:after="0"/>
              <w:rPr>
                <w:sz w:val="15"/>
                <w:szCs w:val="15"/>
                <w:color w:val="auto"/>
              </w:rPr>
            </w:pPr>
          </w:p>
        </w:tc>
        <w:tc>
          <w:tcPr>
            <w:tcW w:w="960" w:type="dxa"/>
            <w:vAlign w:val="bottom"/>
            <w:tcBorders>
              <w:bottom w:val="single" w:sz="8" w:color="auto"/>
              <w:right w:val="single" w:sz="8" w:color="auto"/>
            </w:tcBorders>
            <w:shd w:val="clear" w:color="auto" w:fill="CCEEFF"/>
          </w:tcPr>
          <w:p>
            <w:pPr>
              <w:spacing w:after="0"/>
              <w:rPr>
                <w:sz w:val="15"/>
                <w:szCs w:val="15"/>
                <w:color w:val="auto"/>
              </w:rPr>
            </w:pPr>
          </w:p>
        </w:tc>
        <w:tc>
          <w:tcPr>
            <w:tcW w:w="960" w:type="dxa"/>
            <w:vAlign w:val="bottom"/>
            <w:tcBorders>
              <w:bottom w:val="single" w:sz="8" w:color="auto"/>
              <w:right w:val="single" w:sz="8" w:color="auto"/>
            </w:tcBorders>
            <w:shd w:val="clear" w:color="auto" w:fill="CCEEFF"/>
          </w:tcPr>
          <w:p>
            <w:pPr>
              <w:spacing w:after="0"/>
              <w:rPr>
                <w:sz w:val="15"/>
                <w:szCs w:val="15"/>
                <w:color w:val="auto"/>
              </w:rPr>
            </w:pPr>
          </w:p>
        </w:tc>
        <w:tc>
          <w:tcPr>
            <w:tcW w:w="980" w:type="dxa"/>
            <w:vAlign w:val="bottom"/>
            <w:tcBorders>
              <w:bottom w:val="single" w:sz="8" w:color="auto"/>
              <w:right w:val="single" w:sz="8" w:color="auto"/>
            </w:tcBorders>
            <w:shd w:val="clear" w:color="auto" w:fill="CCEEFF"/>
          </w:tcPr>
          <w:p>
            <w:pPr>
              <w:spacing w:after="0"/>
              <w:rPr>
                <w:sz w:val="15"/>
                <w:szCs w:val="15"/>
                <w:color w:val="auto"/>
              </w:rPr>
            </w:pPr>
          </w:p>
        </w:tc>
        <w:tc>
          <w:tcPr>
            <w:tcW w:w="96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580" w:type="dxa"/>
            <w:vAlign w:val="bottom"/>
            <w:tcBorders>
              <w:left w:val="single" w:sz="8" w:color="auto"/>
              <w:right w:val="single" w:sz="8" w:color="auto"/>
            </w:tcBorders>
          </w:tcPr>
          <w:p>
            <w:pPr>
              <w:ind w:left="140"/>
              <w:spacing w:after="0" w:line="140" w:lineRule="exact"/>
              <w:rPr>
                <w:sz w:val="20"/>
                <w:szCs w:val="20"/>
                <w:color w:val="auto"/>
              </w:rPr>
            </w:pPr>
            <w:r>
              <w:rPr>
                <w:rFonts w:ascii="Arial" w:cs="Arial" w:eastAsia="Arial" w:hAnsi="Arial"/>
                <w:sz w:val="14"/>
                <w:szCs w:val="14"/>
                <w:color w:val="auto"/>
              </w:rPr>
              <w:t>Plus: Fair Value for</w:t>
            </w:r>
          </w:p>
        </w:tc>
        <w:tc>
          <w:tcPr>
            <w:tcW w:w="9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80" w:type="dxa"/>
            <w:vAlign w:val="bottom"/>
            <w:tcBorders>
              <w:left w:val="single" w:sz="8" w:color="auto"/>
              <w:right w:val="single" w:sz="8" w:color="auto"/>
            </w:tcBorders>
          </w:tcPr>
          <w:p>
            <w:pPr>
              <w:ind w:left="140"/>
              <w:spacing w:after="0" w:line="137" w:lineRule="exact"/>
              <w:rPr>
                <w:sz w:val="20"/>
                <w:szCs w:val="20"/>
                <w:color w:val="auto"/>
              </w:rPr>
            </w:pPr>
            <w:r>
              <w:rPr>
                <w:rFonts w:ascii="Arial" w:cs="Arial" w:eastAsia="Arial" w:hAnsi="Arial"/>
                <w:sz w:val="14"/>
                <w:szCs w:val="14"/>
                <w:color w:val="auto"/>
              </w:rPr>
              <w:t>Stock and Option</w:t>
            </w:r>
          </w:p>
        </w:tc>
        <w:tc>
          <w:tcPr>
            <w:tcW w:w="9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2,422,263</w:t>
            </w:r>
          </w:p>
        </w:tc>
        <w:tc>
          <w:tcPr>
            <w:tcW w:w="98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4"/>
                <w:szCs w:val="14"/>
                <w:color w:val="auto"/>
              </w:rPr>
              <w:t>650,751</w:t>
            </w:r>
          </w:p>
        </w:tc>
        <w:tc>
          <w:tcPr>
            <w:tcW w:w="9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7,314,339</w:t>
            </w:r>
          </w:p>
        </w:tc>
        <w:tc>
          <w:tcPr>
            <w:tcW w:w="9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2,058,941</w:t>
            </w:r>
          </w:p>
        </w:tc>
        <w:tc>
          <w:tcPr>
            <w:tcW w:w="98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4"/>
                <w:szCs w:val="14"/>
                <w:color w:val="auto"/>
              </w:rPr>
              <w:t>2,532,729</w:t>
            </w:r>
          </w:p>
        </w:tc>
        <w:tc>
          <w:tcPr>
            <w:tcW w:w="9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615,757</w:t>
            </w:r>
          </w:p>
        </w:tc>
        <w:tc>
          <w:tcPr>
            <w:tcW w:w="9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2,128,952</w:t>
            </w:r>
          </w:p>
        </w:tc>
        <w:tc>
          <w:tcPr>
            <w:tcW w:w="9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708,021</w:t>
            </w:r>
          </w:p>
        </w:tc>
        <w:tc>
          <w:tcPr>
            <w:tcW w:w="98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4"/>
                <w:szCs w:val="14"/>
                <w:color w:val="auto"/>
              </w:rPr>
              <w:t>2,012,320</w:t>
            </w:r>
          </w:p>
        </w:tc>
        <w:tc>
          <w:tcPr>
            <w:tcW w:w="9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587,498</w:t>
            </w:r>
          </w:p>
        </w:tc>
        <w:tc>
          <w:tcPr>
            <w:tcW w:w="0" w:type="dxa"/>
            <w:vAlign w:val="bottom"/>
          </w:tcPr>
          <w:p>
            <w:pPr>
              <w:spacing w:after="0"/>
              <w:rPr>
                <w:sz w:val="1"/>
                <w:szCs w:val="1"/>
                <w:color w:val="auto"/>
              </w:rPr>
            </w:pPr>
          </w:p>
        </w:tc>
      </w:tr>
      <w:tr>
        <w:trPr>
          <w:trHeight w:val="108"/>
        </w:trPr>
        <w:tc>
          <w:tcPr>
            <w:tcW w:w="1580" w:type="dxa"/>
            <w:vAlign w:val="bottom"/>
            <w:tcBorders>
              <w:left w:val="single" w:sz="8" w:color="auto"/>
              <w:right w:val="single" w:sz="8" w:color="auto"/>
            </w:tcBorders>
            <w:vMerge w:val="restart"/>
          </w:tcPr>
          <w:p>
            <w:pPr>
              <w:ind w:left="140"/>
              <w:spacing w:after="0" w:line="135" w:lineRule="exact"/>
              <w:rPr>
                <w:sz w:val="20"/>
                <w:szCs w:val="20"/>
                <w:color w:val="auto"/>
              </w:rPr>
            </w:pPr>
            <w:r>
              <w:rPr>
                <w:rFonts w:ascii="Arial" w:cs="Arial" w:eastAsia="Arial" w:hAnsi="Arial"/>
                <w:sz w:val="14"/>
                <w:szCs w:val="14"/>
                <w:color w:val="auto"/>
              </w:rPr>
              <w:t>Awards Granted in the</w:t>
            </w:r>
          </w:p>
        </w:tc>
        <w:tc>
          <w:tcPr>
            <w:tcW w:w="96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1580" w:type="dxa"/>
            <w:vAlign w:val="bottom"/>
            <w:tcBorders>
              <w:left w:val="single" w:sz="8" w:color="auto"/>
              <w:right w:val="single" w:sz="8" w:color="auto"/>
            </w:tcBorders>
            <w:vMerge w:val="continue"/>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5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Covered Year ($)</w:t>
            </w:r>
          </w:p>
        </w:tc>
        <w:tc>
          <w:tcPr>
            <w:tcW w:w="96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580" w:type="dxa"/>
            <w:vAlign w:val="bottom"/>
            <w:tcBorders>
              <w:left w:val="single" w:sz="8" w:color="auto"/>
              <w:right w:val="single" w:sz="8" w:color="auto"/>
            </w:tcBorders>
            <w:shd w:val="clear" w:color="auto" w:fill="CCEEFF"/>
          </w:tcPr>
          <w:p>
            <w:pPr>
              <w:ind w:left="140"/>
              <w:spacing w:after="0" w:line="144" w:lineRule="exact"/>
              <w:rPr>
                <w:sz w:val="20"/>
                <w:szCs w:val="20"/>
                <w:color w:val="auto"/>
              </w:rPr>
            </w:pPr>
            <w:r>
              <w:rPr>
                <w:rFonts w:ascii="Arial" w:cs="Arial" w:eastAsia="Arial" w:hAnsi="Arial"/>
                <w:sz w:val="14"/>
                <w:szCs w:val="14"/>
                <w:color w:val="auto"/>
              </w:rPr>
              <w:t>Change in Fair Value</w:t>
            </w:r>
          </w:p>
        </w:tc>
        <w:tc>
          <w:tcPr>
            <w:tcW w:w="960" w:type="dxa"/>
            <w:vAlign w:val="bottom"/>
            <w:tcBorders>
              <w:right w:val="single" w:sz="8" w:color="auto"/>
            </w:tcBorders>
            <w:shd w:val="clear" w:color="auto" w:fill="CCEEFF"/>
          </w:tcPr>
          <w:p>
            <w:pPr>
              <w:spacing w:after="0"/>
              <w:rPr>
                <w:sz w:val="12"/>
                <w:szCs w:val="12"/>
                <w:color w:val="auto"/>
              </w:rPr>
            </w:pPr>
          </w:p>
        </w:tc>
        <w:tc>
          <w:tcPr>
            <w:tcW w:w="98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98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98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80" w:type="dxa"/>
            <w:vAlign w:val="bottom"/>
            <w:tcBorders>
              <w:left w:val="single" w:sz="8" w:color="auto"/>
              <w:right w:val="single" w:sz="8" w:color="auto"/>
            </w:tcBorders>
            <w:shd w:val="clear" w:color="auto" w:fill="CCEEFF"/>
          </w:tcPr>
          <w:p>
            <w:pPr>
              <w:ind w:left="140"/>
              <w:spacing w:after="0" w:line="137" w:lineRule="exact"/>
              <w:rPr>
                <w:sz w:val="20"/>
                <w:szCs w:val="20"/>
                <w:color w:val="auto"/>
              </w:rPr>
            </w:pPr>
            <w:r>
              <w:rPr>
                <w:rFonts w:ascii="Arial" w:cs="Arial" w:eastAsia="Arial" w:hAnsi="Arial"/>
                <w:sz w:val="14"/>
                <w:szCs w:val="14"/>
                <w:color w:val="auto"/>
              </w:rPr>
              <w:t>of Outstanding</w:t>
            </w: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(2,042,966)</w:t>
            </w:r>
          </w:p>
        </w:tc>
        <w:tc>
          <w:tcPr>
            <w:tcW w:w="9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(558,216)</w:t>
            </w:r>
          </w:p>
        </w:tc>
        <w:tc>
          <w:tcPr>
            <w:tcW w:w="960" w:type="dxa"/>
            <w:vAlign w:val="bottom"/>
            <w:tcBorders>
              <w:right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3,823,698</w:t>
            </w:r>
          </w:p>
        </w:tc>
        <w:tc>
          <w:tcPr>
            <w:tcW w:w="960" w:type="dxa"/>
            <w:vAlign w:val="bottom"/>
            <w:tcBorders>
              <w:right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973,959</w:t>
            </w:r>
          </w:p>
        </w:tc>
        <w:tc>
          <w:tcPr>
            <w:tcW w:w="9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(2,803,562)</w:t>
            </w: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(665,677)</w:t>
            </w:r>
          </w:p>
        </w:tc>
        <w:tc>
          <w:tcPr>
            <w:tcW w:w="960" w:type="dxa"/>
            <w:vAlign w:val="bottom"/>
            <w:tcBorders>
              <w:right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298,465</w:t>
            </w:r>
          </w:p>
        </w:tc>
        <w:tc>
          <w:tcPr>
            <w:tcW w:w="960" w:type="dxa"/>
            <w:vAlign w:val="bottom"/>
            <w:tcBorders>
              <w:right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91,118</w:t>
            </w:r>
          </w:p>
        </w:tc>
        <w:tc>
          <w:tcPr>
            <w:tcW w:w="980" w:type="dxa"/>
            <w:vAlign w:val="bottom"/>
            <w:tcBorders>
              <w:right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1,375,085</w:t>
            </w:r>
          </w:p>
        </w:tc>
        <w:tc>
          <w:tcPr>
            <w:tcW w:w="960" w:type="dxa"/>
            <w:vAlign w:val="bottom"/>
            <w:tcBorders>
              <w:right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404,409</w:t>
            </w:r>
          </w:p>
        </w:tc>
        <w:tc>
          <w:tcPr>
            <w:tcW w:w="0" w:type="dxa"/>
            <w:vAlign w:val="bottom"/>
          </w:tcPr>
          <w:p>
            <w:pPr>
              <w:spacing w:after="0"/>
              <w:rPr>
                <w:sz w:val="1"/>
                <w:szCs w:val="1"/>
                <w:color w:val="auto"/>
              </w:rPr>
            </w:pPr>
          </w:p>
        </w:tc>
      </w:tr>
      <w:tr>
        <w:trPr>
          <w:trHeight w:val="134"/>
        </w:trPr>
        <w:tc>
          <w:tcPr>
            <w:tcW w:w="1580" w:type="dxa"/>
            <w:vAlign w:val="bottom"/>
            <w:tcBorders>
              <w:left w:val="single" w:sz="8" w:color="auto"/>
              <w:right w:val="single" w:sz="8" w:color="auto"/>
            </w:tcBorders>
            <w:shd w:val="clear" w:color="auto" w:fill="CCEEFF"/>
          </w:tcPr>
          <w:p>
            <w:pPr>
              <w:ind w:left="140"/>
              <w:spacing w:after="0" w:line="135" w:lineRule="exact"/>
              <w:rPr>
                <w:sz w:val="20"/>
                <w:szCs w:val="20"/>
                <w:color w:val="auto"/>
              </w:rPr>
            </w:pPr>
            <w:r>
              <w:rPr>
                <w:rFonts w:ascii="Arial" w:cs="Arial" w:eastAsia="Arial" w:hAnsi="Arial"/>
                <w:sz w:val="14"/>
                <w:szCs w:val="14"/>
                <w:color w:val="auto"/>
              </w:rPr>
              <w:t>Unvested Stock and</w:t>
            </w:r>
          </w:p>
        </w:tc>
        <w:tc>
          <w:tcPr>
            <w:tcW w:w="960" w:type="dxa"/>
            <w:vAlign w:val="bottom"/>
            <w:tcBorders>
              <w:right w:val="single" w:sz="8" w:color="auto"/>
            </w:tcBorders>
            <w:vMerge w:val="continue"/>
            <w:shd w:val="clear" w:color="auto" w:fill="CCEEFF"/>
          </w:tcPr>
          <w:p>
            <w:pPr>
              <w:spacing w:after="0"/>
              <w:rPr>
                <w:sz w:val="11"/>
                <w:szCs w:val="11"/>
                <w:color w:val="auto"/>
              </w:rPr>
            </w:pPr>
          </w:p>
        </w:tc>
        <w:tc>
          <w:tcPr>
            <w:tcW w:w="980" w:type="dxa"/>
            <w:vAlign w:val="bottom"/>
            <w:tcBorders>
              <w:right w:val="single" w:sz="8" w:color="auto"/>
            </w:tcBorders>
            <w:vMerge w:val="continue"/>
            <w:shd w:val="clear" w:color="auto" w:fill="CCEEFF"/>
          </w:tcPr>
          <w:p>
            <w:pPr>
              <w:spacing w:after="0"/>
              <w:rPr>
                <w:sz w:val="11"/>
                <w:szCs w:val="11"/>
                <w:color w:val="auto"/>
              </w:rPr>
            </w:pPr>
          </w:p>
        </w:tc>
        <w:tc>
          <w:tcPr>
            <w:tcW w:w="960" w:type="dxa"/>
            <w:vAlign w:val="bottom"/>
            <w:tcBorders>
              <w:right w:val="single" w:sz="8" w:color="auto"/>
            </w:tcBorders>
            <w:vMerge w:val="continue"/>
            <w:shd w:val="clear" w:color="auto" w:fill="CCEEFF"/>
          </w:tcPr>
          <w:p>
            <w:pPr>
              <w:spacing w:after="0"/>
              <w:rPr>
                <w:sz w:val="11"/>
                <w:szCs w:val="11"/>
                <w:color w:val="auto"/>
              </w:rPr>
            </w:pPr>
          </w:p>
        </w:tc>
        <w:tc>
          <w:tcPr>
            <w:tcW w:w="960" w:type="dxa"/>
            <w:vAlign w:val="bottom"/>
            <w:tcBorders>
              <w:right w:val="single" w:sz="8" w:color="auto"/>
            </w:tcBorders>
            <w:vMerge w:val="continue"/>
            <w:shd w:val="clear" w:color="auto" w:fill="CCEEFF"/>
          </w:tcPr>
          <w:p>
            <w:pPr>
              <w:spacing w:after="0"/>
              <w:rPr>
                <w:sz w:val="11"/>
                <w:szCs w:val="11"/>
                <w:color w:val="auto"/>
              </w:rPr>
            </w:pPr>
          </w:p>
        </w:tc>
        <w:tc>
          <w:tcPr>
            <w:tcW w:w="980" w:type="dxa"/>
            <w:vAlign w:val="bottom"/>
            <w:tcBorders>
              <w:right w:val="single" w:sz="8" w:color="auto"/>
            </w:tcBorders>
            <w:vMerge w:val="continue"/>
            <w:shd w:val="clear" w:color="auto" w:fill="CCEEFF"/>
          </w:tcPr>
          <w:p>
            <w:pPr>
              <w:spacing w:after="0"/>
              <w:rPr>
                <w:sz w:val="11"/>
                <w:szCs w:val="11"/>
                <w:color w:val="auto"/>
              </w:rPr>
            </w:pPr>
          </w:p>
        </w:tc>
        <w:tc>
          <w:tcPr>
            <w:tcW w:w="960" w:type="dxa"/>
            <w:vAlign w:val="bottom"/>
            <w:tcBorders>
              <w:right w:val="single" w:sz="8" w:color="auto"/>
            </w:tcBorders>
            <w:vMerge w:val="continue"/>
            <w:shd w:val="clear" w:color="auto" w:fill="CCEEFF"/>
          </w:tcPr>
          <w:p>
            <w:pPr>
              <w:spacing w:after="0"/>
              <w:rPr>
                <w:sz w:val="11"/>
                <w:szCs w:val="11"/>
                <w:color w:val="auto"/>
              </w:rPr>
            </w:pPr>
          </w:p>
        </w:tc>
        <w:tc>
          <w:tcPr>
            <w:tcW w:w="960" w:type="dxa"/>
            <w:vAlign w:val="bottom"/>
            <w:tcBorders>
              <w:right w:val="single" w:sz="8" w:color="auto"/>
            </w:tcBorders>
            <w:vMerge w:val="continue"/>
            <w:shd w:val="clear" w:color="auto" w:fill="CCEEFF"/>
          </w:tcPr>
          <w:p>
            <w:pPr>
              <w:spacing w:after="0"/>
              <w:rPr>
                <w:sz w:val="11"/>
                <w:szCs w:val="11"/>
                <w:color w:val="auto"/>
              </w:rPr>
            </w:pPr>
          </w:p>
        </w:tc>
        <w:tc>
          <w:tcPr>
            <w:tcW w:w="960" w:type="dxa"/>
            <w:vAlign w:val="bottom"/>
            <w:tcBorders>
              <w:right w:val="single" w:sz="8" w:color="auto"/>
            </w:tcBorders>
            <w:vMerge w:val="continue"/>
            <w:shd w:val="clear" w:color="auto" w:fill="CCEEFF"/>
          </w:tcPr>
          <w:p>
            <w:pPr>
              <w:spacing w:after="0"/>
              <w:rPr>
                <w:sz w:val="11"/>
                <w:szCs w:val="11"/>
                <w:color w:val="auto"/>
              </w:rPr>
            </w:pPr>
          </w:p>
        </w:tc>
        <w:tc>
          <w:tcPr>
            <w:tcW w:w="980" w:type="dxa"/>
            <w:vAlign w:val="bottom"/>
            <w:tcBorders>
              <w:right w:val="single" w:sz="8" w:color="auto"/>
            </w:tcBorders>
            <w:vMerge w:val="continue"/>
            <w:shd w:val="clear" w:color="auto" w:fill="CCEEFF"/>
          </w:tcPr>
          <w:p>
            <w:pPr>
              <w:spacing w:after="0"/>
              <w:rPr>
                <w:sz w:val="11"/>
                <w:szCs w:val="11"/>
                <w:color w:val="auto"/>
              </w:rPr>
            </w:pPr>
          </w:p>
        </w:tc>
        <w:tc>
          <w:tcPr>
            <w:tcW w:w="96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80" w:type="dxa"/>
            <w:vAlign w:val="bottom"/>
            <w:tcBorders>
              <w:left w:val="single" w:sz="8" w:color="auto"/>
              <w:right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Option Awards from</w:t>
            </w:r>
          </w:p>
        </w:tc>
        <w:tc>
          <w:tcPr>
            <w:tcW w:w="960" w:type="dxa"/>
            <w:vAlign w:val="bottom"/>
            <w:tcBorders>
              <w:right w:val="single" w:sz="8" w:color="auto"/>
            </w:tcBorders>
            <w:shd w:val="clear" w:color="auto" w:fill="CCEEFF"/>
          </w:tcPr>
          <w:p>
            <w:pPr>
              <w:spacing w:after="0"/>
              <w:rPr>
                <w:sz w:val="12"/>
                <w:szCs w:val="12"/>
                <w:color w:val="auto"/>
              </w:rPr>
            </w:pPr>
          </w:p>
        </w:tc>
        <w:tc>
          <w:tcPr>
            <w:tcW w:w="98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98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98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5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Prior Years ($)</w:t>
            </w:r>
          </w:p>
        </w:tc>
        <w:tc>
          <w:tcPr>
            <w:tcW w:w="960" w:type="dxa"/>
            <w:vAlign w:val="bottom"/>
            <w:tcBorders>
              <w:bottom w:val="single" w:sz="8" w:color="auto"/>
              <w:right w:val="single" w:sz="8" w:color="auto"/>
            </w:tcBorders>
            <w:shd w:val="clear" w:color="auto" w:fill="CCEEFF"/>
          </w:tcPr>
          <w:p>
            <w:pPr>
              <w:spacing w:after="0"/>
              <w:rPr>
                <w:sz w:val="15"/>
                <w:szCs w:val="15"/>
                <w:color w:val="auto"/>
              </w:rPr>
            </w:pPr>
          </w:p>
        </w:tc>
        <w:tc>
          <w:tcPr>
            <w:tcW w:w="980" w:type="dxa"/>
            <w:vAlign w:val="bottom"/>
            <w:tcBorders>
              <w:bottom w:val="single" w:sz="8" w:color="auto"/>
              <w:right w:val="single" w:sz="8" w:color="auto"/>
            </w:tcBorders>
            <w:shd w:val="clear" w:color="auto" w:fill="CCEEFF"/>
          </w:tcPr>
          <w:p>
            <w:pPr>
              <w:spacing w:after="0"/>
              <w:rPr>
                <w:sz w:val="15"/>
                <w:szCs w:val="15"/>
                <w:color w:val="auto"/>
              </w:rPr>
            </w:pPr>
          </w:p>
        </w:tc>
        <w:tc>
          <w:tcPr>
            <w:tcW w:w="960" w:type="dxa"/>
            <w:vAlign w:val="bottom"/>
            <w:tcBorders>
              <w:bottom w:val="single" w:sz="8" w:color="auto"/>
              <w:right w:val="single" w:sz="8" w:color="auto"/>
            </w:tcBorders>
            <w:shd w:val="clear" w:color="auto" w:fill="CCEEFF"/>
          </w:tcPr>
          <w:p>
            <w:pPr>
              <w:spacing w:after="0"/>
              <w:rPr>
                <w:sz w:val="15"/>
                <w:szCs w:val="15"/>
                <w:color w:val="auto"/>
              </w:rPr>
            </w:pPr>
          </w:p>
        </w:tc>
        <w:tc>
          <w:tcPr>
            <w:tcW w:w="960" w:type="dxa"/>
            <w:vAlign w:val="bottom"/>
            <w:tcBorders>
              <w:bottom w:val="single" w:sz="8" w:color="auto"/>
              <w:right w:val="single" w:sz="8" w:color="auto"/>
            </w:tcBorders>
            <w:shd w:val="clear" w:color="auto" w:fill="CCEEFF"/>
          </w:tcPr>
          <w:p>
            <w:pPr>
              <w:spacing w:after="0"/>
              <w:rPr>
                <w:sz w:val="15"/>
                <w:szCs w:val="15"/>
                <w:color w:val="auto"/>
              </w:rPr>
            </w:pPr>
          </w:p>
        </w:tc>
        <w:tc>
          <w:tcPr>
            <w:tcW w:w="980" w:type="dxa"/>
            <w:vAlign w:val="bottom"/>
            <w:tcBorders>
              <w:bottom w:val="single" w:sz="8" w:color="auto"/>
              <w:right w:val="single" w:sz="8" w:color="auto"/>
            </w:tcBorders>
            <w:shd w:val="clear" w:color="auto" w:fill="CCEEFF"/>
          </w:tcPr>
          <w:p>
            <w:pPr>
              <w:spacing w:after="0"/>
              <w:rPr>
                <w:sz w:val="15"/>
                <w:szCs w:val="15"/>
                <w:color w:val="auto"/>
              </w:rPr>
            </w:pPr>
          </w:p>
        </w:tc>
        <w:tc>
          <w:tcPr>
            <w:tcW w:w="960" w:type="dxa"/>
            <w:vAlign w:val="bottom"/>
            <w:tcBorders>
              <w:bottom w:val="single" w:sz="8" w:color="auto"/>
              <w:right w:val="single" w:sz="8" w:color="auto"/>
            </w:tcBorders>
            <w:shd w:val="clear" w:color="auto" w:fill="CCEEFF"/>
          </w:tcPr>
          <w:p>
            <w:pPr>
              <w:spacing w:after="0"/>
              <w:rPr>
                <w:sz w:val="15"/>
                <w:szCs w:val="15"/>
                <w:color w:val="auto"/>
              </w:rPr>
            </w:pPr>
          </w:p>
        </w:tc>
        <w:tc>
          <w:tcPr>
            <w:tcW w:w="960" w:type="dxa"/>
            <w:vAlign w:val="bottom"/>
            <w:tcBorders>
              <w:bottom w:val="single" w:sz="8" w:color="auto"/>
              <w:right w:val="single" w:sz="8" w:color="auto"/>
            </w:tcBorders>
            <w:shd w:val="clear" w:color="auto" w:fill="CCEEFF"/>
          </w:tcPr>
          <w:p>
            <w:pPr>
              <w:spacing w:after="0"/>
              <w:rPr>
                <w:sz w:val="15"/>
                <w:szCs w:val="15"/>
                <w:color w:val="auto"/>
              </w:rPr>
            </w:pPr>
          </w:p>
        </w:tc>
        <w:tc>
          <w:tcPr>
            <w:tcW w:w="960" w:type="dxa"/>
            <w:vAlign w:val="bottom"/>
            <w:tcBorders>
              <w:bottom w:val="single" w:sz="8" w:color="auto"/>
              <w:right w:val="single" w:sz="8" w:color="auto"/>
            </w:tcBorders>
            <w:shd w:val="clear" w:color="auto" w:fill="CCEEFF"/>
          </w:tcPr>
          <w:p>
            <w:pPr>
              <w:spacing w:after="0"/>
              <w:rPr>
                <w:sz w:val="15"/>
                <w:szCs w:val="15"/>
                <w:color w:val="auto"/>
              </w:rPr>
            </w:pPr>
          </w:p>
        </w:tc>
        <w:tc>
          <w:tcPr>
            <w:tcW w:w="980" w:type="dxa"/>
            <w:vAlign w:val="bottom"/>
            <w:tcBorders>
              <w:bottom w:val="single" w:sz="8" w:color="auto"/>
              <w:right w:val="single" w:sz="8" w:color="auto"/>
            </w:tcBorders>
            <w:shd w:val="clear" w:color="auto" w:fill="CCEEFF"/>
          </w:tcPr>
          <w:p>
            <w:pPr>
              <w:spacing w:after="0"/>
              <w:rPr>
                <w:sz w:val="15"/>
                <w:szCs w:val="15"/>
                <w:color w:val="auto"/>
              </w:rPr>
            </w:pPr>
          </w:p>
        </w:tc>
        <w:tc>
          <w:tcPr>
            <w:tcW w:w="96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580" w:type="dxa"/>
            <w:vAlign w:val="bottom"/>
            <w:tcBorders>
              <w:left w:val="single" w:sz="8" w:color="auto"/>
              <w:right w:val="single" w:sz="8" w:color="auto"/>
            </w:tcBorders>
          </w:tcPr>
          <w:p>
            <w:pPr>
              <w:ind w:left="140"/>
              <w:spacing w:after="0" w:line="140" w:lineRule="exact"/>
              <w:rPr>
                <w:sz w:val="20"/>
                <w:szCs w:val="20"/>
                <w:color w:val="auto"/>
              </w:rPr>
            </w:pPr>
            <w:r>
              <w:rPr>
                <w:rFonts w:ascii="Arial" w:cs="Arial" w:eastAsia="Arial" w:hAnsi="Arial"/>
                <w:sz w:val="14"/>
                <w:szCs w:val="14"/>
                <w:color w:val="auto"/>
              </w:rPr>
              <w:t>Change in Fair Value</w:t>
            </w:r>
          </w:p>
        </w:tc>
        <w:tc>
          <w:tcPr>
            <w:tcW w:w="9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80" w:type="dxa"/>
            <w:vAlign w:val="bottom"/>
            <w:tcBorders>
              <w:left w:val="single" w:sz="8" w:color="auto"/>
              <w:right w:val="single" w:sz="8" w:color="auto"/>
            </w:tcBorders>
          </w:tcPr>
          <w:p>
            <w:pPr>
              <w:ind w:left="140"/>
              <w:spacing w:after="0" w:line="137" w:lineRule="exact"/>
              <w:rPr>
                <w:sz w:val="20"/>
                <w:szCs w:val="20"/>
                <w:color w:val="auto"/>
              </w:rPr>
            </w:pPr>
            <w:r>
              <w:rPr>
                <w:rFonts w:ascii="Arial" w:cs="Arial" w:eastAsia="Arial" w:hAnsi="Arial"/>
                <w:sz w:val="14"/>
                <w:szCs w:val="14"/>
                <w:color w:val="auto"/>
              </w:rPr>
              <w:t>of Stock and Option</w:t>
            </w:r>
          </w:p>
        </w:tc>
        <w:tc>
          <w:tcPr>
            <w:tcW w:w="9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112,237</w:t>
            </w:r>
          </w:p>
        </w:tc>
        <w:tc>
          <w:tcPr>
            <w:tcW w:w="98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4"/>
                <w:szCs w:val="14"/>
                <w:color w:val="auto"/>
              </w:rPr>
              <w:t>37,356</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(357,629)</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(126,852)</w:t>
            </w:r>
          </w:p>
        </w:tc>
        <w:tc>
          <w:tcPr>
            <w:tcW w:w="9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(434,402)</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(123,166)</w:t>
            </w:r>
          </w:p>
        </w:tc>
        <w:tc>
          <w:tcPr>
            <w:tcW w:w="9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22,008</w:t>
            </w:r>
          </w:p>
        </w:tc>
        <w:tc>
          <w:tcPr>
            <w:tcW w:w="9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11,675</w:t>
            </w:r>
          </w:p>
        </w:tc>
        <w:tc>
          <w:tcPr>
            <w:tcW w:w="98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4"/>
                <w:szCs w:val="14"/>
                <w:color w:val="auto"/>
              </w:rPr>
              <w:t>77,727</w:t>
            </w:r>
          </w:p>
        </w:tc>
        <w:tc>
          <w:tcPr>
            <w:tcW w:w="9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42,667</w:t>
            </w:r>
          </w:p>
        </w:tc>
        <w:tc>
          <w:tcPr>
            <w:tcW w:w="0" w:type="dxa"/>
            <w:vAlign w:val="bottom"/>
          </w:tcPr>
          <w:p>
            <w:pPr>
              <w:spacing w:after="0"/>
              <w:rPr>
                <w:sz w:val="1"/>
                <w:szCs w:val="1"/>
                <w:color w:val="auto"/>
              </w:rPr>
            </w:pPr>
          </w:p>
        </w:tc>
      </w:tr>
      <w:tr>
        <w:trPr>
          <w:trHeight w:val="134"/>
        </w:trPr>
        <w:tc>
          <w:tcPr>
            <w:tcW w:w="1580" w:type="dxa"/>
            <w:vAlign w:val="bottom"/>
            <w:tcBorders>
              <w:left w:val="single" w:sz="8" w:color="auto"/>
              <w:right w:val="single" w:sz="8" w:color="auto"/>
            </w:tcBorders>
          </w:tcPr>
          <w:p>
            <w:pPr>
              <w:ind w:left="140"/>
              <w:spacing w:after="0" w:line="135" w:lineRule="exact"/>
              <w:rPr>
                <w:sz w:val="20"/>
                <w:szCs w:val="20"/>
                <w:color w:val="auto"/>
              </w:rPr>
            </w:pPr>
            <w:r>
              <w:rPr>
                <w:rFonts w:ascii="Arial" w:cs="Arial" w:eastAsia="Arial" w:hAnsi="Arial"/>
                <w:sz w:val="14"/>
                <w:szCs w:val="14"/>
                <w:color w:val="auto"/>
              </w:rPr>
              <w:t>Awards from Prior</w:t>
            </w:r>
          </w:p>
        </w:tc>
        <w:tc>
          <w:tcPr>
            <w:tcW w:w="96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80" w:type="dxa"/>
            <w:vAlign w:val="bottom"/>
            <w:tcBorders>
              <w:left w:val="single" w:sz="8" w:color="auto"/>
              <w:right w:val="single" w:sz="8" w:color="auto"/>
            </w:tcBorders>
          </w:tcPr>
          <w:p>
            <w:pPr>
              <w:ind w:left="140"/>
              <w:spacing w:after="0" w:line="142" w:lineRule="exact"/>
              <w:rPr>
                <w:sz w:val="20"/>
                <w:szCs w:val="20"/>
                <w:color w:val="auto"/>
              </w:rPr>
            </w:pPr>
            <w:r>
              <w:rPr>
                <w:rFonts w:ascii="Arial" w:cs="Arial" w:eastAsia="Arial" w:hAnsi="Arial"/>
                <w:sz w:val="14"/>
                <w:szCs w:val="14"/>
                <w:color w:val="auto"/>
              </w:rPr>
              <w:t>Years that Vested in</w:t>
            </w:r>
          </w:p>
        </w:tc>
        <w:tc>
          <w:tcPr>
            <w:tcW w:w="9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5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the Covered Year ($)</w:t>
            </w:r>
          </w:p>
        </w:tc>
        <w:tc>
          <w:tcPr>
            <w:tcW w:w="96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580" w:type="dxa"/>
            <w:vAlign w:val="bottom"/>
            <w:tcBorders>
              <w:left w:val="single" w:sz="8" w:color="auto"/>
              <w:right w:val="single" w:sz="8" w:color="auto"/>
            </w:tcBorders>
            <w:shd w:val="clear" w:color="auto" w:fill="CCEEFF"/>
          </w:tcPr>
          <w:p>
            <w:pPr>
              <w:ind w:left="140"/>
              <w:spacing w:after="0" w:line="140" w:lineRule="exact"/>
              <w:rPr>
                <w:sz w:val="20"/>
                <w:szCs w:val="20"/>
                <w:color w:val="auto"/>
              </w:rPr>
            </w:pPr>
            <w:r>
              <w:rPr>
                <w:rFonts w:ascii="Arial" w:cs="Arial" w:eastAsia="Arial" w:hAnsi="Arial"/>
                <w:sz w:val="14"/>
                <w:szCs w:val="14"/>
                <w:color w:val="auto"/>
              </w:rPr>
              <w:t>Less: Fair Value of</w:t>
            </w:r>
          </w:p>
        </w:tc>
        <w:tc>
          <w:tcPr>
            <w:tcW w:w="960" w:type="dxa"/>
            <w:vAlign w:val="bottom"/>
            <w:tcBorders>
              <w:right w:val="single" w:sz="8" w:color="auto"/>
            </w:tcBorders>
            <w:shd w:val="clear" w:color="auto" w:fill="CCEEFF"/>
          </w:tcPr>
          <w:p>
            <w:pPr>
              <w:spacing w:after="0"/>
              <w:rPr>
                <w:sz w:val="12"/>
                <w:szCs w:val="12"/>
                <w:color w:val="auto"/>
              </w:rPr>
            </w:pPr>
          </w:p>
        </w:tc>
        <w:tc>
          <w:tcPr>
            <w:tcW w:w="98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98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98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80" w:type="dxa"/>
            <w:vAlign w:val="bottom"/>
            <w:tcBorders>
              <w:left w:val="single" w:sz="8" w:color="auto"/>
              <w:right w:val="single" w:sz="8" w:color="auto"/>
            </w:tcBorders>
            <w:shd w:val="clear" w:color="auto" w:fill="CCEEFF"/>
          </w:tcPr>
          <w:p>
            <w:pPr>
              <w:ind w:left="140"/>
              <w:spacing w:after="0" w:line="137" w:lineRule="exact"/>
              <w:rPr>
                <w:sz w:val="20"/>
                <w:szCs w:val="20"/>
                <w:color w:val="auto"/>
              </w:rPr>
            </w:pPr>
            <w:r>
              <w:rPr>
                <w:rFonts w:ascii="Arial" w:cs="Arial" w:eastAsia="Arial" w:hAnsi="Arial"/>
                <w:sz w:val="14"/>
                <w:szCs w:val="14"/>
                <w:color w:val="auto"/>
              </w:rPr>
              <w:t>Stock and Option</w:t>
            </w:r>
          </w:p>
        </w:tc>
        <w:tc>
          <w:tcPr>
            <w:tcW w:w="960" w:type="dxa"/>
            <w:vAlign w:val="bottom"/>
            <w:tcBorders>
              <w:right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(533,004)</w:t>
            </w: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(155,583)</w:t>
            </w:r>
          </w:p>
        </w:tc>
        <w:tc>
          <w:tcPr>
            <w:tcW w:w="9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(366,621)</w:t>
            </w: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(93,877)</w:t>
            </w:r>
          </w:p>
        </w:tc>
        <w:tc>
          <w:tcPr>
            <w:tcW w:w="960" w:type="dxa"/>
            <w:vAlign w:val="bottom"/>
            <w:tcBorders>
              <w:right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4"/>
        </w:trPr>
        <w:tc>
          <w:tcPr>
            <w:tcW w:w="1580" w:type="dxa"/>
            <w:vAlign w:val="bottom"/>
            <w:tcBorders>
              <w:left w:val="single" w:sz="8" w:color="auto"/>
              <w:right w:val="single" w:sz="8" w:color="auto"/>
            </w:tcBorders>
            <w:shd w:val="clear" w:color="auto" w:fill="CCEEFF"/>
          </w:tcPr>
          <w:p>
            <w:pPr>
              <w:ind w:left="140"/>
              <w:spacing w:after="0" w:line="135" w:lineRule="exact"/>
              <w:rPr>
                <w:sz w:val="20"/>
                <w:szCs w:val="20"/>
                <w:color w:val="auto"/>
              </w:rPr>
            </w:pPr>
            <w:r>
              <w:rPr>
                <w:rFonts w:ascii="Arial" w:cs="Arial" w:eastAsia="Arial" w:hAnsi="Arial"/>
                <w:sz w:val="14"/>
                <w:szCs w:val="14"/>
                <w:color w:val="auto"/>
              </w:rPr>
              <w:t>Awards Forfeited</w:t>
            </w:r>
          </w:p>
        </w:tc>
        <w:tc>
          <w:tcPr>
            <w:tcW w:w="960" w:type="dxa"/>
            <w:vAlign w:val="bottom"/>
            <w:tcBorders>
              <w:right w:val="single" w:sz="8" w:color="auto"/>
            </w:tcBorders>
            <w:vMerge w:val="continue"/>
            <w:shd w:val="clear" w:color="auto" w:fill="CCEEFF"/>
          </w:tcPr>
          <w:p>
            <w:pPr>
              <w:spacing w:after="0"/>
              <w:rPr>
                <w:sz w:val="11"/>
                <w:szCs w:val="11"/>
                <w:color w:val="auto"/>
              </w:rPr>
            </w:pPr>
          </w:p>
        </w:tc>
        <w:tc>
          <w:tcPr>
            <w:tcW w:w="980" w:type="dxa"/>
            <w:vAlign w:val="bottom"/>
            <w:tcBorders>
              <w:right w:val="single" w:sz="8" w:color="auto"/>
            </w:tcBorders>
            <w:vMerge w:val="continue"/>
            <w:shd w:val="clear" w:color="auto" w:fill="CCEEFF"/>
          </w:tcPr>
          <w:p>
            <w:pPr>
              <w:spacing w:after="0"/>
              <w:rPr>
                <w:sz w:val="11"/>
                <w:szCs w:val="11"/>
                <w:color w:val="auto"/>
              </w:rPr>
            </w:pPr>
          </w:p>
        </w:tc>
        <w:tc>
          <w:tcPr>
            <w:tcW w:w="960" w:type="dxa"/>
            <w:vAlign w:val="bottom"/>
            <w:tcBorders>
              <w:right w:val="single" w:sz="8" w:color="auto"/>
            </w:tcBorders>
            <w:vMerge w:val="continue"/>
            <w:shd w:val="clear" w:color="auto" w:fill="CCEEFF"/>
          </w:tcPr>
          <w:p>
            <w:pPr>
              <w:spacing w:after="0"/>
              <w:rPr>
                <w:sz w:val="11"/>
                <w:szCs w:val="11"/>
                <w:color w:val="auto"/>
              </w:rPr>
            </w:pPr>
          </w:p>
        </w:tc>
        <w:tc>
          <w:tcPr>
            <w:tcW w:w="960" w:type="dxa"/>
            <w:vAlign w:val="bottom"/>
            <w:tcBorders>
              <w:right w:val="single" w:sz="8" w:color="auto"/>
            </w:tcBorders>
            <w:vMerge w:val="continue"/>
            <w:shd w:val="clear" w:color="auto" w:fill="CCEEFF"/>
          </w:tcPr>
          <w:p>
            <w:pPr>
              <w:spacing w:after="0"/>
              <w:rPr>
                <w:sz w:val="11"/>
                <w:szCs w:val="11"/>
                <w:color w:val="auto"/>
              </w:rPr>
            </w:pPr>
          </w:p>
        </w:tc>
        <w:tc>
          <w:tcPr>
            <w:tcW w:w="980" w:type="dxa"/>
            <w:vAlign w:val="bottom"/>
            <w:tcBorders>
              <w:right w:val="single" w:sz="8" w:color="auto"/>
            </w:tcBorders>
            <w:vMerge w:val="continue"/>
            <w:shd w:val="clear" w:color="auto" w:fill="CCEEFF"/>
          </w:tcPr>
          <w:p>
            <w:pPr>
              <w:spacing w:after="0"/>
              <w:rPr>
                <w:sz w:val="11"/>
                <w:szCs w:val="11"/>
                <w:color w:val="auto"/>
              </w:rPr>
            </w:pPr>
          </w:p>
        </w:tc>
        <w:tc>
          <w:tcPr>
            <w:tcW w:w="960" w:type="dxa"/>
            <w:vAlign w:val="bottom"/>
            <w:tcBorders>
              <w:right w:val="single" w:sz="8" w:color="auto"/>
            </w:tcBorders>
            <w:vMerge w:val="continue"/>
            <w:shd w:val="clear" w:color="auto" w:fill="CCEEFF"/>
          </w:tcPr>
          <w:p>
            <w:pPr>
              <w:spacing w:after="0"/>
              <w:rPr>
                <w:sz w:val="11"/>
                <w:szCs w:val="11"/>
                <w:color w:val="auto"/>
              </w:rPr>
            </w:pPr>
          </w:p>
        </w:tc>
        <w:tc>
          <w:tcPr>
            <w:tcW w:w="960" w:type="dxa"/>
            <w:vAlign w:val="bottom"/>
            <w:tcBorders>
              <w:right w:val="single" w:sz="8" w:color="auto"/>
            </w:tcBorders>
            <w:vMerge w:val="continue"/>
            <w:shd w:val="clear" w:color="auto" w:fill="CCEEFF"/>
          </w:tcPr>
          <w:p>
            <w:pPr>
              <w:spacing w:after="0"/>
              <w:rPr>
                <w:sz w:val="11"/>
                <w:szCs w:val="11"/>
                <w:color w:val="auto"/>
              </w:rPr>
            </w:pPr>
          </w:p>
        </w:tc>
        <w:tc>
          <w:tcPr>
            <w:tcW w:w="960" w:type="dxa"/>
            <w:vAlign w:val="bottom"/>
            <w:tcBorders>
              <w:right w:val="single" w:sz="8" w:color="auto"/>
            </w:tcBorders>
            <w:vMerge w:val="continue"/>
            <w:shd w:val="clear" w:color="auto" w:fill="CCEEFF"/>
          </w:tcPr>
          <w:p>
            <w:pPr>
              <w:spacing w:after="0"/>
              <w:rPr>
                <w:sz w:val="11"/>
                <w:szCs w:val="11"/>
                <w:color w:val="auto"/>
              </w:rPr>
            </w:pPr>
          </w:p>
        </w:tc>
        <w:tc>
          <w:tcPr>
            <w:tcW w:w="980" w:type="dxa"/>
            <w:vAlign w:val="bottom"/>
            <w:tcBorders>
              <w:right w:val="single" w:sz="8" w:color="auto"/>
            </w:tcBorders>
            <w:vMerge w:val="continue"/>
            <w:shd w:val="clear" w:color="auto" w:fill="CCEEFF"/>
          </w:tcPr>
          <w:p>
            <w:pPr>
              <w:spacing w:after="0"/>
              <w:rPr>
                <w:sz w:val="11"/>
                <w:szCs w:val="11"/>
                <w:color w:val="auto"/>
              </w:rPr>
            </w:pPr>
          </w:p>
        </w:tc>
        <w:tc>
          <w:tcPr>
            <w:tcW w:w="96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80" w:type="dxa"/>
            <w:vAlign w:val="bottom"/>
            <w:tcBorders>
              <w:left w:val="single" w:sz="8" w:color="auto"/>
              <w:right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during the Covered</w:t>
            </w:r>
          </w:p>
        </w:tc>
        <w:tc>
          <w:tcPr>
            <w:tcW w:w="960" w:type="dxa"/>
            <w:vAlign w:val="bottom"/>
            <w:tcBorders>
              <w:right w:val="single" w:sz="8" w:color="auto"/>
            </w:tcBorders>
            <w:shd w:val="clear" w:color="auto" w:fill="CCEEFF"/>
          </w:tcPr>
          <w:p>
            <w:pPr>
              <w:spacing w:after="0"/>
              <w:rPr>
                <w:sz w:val="12"/>
                <w:szCs w:val="12"/>
                <w:color w:val="auto"/>
              </w:rPr>
            </w:pPr>
          </w:p>
        </w:tc>
        <w:tc>
          <w:tcPr>
            <w:tcW w:w="98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98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98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5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Year ($)</w:t>
            </w:r>
          </w:p>
        </w:tc>
        <w:tc>
          <w:tcPr>
            <w:tcW w:w="960" w:type="dxa"/>
            <w:vAlign w:val="bottom"/>
            <w:tcBorders>
              <w:bottom w:val="single" w:sz="8" w:color="auto"/>
              <w:right w:val="single" w:sz="8" w:color="auto"/>
            </w:tcBorders>
            <w:shd w:val="clear" w:color="auto" w:fill="CCEEFF"/>
          </w:tcPr>
          <w:p>
            <w:pPr>
              <w:spacing w:after="0"/>
              <w:rPr>
                <w:sz w:val="15"/>
                <w:szCs w:val="15"/>
                <w:color w:val="auto"/>
              </w:rPr>
            </w:pPr>
          </w:p>
        </w:tc>
        <w:tc>
          <w:tcPr>
            <w:tcW w:w="980" w:type="dxa"/>
            <w:vAlign w:val="bottom"/>
            <w:tcBorders>
              <w:bottom w:val="single" w:sz="8" w:color="auto"/>
              <w:right w:val="single" w:sz="8" w:color="auto"/>
            </w:tcBorders>
            <w:shd w:val="clear" w:color="auto" w:fill="CCEEFF"/>
          </w:tcPr>
          <w:p>
            <w:pPr>
              <w:spacing w:after="0"/>
              <w:rPr>
                <w:sz w:val="15"/>
                <w:szCs w:val="15"/>
                <w:color w:val="auto"/>
              </w:rPr>
            </w:pPr>
          </w:p>
        </w:tc>
        <w:tc>
          <w:tcPr>
            <w:tcW w:w="960" w:type="dxa"/>
            <w:vAlign w:val="bottom"/>
            <w:tcBorders>
              <w:bottom w:val="single" w:sz="8" w:color="auto"/>
              <w:right w:val="single" w:sz="8" w:color="auto"/>
            </w:tcBorders>
            <w:shd w:val="clear" w:color="auto" w:fill="CCEEFF"/>
          </w:tcPr>
          <w:p>
            <w:pPr>
              <w:spacing w:after="0"/>
              <w:rPr>
                <w:sz w:val="15"/>
                <w:szCs w:val="15"/>
                <w:color w:val="auto"/>
              </w:rPr>
            </w:pPr>
          </w:p>
        </w:tc>
        <w:tc>
          <w:tcPr>
            <w:tcW w:w="960" w:type="dxa"/>
            <w:vAlign w:val="bottom"/>
            <w:tcBorders>
              <w:bottom w:val="single" w:sz="8" w:color="auto"/>
              <w:right w:val="single" w:sz="8" w:color="auto"/>
            </w:tcBorders>
            <w:shd w:val="clear" w:color="auto" w:fill="CCEEFF"/>
          </w:tcPr>
          <w:p>
            <w:pPr>
              <w:spacing w:after="0"/>
              <w:rPr>
                <w:sz w:val="15"/>
                <w:szCs w:val="15"/>
                <w:color w:val="auto"/>
              </w:rPr>
            </w:pPr>
          </w:p>
        </w:tc>
        <w:tc>
          <w:tcPr>
            <w:tcW w:w="980" w:type="dxa"/>
            <w:vAlign w:val="bottom"/>
            <w:tcBorders>
              <w:bottom w:val="single" w:sz="8" w:color="auto"/>
              <w:right w:val="single" w:sz="8" w:color="auto"/>
            </w:tcBorders>
            <w:shd w:val="clear" w:color="auto" w:fill="CCEEFF"/>
          </w:tcPr>
          <w:p>
            <w:pPr>
              <w:spacing w:after="0"/>
              <w:rPr>
                <w:sz w:val="15"/>
                <w:szCs w:val="15"/>
                <w:color w:val="auto"/>
              </w:rPr>
            </w:pPr>
          </w:p>
        </w:tc>
        <w:tc>
          <w:tcPr>
            <w:tcW w:w="960" w:type="dxa"/>
            <w:vAlign w:val="bottom"/>
            <w:tcBorders>
              <w:bottom w:val="single" w:sz="8" w:color="auto"/>
              <w:right w:val="single" w:sz="8" w:color="auto"/>
            </w:tcBorders>
            <w:shd w:val="clear" w:color="auto" w:fill="CCEEFF"/>
          </w:tcPr>
          <w:p>
            <w:pPr>
              <w:spacing w:after="0"/>
              <w:rPr>
                <w:sz w:val="15"/>
                <w:szCs w:val="15"/>
                <w:color w:val="auto"/>
              </w:rPr>
            </w:pPr>
          </w:p>
        </w:tc>
        <w:tc>
          <w:tcPr>
            <w:tcW w:w="960" w:type="dxa"/>
            <w:vAlign w:val="bottom"/>
            <w:tcBorders>
              <w:bottom w:val="single" w:sz="8" w:color="auto"/>
              <w:right w:val="single" w:sz="8" w:color="auto"/>
            </w:tcBorders>
            <w:shd w:val="clear" w:color="auto" w:fill="CCEEFF"/>
          </w:tcPr>
          <w:p>
            <w:pPr>
              <w:spacing w:after="0"/>
              <w:rPr>
                <w:sz w:val="15"/>
                <w:szCs w:val="15"/>
                <w:color w:val="auto"/>
              </w:rPr>
            </w:pPr>
          </w:p>
        </w:tc>
        <w:tc>
          <w:tcPr>
            <w:tcW w:w="960" w:type="dxa"/>
            <w:vAlign w:val="bottom"/>
            <w:tcBorders>
              <w:bottom w:val="single" w:sz="8" w:color="auto"/>
              <w:right w:val="single" w:sz="8" w:color="auto"/>
            </w:tcBorders>
            <w:shd w:val="clear" w:color="auto" w:fill="CCEEFF"/>
          </w:tcPr>
          <w:p>
            <w:pPr>
              <w:spacing w:after="0"/>
              <w:rPr>
                <w:sz w:val="15"/>
                <w:szCs w:val="15"/>
                <w:color w:val="auto"/>
              </w:rPr>
            </w:pPr>
          </w:p>
        </w:tc>
        <w:tc>
          <w:tcPr>
            <w:tcW w:w="980" w:type="dxa"/>
            <w:vAlign w:val="bottom"/>
            <w:tcBorders>
              <w:bottom w:val="single" w:sz="8" w:color="auto"/>
              <w:right w:val="single" w:sz="8" w:color="auto"/>
            </w:tcBorders>
            <w:shd w:val="clear" w:color="auto" w:fill="CCEEFF"/>
          </w:tcPr>
          <w:p>
            <w:pPr>
              <w:spacing w:after="0"/>
              <w:rPr>
                <w:sz w:val="15"/>
                <w:szCs w:val="15"/>
                <w:color w:val="auto"/>
              </w:rPr>
            </w:pPr>
          </w:p>
        </w:tc>
        <w:tc>
          <w:tcPr>
            <w:tcW w:w="96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580" w:type="dxa"/>
            <w:vAlign w:val="bottom"/>
            <w:tcBorders>
              <w:left w:val="single" w:sz="8" w:color="auto"/>
              <w:right w:val="single" w:sz="8" w:color="auto"/>
            </w:tcBorders>
          </w:tcPr>
          <w:p>
            <w:pPr>
              <w:ind w:left="40"/>
              <w:spacing w:after="0" w:line="140" w:lineRule="exact"/>
              <w:rPr>
                <w:sz w:val="20"/>
                <w:szCs w:val="20"/>
                <w:color w:val="auto"/>
              </w:rPr>
            </w:pPr>
            <w:r>
              <w:rPr>
                <w:rFonts w:ascii="Arial" w:cs="Arial" w:eastAsia="Arial" w:hAnsi="Arial"/>
                <w:sz w:val="14"/>
                <w:szCs w:val="14"/>
                <w:color w:val="auto"/>
              </w:rPr>
              <w:t>Compensation Actually</w:t>
            </w:r>
          </w:p>
        </w:tc>
        <w:tc>
          <w:tcPr>
            <w:tcW w:w="9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2,340,513</w:t>
            </w:r>
          </w:p>
        </w:tc>
        <w:tc>
          <w:tcPr>
            <w:tcW w:w="98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4"/>
                <w:szCs w:val="14"/>
                <w:color w:val="auto"/>
              </w:rPr>
              <w:t>1,099,108</w:t>
            </w:r>
          </w:p>
        </w:tc>
        <w:tc>
          <w:tcPr>
            <w:tcW w:w="9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12,940,505</w:t>
            </w:r>
          </w:p>
        </w:tc>
        <w:tc>
          <w:tcPr>
            <w:tcW w:w="9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4,035,955</w:t>
            </w:r>
          </w:p>
        </w:tc>
        <w:tc>
          <w:tcPr>
            <w:tcW w:w="98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4"/>
                <w:szCs w:val="14"/>
                <w:color w:val="auto"/>
              </w:rPr>
              <w:t>571,286</w:t>
            </w:r>
          </w:p>
        </w:tc>
        <w:tc>
          <w:tcPr>
            <w:tcW w:w="9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551,000</w:t>
            </w:r>
          </w:p>
        </w:tc>
        <w:tc>
          <w:tcPr>
            <w:tcW w:w="9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3,978,785</w:t>
            </w:r>
          </w:p>
        </w:tc>
        <w:tc>
          <w:tcPr>
            <w:tcW w:w="9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1,523,590</w:t>
            </w:r>
          </w:p>
        </w:tc>
        <w:tc>
          <w:tcPr>
            <w:tcW w:w="98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4"/>
                <w:szCs w:val="14"/>
                <w:color w:val="auto"/>
              </w:rPr>
              <w:t>5,159,285</w:t>
            </w:r>
          </w:p>
        </w:tc>
        <w:tc>
          <w:tcPr>
            <w:tcW w:w="9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color w:val="auto"/>
              </w:rPr>
              <w:t>1,811,197</w:t>
            </w:r>
          </w:p>
        </w:tc>
        <w:tc>
          <w:tcPr>
            <w:tcW w:w="0" w:type="dxa"/>
            <w:vAlign w:val="bottom"/>
          </w:tcPr>
          <w:p>
            <w:pPr>
              <w:spacing w:after="0"/>
              <w:rPr>
                <w:sz w:val="1"/>
                <w:szCs w:val="1"/>
                <w:color w:val="auto"/>
              </w:rPr>
            </w:pPr>
          </w:p>
        </w:tc>
      </w:tr>
      <w:tr>
        <w:trPr>
          <w:trHeight w:val="103"/>
        </w:trPr>
        <w:tc>
          <w:tcPr>
            <w:tcW w:w="15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Paid ($)</w:t>
            </w:r>
          </w:p>
        </w:tc>
        <w:tc>
          <w:tcPr>
            <w:tcW w:w="96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58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ind w:left="620" w:right="400" w:hanging="600"/>
        <w:spacing w:after="0" w:line="242" w:lineRule="auto"/>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Non-PEO NEOs included in the Average Calculations for each year presented are: Neil Boehm, Kevin Nash, Matt Chiodo, and Scott Ryan.</w:t>
      </w:r>
    </w:p>
    <w:p>
      <w:pPr>
        <w:spacing w:after="0" w:line="4" w:lineRule="exact"/>
        <w:rPr>
          <w:rFonts w:ascii="Arial" w:cs="Arial" w:eastAsia="Arial" w:hAnsi="Arial"/>
          <w:sz w:val="17"/>
          <w:szCs w:val="17"/>
          <w:color w:val="auto"/>
        </w:rPr>
      </w:pPr>
    </w:p>
    <w:p>
      <w:pPr>
        <w:jc w:val="both"/>
        <w:ind w:left="620" w:right="400" w:hanging="600"/>
        <w:spacing w:after="0" w:line="218" w:lineRule="auto"/>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peer group used for purposes of this disclosure is the Russell 3000 Automobiles and Parts Supersector Index, which we also utilize in the stock performance graph provided in our annual report pursuant to Item 201(e) of Regulation S-K. For purposes of disclosure in our 2023 proxy statement, we used the Dow Jones Auto Index (the "Prior Peer Group"). We believe the Russell 3000 Automobiles and Parts Supersector Index is a better comparative index than the Prior Peer Group due to the limited number of companies used in the Prior Peer Group and the Company's outsized impact on the performance of the Prior Peer Group. The 2023 retention grant was based on the TSR of the Russell 3000 Automobiles and Parts Supersector. The TSR for the Prior Peer Group for each respective year reported in the table is as follows: $117.51 as of December 31, 2020; $142.18 as of December 31, 2021; $104.59 as of December 31, 2022; $104.54 as of December 31, 2023; and $81.90 as of December 31, 2024.</w:t>
      </w:r>
    </w:p>
    <w:p>
      <w:pPr>
        <w:spacing w:after="0" w:line="8" w:lineRule="exact"/>
        <w:rPr>
          <w:rFonts w:ascii="Arial" w:cs="Arial" w:eastAsia="Arial" w:hAnsi="Arial"/>
          <w:sz w:val="17"/>
          <w:szCs w:val="17"/>
          <w:color w:val="auto"/>
        </w:rPr>
      </w:pPr>
    </w:p>
    <w:p>
      <w:pPr>
        <w:ind w:left="620" w:right="400" w:hanging="600"/>
        <w:spacing w:after="0" w:line="242" w:lineRule="auto"/>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Net Sales is selected as the most important performance measurement for the current year, which together with net income, are presented in the table.</w:t>
      </w:r>
    </w:p>
    <w:p>
      <w:pPr>
        <w:spacing w:after="0" w:line="301" w:lineRule="exact"/>
        <w:rPr>
          <w:sz w:val="20"/>
          <w:szCs w:val="20"/>
          <w:color w:val="auto"/>
        </w:rPr>
      </w:pPr>
    </w:p>
    <w:p>
      <w:pPr>
        <w:ind w:firstLine="618"/>
        <w:spacing w:after="0" w:line="289" w:lineRule="auto"/>
        <w:rPr>
          <w:sz w:val="20"/>
          <w:szCs w:val="20"/>
          <w:color w:val="auto"/>
        </w:rPr>
      </w:pPr>
      <w:r>
        <w:rPr>
          <w:rFonts w:ascii="Arial" w:cs="Arial" w:eastAsia="Arial" w:hAnsi="Arial"/>
          <w:sz w:val="17"/>
          <w:szCs w:val="17"/>
          <w:color w:val="auto"/>
        </w:rPr>
        <w:t>The graphs below describe the relationship between pay and performance by comparing compensation actually paid to our CEO, as well as average compensation actually paid to our other NEOs, to our cumulative TSR, peer group TSR, net income, and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1227455</wp:posOffset>
            </wp:positionH>
            <wp:positionV relativeFrom="page">
              <wp:posOffset>481330</wp:posOffset>
            </wp:positionV>
            <wp:extent cx="5495290" cy="27641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5495290" cy="2764155"/>
                    </a:xfrm>
                    <a:prstGeom prst="rect">
                      <a:avLst/>
                    </a:prstGeom>
                    <a:noFill/>
                  </pic:spPr>
                </pic:pic>
              </a:graphicData>
            </a:graphic>
          </wp:anchor>
        </w:drawing>
        <w:drawing>
          <wp:anchor simplePos="0" relativeHeight="251657728" behindDoc="1" locked="0" layoutInCell="0" allowOverlap="1">
            <wp:simplePos x="0" y="0"/>
            <wp:positionH relativeFrom="page">
              <wp:posOffset>1227455</wp:posOffset>
            </wp:positionH>
            <wp:positionV relativeFrom="page">
              <wp:posOffset>4185920</wp:posOffset>
            </wp:positionV>
            <wp:extent cx="5495290" cy="2813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495290"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1031240</wp:posOffset>
            </wp:positionH>
            <wp:positionV relativeFrom="page">
              <wp:posOffset>481330</wp:posOffset>
            </wp:positionV>
            <wp:extent cx="5495290" cy="27311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495290" cy="2731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Listed below are the financial performance measures which, in our assessment, represent the other most important financial performance measures we use to link compensation actually paid to our NEOs, for 2024, to Company performance.</w:t>
      </w:r>
    </w:p>
    <w:tbl>
      <w:tblPr>
        <w:tblLayout w:type="fixed"/>
        <w:tblInd w:w="10" w:type="dxa"/>
        <w:tblCellMar>
          <w:top w:w="0" w:type="dxa"/>
          <w:left w:w="0" w:type="dxa"/>
          <w:bottom w:w="0" w:type="dxa"/>
          <w:right w:w="0" w:type="dxa"/>
        </w:tblCellMar>
      </w:tblPr>
      <w:tr>
        <w:trPr>
          <w:trHeight w:val="185"/>
        </w:trPr>
        <w:tc>
          <w:tcPr>
            <w:tcW w:w="31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Measure</w:t>
            </w:r>
          </w:p>
        </w:tc>
        <w:tc>
          <w:tcPr>
            <w:tcW w:w="81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83"/>
        </w:trPr>
        <w:tc>
          <w:tcPr>
            <w:tcW w:w="3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EBITDA</w:t>
            </w:r>
          </w:p>
        </w:tc>
        <w:tc>
          <w:tcPr>
            <w:tcW w:w="81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Earnings before Interest, Taxes, Depreciation, and Amortization.</w:t>
            </w:r>
          </w:p>
        </w:tc>
      </w:tr>
      <w:tr>
        <w:trPr>
          <w:trHeight w:val="186"/>
        </w:trPr>
        <w:tc>
          <w:tcPr>
            <w:tcW w:w="3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ROIC</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Return On Invested Capital</w:t>
            </w:r>
          </w:p>
        </w:tc>
      </w:tr>
      <w:tr>
        <w:trPr>
          <w:trHeight w:val="186"/>
        </w:trPr>
        <w:tc>
          <w:tcPr>
            <w:tcW w:w="3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81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GAAP Operating Income compared to target</w:t>
            </w:r>
          </w:p>
        </w:tc>
      </w:tr>
      <w:tr>
        <w:trPr>
          <w:trHeight w:val="186"/>
        </w:trPr>
        <w:tc>
          <w:tcPr>
            <w:tcW w:w="3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Earnings Per Diluted Share</w:t>
            </w:r>
          </w:p>
        </w:tc>
        <w:tc>
          <w:tcPr>
            <w:tcW w:w="8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GAAP Earnings Per Diluted Share compared to target</w:t>
            </w:r>
          </w:p>
        </w:tc>
      </w:tr>
    </w:tbl>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u w:val="single" w:color="auto"/>
          <w:color w:val="auto"/>
        </w:rPr>
        <w:t>RATIFICATION OF APPOINTMENT OF INDEPENDENT AUDITORS – PRINCIPAL ACCOUNTING FEES AND SERVICES</w:t>
      </w:r>
    </w:p>
    <w:p>
      <w:pPr>
        <w:spacing w:after="0" w:line="244" w:lineRule="exact"/>
        <w:rPr>
          <w:sz w:val="20"/>
          <w:szCs w:val="20"/>
          <w:color w:val="auto"/>
        </w:rPr>
      </w:pPr>
    </w:p>
    <w:p>
      <w:pPr>
        <w:jc w:val="both"/>
        <w:ind w:firstLine="618"/>
        <w:spacing w:after="0" w:line="271" w:lineRule="auto"/>
        <w:rPr>
          <w:sz w:val="20"/>
          <w:szCs w:val="20"/>
          <w:color w:val="auto"/>
        </w:rPr>
      </w:pPr>
      <w:r>
        <w:rPr>
          <w:rFonts w:ascii="Arial" w:cs="Arial" w:eastAsia="Arial" w:hAnsi="Arial"/>
          <w:sz w:val="17"/>
          <w:szCs w:val="17"/>
          <w:color w:val="auto"/>
        </w:rPr>
        <w:t>The Audit Committee and Board have selected, and submit to shareholders for ratification, Ernst &amp; Young LLP to serve as the Company’s independent auditors for the fiscal year ending December 31, 2025. The following fees were billed by Ernst &amp; Young LLP, the Company’s independent auditors, for the services provided to the Company during the fiscal years ended December 31: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37"/>
              <w:spacing w:after="0"/>
              <w:rPr>
                <w:sz w:val="20"/>
                <w:szCs w:val="20"/>
                <w:color w:val="auto"/>
              </w:rPr>
            </w:pPr>
            <w:r>
              <w:rPr>
                <w:rFonts w:ascii="Arial" w:cs="Arial" w:eastAsia="Arial" w:hAnsi="Arial"/>
                <w:sz w:val="14"/>
                <w:szCs w:val="14"/>
                <w:b w:val="1"/>
                <w:bCs w:val="1"/>
                <w:color w:val="auto"/>
              </w:rPr>
              <w:t>2023</w:t>
            </w:r>
          </w:p>
        </w:tc>
      </w:tr>
      <w:tr>
        <w:trPr>
          <w:trHeight w:val="21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Audit Fees</w:t>
            </w:r>
          </w:p>
        </w:tc>
        <w:tc>
          <w:tcPr>
            <w:tcW w:w="1180" w:type="dxa"/>
            <w:vAlign w:val="bottom"/>
            <w:shd w:val="clear" w:color="auto" w:fill="CCEEFF"/>
          </w:tcPr>
          <w:p>
            <w:pPr>
              <w:jc w:val="right"/>
              <w:ind w:right="100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790,929</w:t>
            </w:r>
          </w:p>
        </w:tc>
        <w:tc>
          <w:tcPr>
            <w:tcW w:w="50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731,875</w:t>
            </w:r>
          </w:p>
        </w:tc>
      </w:tr>
      <w:tr>
        <w:trPr>
          <w:trHeight w:val="219"/>
        </w:trPr>
        <w:tc>
          <w:tcPr>
            <w:tcW w:w="7260" w:type="dxa"/>
            <w:vAlign w:val="bottom"/>
          </w:tcPr>
          <w:p>
            <w:pPr>
              <w:ind w:left="20"/>
              <w:spacing w:after="0"/>
              <w:rPr>
                <w:sz w:val="20"/>
                <w:szCs w:val="20"/>
                <w:color w:val="auto"/>
              </w:rPr>
            </w:pPr>
            <w:r>
              <w:rPr>
                <w:rFonts w:ascii="Arial" w:cs="Arial" w:eastAsia="Arial" w:hAnsi="Arial"/>
                <w:sz w:val="17"/>
                <w:szCs w:val="17"/>
                <w:color w:val="auto"/>
              </w:rPr>
              <w:t>Audit-Related</w:t>
            </w:r>
          </w:p>
        </w:tc>
        <w:tc>
          <w:tcPr>
            <w:tcW w:w="1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Fees</w:t>
            </w:r>
          </w:p>
        </w:tc>
        <w:tc>
          <w:tcPr>
            <w:tcW w:w="1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All Other</w:t>
            </w:r>
          </w:p>
        </w:tc>
        <w:tc>
          <w:tcPr>
            <w:tcW w:w="1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7"/>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180" w:type="dxa"/>
            <w:vAlign w:val="bottom"/>
            <w:tcBorders>
              <w:bottom w:val="single" w:sz="8" w:color="auto"/>
            </w:tcBorders>
            <w:shd w:val="clear" w:color="auto" w:fill="CCEEFF"/>
          </w:tcPr>
          <w:p>
            <w:pPr>
              <w:jc w:val="right"/>
              <w:ind w:right="1000"/>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790,929</w:t>
            </w:r>
          </w:p>
        </w:tc>
        <w:tc>
          <w:tcPr>
            <w:tcW w:w="50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731,875</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both"/>
        <w:ind w:firstLine="618"/>
        <w:spacing w:after="0" w:line="259" w:lineRule="auto"/>
        <w:rPr>
          <w:sz w:val="20"/>
          <w:szCs w:val="20"/>
          <w:color w:val="auto"/>
        </w:rPr>
      </w:pPr>
      <w:r>
        <w:rPr>
          <w:rFonts w:ascii="Arial" w:cs="Arial" w:eastAsia="Arial" w:hAnsi="Arial"/>
          <w:sz w:val="17"/>
          <w:szCs w:val="17"/>
          <w:color w:val="auto"/>
        </w:rPr>
        <w:t>Audit fees include the annual audit of the Company’s consolidated financial statements, the audit of internal control over financial reporting, and timely quarterly reviews. Audit-Related fees principally consist of consultations concerning accounting matters associated with the annual audit, incremental consent filings, and other out-of-scope work. Tax fees principally consist of fees for tax advice. All Other fees principally consist of diligence services pertaining to potential acquisitions, including tax due diligence (but not tax services related to structuring). All non-audit services, including those indicated above, are pre-approved by the Audit Committee pursuant to the Revised Audit Committee Procedures for Approval of Audit and Non-Audit Services by Independent Auditors, which is attached as Appendix A to this Proxy Statement. The Audit Committee considers the amount of fees for non-audit services in selecting and assessing the independence of the Company's auditors.</w:t>
      </w:r>
    </w:p>
    <w:p>
      <w:pPr>
        <w:spacing w:after="0" w:line="197" w:lineRule="exact"/>
        <w:rPr>
          <w:sz w:val="20"/>
          <w:szCs w:val="20"/>
          <w:color w:val="auto"/>
        </w:rPr>
      </w:pPr>
    </w:p>
    <w:p>
      <w:pPr>
        <w:jc w:val="both"/>
        <w:ind w:firstLine="618"/>
        <w:spacing w:after="0" w:line="258" w:lineRule="auto"/>
        <w:rPr>
          <w:sz w:val="20"/>
          <w:szCs w:val="20"/>
          <w:color w:val="auto"/>
        </w:rPr>
      </w:pPr>
      <w:r>
        <w:rPr>
          <w:rFonts w:ascii="Arial" w:cs="Arial" w:eastAsia="Arial" w:hAnsi="Arial"/>
          <w:sz w:val="17"/>
          <w:szCs w:val="17"/>
          <w:color w:val="auto"/>
        </w:rPr>
        <w:t>The Audit Committee periodically evaluates the Company's independent auditor. The quality of the staff of Ernst &amp; Young LLP, historical and current performance, expertise in the Company's industries, reasonableness of fees, and independence are all factors that went into the Audit Committee's decision to select Ernst &amp; Young LLP as the Company's independent auditors. The audit engagement partner for the Company rotates at least every five years and the Audit Committee is involved in the selection of a new audit engagement partner. Although ratification of the independent auditors by the Company’s shareholders is not legally required, the Audit Committee and Board believe that submission of this matter to the shareholders follows sound business practice and is in the best interest of shareholders in the current environment. If the shareholders do not approve the selection of Ernst &amp; Young LLP, the selection of such firm as our independent auditors will be reconsidered by the Audit Committee. Accordingly, you may vote on the following resolution at the 2025 Annual Meeting of Shareholders:</w:t>
      </w:r>
    </w:p>
    <w:p>
      <w:pPr>
        <w:spacing w:after="0" w:line="199" w:lineRule="exact"/>
        <w:rPr>
          <w:sz w:val="20"/>
          <w:szCs w:val="20"/>
          <w:color w:val="auto"/>
        </w:rPr>
      </w:pPr>
    </w:p>
    <w:p>
      <w:pPr>
        <w:ind w:left="620" w:firstLine="618"/>
        <w:spacing w:after="0" w:line="289" w:lineRule="auto"/>
        <w:rPr>
          <w:sz w:val="20"/>
          <w:szCs w:val="20"/>
          <w:color w:val="auto"/>
        </w:rPr>
      </w:pPr>
      <w:r>
        <w:rPr>
          <w:rFonts w:ascii="Arial" w:cs="Arial" w:eastAsia="Arial" w:hAnsi="Arial"/>
          <w:sz w:val="17"/>
          <w:szCs w:val="17"/>
          <w:color w:val="auto"/>
        </w:rPr>
        <w:t>RESOLVED, that Ernst &amp; Young LLP be and hereby is ratified to serve as the independent auditors of the Company for the fiscal year ended December 31, 2025.</w:t>
      </w:r>
    </w:p>
    <w:p>
      <w:pPr>
        <w:spacing w:after="0" w:line="173" w:lineRule="exact"/>
        <w:rPr>
          <w:sz w:val="20"/>
          <w:szCs w:val="20"/>
          <w:color w:val="auto"/>
        </w:rPr>
      </w:pPr>
    </w:p>
    <w:p>
      <w:pPr>
        <w:ind w:firstLine="618"/>
        <w:spacing w:after="0" w:line="289" w:lineRule="auto"/>
        <w:rPr>
          <w:sz w:val="20"/>
          <w:szCs w:val="20"/>
          <w:color w:val="auto"/>
        </w:rPr>
      </w:pPr>
      <w:r>
        <w:rPr>
          <w:rFonts w:ascii="Arial" w:cs="Arial" w:eastAsia="Arial" w:hAnsi="Arial"/>
          <w:sz w:val="17"/>
          <w:szCs w:val="17"/>
          <w:color w:val="auto"/>
        </w:rPr>
        <w:t>A representative of Ernst &amp; Young LLP is expected to be present at the Annual Meeting to respond to appropriate questions and will have an opportunity to make a statement if they desire.</w:t>
      </w:r>
    </w:p>
    <w:p>
      <w:pPr>
        <w:spacing w:after="0" w:line="171" w:lineRule="exact"/>
        <w:rPr>
          <w:sz w:val="20"/>
          <w:szCs w:val="20"/>
          <w:color w:val="auto"/>
        </w:rPr>
      </w:pPr>
    </w:p>
    <w:p>
      <w:pPr>
        <w:ind w:firstLine="618"/>
        <w:spacing w:after="0" w:line="304" w:lineRule="auto"/>
        <w:rPr>
          <w:sz w:val="20"/>
          <w:szCs w:val="20"/>
          <w:color w:val="auto"/>
        </w:rPr>
      </w:pPr>
      <w:r>
        <w:rPr>
          <w:rFonts w:ascii="Arial" w:cs="Arial" w:eastAsia="Arial" w:hAnsi="Arial"/>
          <w:sz w:val="17"/>
          <w:szCs w:val="17"/>
          <w:b w:val="1"/>
          <w:bCs w:val="1"/>
          <w:color w:val="auto"/>
        </w:rPr>
        <w:t>The Board unanimously recommends a vote FOR the ratification of Ernst &amp; Young LLP to serve as the Company's independent auditors for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u w:val="single" w:color="auto"/>
          <w:color w:val="auto"/>
        </w:rPr>
        <w:t>ADVISORY VOTE ON EXECUTIVE COMPENSATION</w:t>
      </w:r>
    </w:p>
    <w:p>
      <w:pPr>
        <w:spacing w:after="0" w:line="244" w:lineRule="exact"/>
        <w:rPr>
          <w:sz w:val="20"/>
          <w:szCs w:val="20"/>
          <w:color w:val="auto"/>
        </w:rPr>
      </w:pPr>
    </w:p>
    <w:p>
      <w:pPr>
        <w:jc w:val="both"/>
        <w:ind w:firstLine="618"/>
        <w:spacing w:after="0" w:line="260" w:lineRule="auto"/>
        <w:rPr>
          <w:sz w:val="20"/>
          <w:szCs w:val="20"/>
          <w:color w:val="auto"/>
        </w:rPr>
      </w:pPr>
      <w:r>
        <w:rPr>
          <w:rFonts w:ascii="Arial" w:cs="Arial" w:eastAsia="Arial" w:hAnsi="Arial"/>
          <w:sz w:val="17"/>
          <w:szCs w:val="17"/>
          <w:color w:val="auto"/>
        </w:rPr>
        <w:t>As described in the detail in "Compensation Discussion and Analysis", the Company's compensation system is designed to balance short-term performance with long-term growth. Our compensation system must be competitive with compensation arrangements provided to executives at comparably sized companies with whom we compete for talent. We look to: reward performance (with an appropriate percentage of executive pay being performance based); emphasize long-term incentive compensation; drive ownership mentality; and attract, retain and reward the best talent to achieve desired results and to execute the Company's strategic plan. Shareholders are encouraged to read "Compensation Discussion and Analysis", the Company compensation tables, and the related narrative disclosures.</w:t>
      </w:r>
    </w:p>
    <w:p>
      <w:pPr>
        <w:spacing w:after="0" w:line="197" w:lineRule="exact"/>
        <w:rPr>
          <w:sz w:val="20"/>
          <w:szCs w:val="20"/>
          <w:color w:val="auto"/>
        </w:rPr>
      </w:pPr>
    </w:p>
    <w:p>
      <w:pPr>
        <w:jc w:val="both"/>
        <w:ind w:firstLine="618"/>
        <w:spacing w:after="0" w:line="271" w:lineRule="auto"/>
        <w:rPr>
          <w:sz w:val="20"/>
          <w:szCs w:val="20"/>
          <w:color w:val="auto"/>
        </w:rPr>
      </w:pPr>
      <w:r>
        <w:rPr>
          <w:rFonts w:ascii="Arial" w:cs="Arial" w:eastAsia="Arial" w:hAnsi="Arial"/>
          <w:sz w:val="17"/>
          <w:szCs w:val="17"/>
          <w:color w:val="auto"/>
        </w:rPr>
        <w:t>In accordance with certain legislation, the Company is providing shareholders with an advisory (nonbinding) vote on compensation programs for named executive officers (sometimes referred to as "say-on-pay"). Accordingly, you may vote on the following resolution at the 2025 Annual Meeting of Shareholders:</w:t>
      </w:r>
    </w:p>
    <w:p>
      <w:pPr>
        <w:spacing w:after="0" w:line="188" w:lineRule="exact"/>
        <w:rPr>
          <w:sz w:val="20"/>
          <w:szCs w:val="20"/>
          <w:color w:val="auto"/>
        </w:rPr>
      </w:pPr>
    </w:p>
    <w:p>
      <w:pPr>
        <w:jc w:val="both"/>
        <w:ind w:left="620" w:right="620" w:firstLine="618"/>
        <w:spacing w:after="0" w:line="271" w:lineRule="auto"/>
        <w:rPr>
          <w:sz w:val="20"/>
          <w:szCs w:val="20"/>
          <w:color w:val="auto"/>
        </w:rPr>
      </w:pPr>
      <w:r>
        <w:rPr>
          <w:rFonts w:ascii="Arial" w:cs="Arial" w:eastAsia="Arial" w:hAnsi="Arial"/>
          <w:sz w:val="17"/>
          <w:szCs w:val="17"/>
          <w:color w:val="auto"/>
        </w:rPr>
        <w:t>RESOLVED, that the compensation of the Company's named executive officers, as disclosed pursuant to Item 402 of Regulation S-K, including Compensation Discussion and Analysis, compensation tables, and narrative disclosure is hereby APPROVED.</w:t>
      </w:r>
    </w:p>
    <w:p>
      <w:pPr>
        <w:spacing w:after="0" w:line="188" w:lineRule="exact"/>
        <w:rPr>
          <w:sz w:val="20"/>
          <w:szCs w:val="20"/>
          <w:color w:val="auto"/>
        </w:rPr>
      </w:pPr>
    </w:p>
    <w:p>
      <w:pPr>
        <w:jc w:val="both"/>
        <w:ind w:firstLine="618"/>
        <w:spacing w:after="0" w:line="271" w:lineRule="auto"/>
        <w:rPr>
          <w:sz w:val="20"/>
          <w:szCs w:val="20"/>
          <w:color w:val="auto"/>
        </w:rPr>
      </w:pPr>
      <w:r>
        <w:rPr>
          <w:rFonts w:ascii="Arial" w:cs="Arial" w:eastAsia="Arial" w:hAnsi="Arial"/>
          <w:sz w:val="17"/>
          <w:szCs w:val="17"/>
          <w:color w:val="auto"/>
        </w:rPr>
        <w:t>This vote is non-binding. The Board and the Compensation Committee, which is comprised of independent directors, expect to take into account the outcome of this advisory vote when considering future executive compensation decisions, to the extent they can determine the cause or causes of any significant negative voting results.</w:t>
      </w:r>
    </w:p>
    <w:p>
      <w:pPr>
        <w:spacing w:after="0" w:line="186" w:lineRule="exact"/>
        <w:rPr>
          <w:sz w:val="20"/>
          <w:szCs w:val="20"/>
          <w:color w:val="auto"/>
        </w:rPr>
      </w:pPr>
    </w:p>
    <w:p>
      <w:pPr>
        <w:jc w:val="both"/>
        <w:ind w:firstLine="618"/>
        <w:spacing w:after="0" w:line="278" w:lineRule="auto"/>
        <w:rPr>
          <w:sz w:val="20"/>
          <w:szCs w:val="20"/>
          <w:color w:val="auto"/>
        </w:rPr>
      </w:pPr>
      <w:r>
        <w:rPr>
          <w:rFonts w:ascii="Arial" w:cs="Arial" w:eastAsia="Arial" w:hAnsi="Arial"/>
          <w:sz w:val="17"/>
          <w:szCs w:val="17"/>
          <w:b w:val="1"/>
          <w:bCs w:val="1"/>
          <w:color w:val="auto"/>
        </w:rPr>
        <w:t>The Board unanimously recommends that you vote FOR the approval, on an advisory basis, of the compensation of our named executive officers as disclosed pursuant to Item 402 of Resolution S-K, including Compensation Discussion and Analysis, compensation tables, and narrative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u w:val="single" w:color="auto"/>
          <w:color w:val="auto"/>
        </w:rPr>
        <w:t>DELINQUENT SECTION 16 REPORTS</w:t>
      </w:r>
    </w:p>
    <w:p>
      <w:pPr>
        <w:spacing w:after="0" w:line="257" w:lineRule="exact"/>
        <w:rPr>
          <w:sz w:val="20"/>
          <w:szCs w:val="20"/>
          <w:color w:val="auto"/>
        </w:rPr>
      </w:pPr>
    </w:p>
    <w:p>
      <w:pPr>
        <w:jc w:val="both"/>
        <w:ind w:firstLine="618"/>
        <w:spacing w:after="0" w:line="271" w:lineRule="auto"/>
        <w:rPr>
          <w:sz w:val="20"/>
          <w:szCs w:val="20"/>
          <w:color w:val="auto"/>
        </w:rPr>
      </w:pPr>
      <w:r>
        <w:rPr>
          <w:rFonts w:ascii="Arial" w:cs="Arial" w:eastAsia="Arial" w:hAnsi="Arial"/>
          <w:sz w:val="17"/>
          <w:szCs w:val="17"/>
          <w:color w:val="auto"/>
        </w:rPr>
        <w:t>Based upon a review of Forms 3, 4, and 5 furnished to the Company during or with respect to the preceding fiscal year and written representations from certain reporting persons, the Company is not aware of any failure by any reporting person to make timely filings of those Forms as required by Section 16(a)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SHAREHOLDER PROPOSALS</w:t>
      </w:r>
    </w:p>
    <w:p>
      <w:pPr>
        <w:spacing w:after="0" w:line="103" w:lineRule="exact"/>
        <w:rPr>
          <w:sz w:val="20"/>
          <w:szCs w:val="20"/>
          <w:color w:val="auto"/>
        </w:rPr>
      </w:pPr>
    </w:p>
    <w:p>
      <w:pPr>
        <w:jc w:val="both"/>
        <w:ind w:firstLine="618"/>
        <w:spacing w:after="0" w:line="257" w:lineRule="auto"/>
        <w:rPr>
          <w:sz w:val="20"/>
          <w:szCs w:val="20"/>
          <w:color w:val="auto"/>
        </w:rPr>
      </w:pPr>
      <w:r>
        <w:rPr>
          <w:rFonts w:ascii="Arial" w:cs="Arial" w:eastAsia="Arial" w:hAnsi="Arial"/>
          <w:sz w:val="17"/>
          <w:szCs w:val="17"/>
          <w:color w:val="auto"/>
        </w:rPr>
        <w:t>Any proposal of a shareholder intended to be presented at the 2026 Annual Meeting must be in accordance with Rule 14a-8 of the Securities Exchange Act of 1934 and be received by the Company at its headquarters, c/o Corporate Secretary’s Office, 600 North Centennial Street, Zeeland, Michigan 49464, no later than December 4, 2025, if the shareholder wishes the proposal to be included in the Company’s Proxy Statement relating to that meeting. In addition, the Company’s Bylaws contain certain notice and procedural requirements applicable to shareholder proposals, irrespective of whether the proposal is to be included in the Company’s Proxy materials. To be timely, such a shareholder's notice must be delivered, or mailed and received at, the Company's headquarters as set forth in the Company’s Bylaws. A copy of the Company’s Bylaws is filed with the SEC and can be obtained from the Public Reference Section of the Commission or the Company. To comply with the universal proxy rules, shareholders who intend to solicit proxies in support of director nominees other than the Company's nominees must provide notice that sets forth the information required by Rule 14a-19 under the Securities Exchange Act of 1934, no later than March 16, 2026.</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MISCELLANEOUS</w:t>
      </w:r>
    </w:p>
    <w:p>
      <w:pPr>
        <w:spacing w:after="0" w:line="244" w:lineRule="exact"/>
        <w:rPr>
          <w:sz w:val="20"/>
          <w:szCs w:val="20"/>
          <w:color w:val="auto"/>
        </w:rPr>
      </w:pPr>
    </w:p>
    <w:p>
      <w:pPr>
        <w:jc w:val="both"/>
        <w:ind w:firstLine="618"/>
        <w:spacing w:after="0" w:line="289" w:lineRule="auto"/>
        <w:rPr>
          <w:sz w:val="20"/>
          <w:szCs w:val="20"/>
          <w:color w:val="auto"/>
        </w:rPr>
      </w:pPr>
      <w:r>
        <w:rPr>
          <w:rFonts w:ascii="Arial" w:cs="Arial" w:eastAsia="Arial" w:hAnsi="Arial"/>
          <w:sz w:val="17"/>
          <w:szCs w:val="17"/>
          <w:color w:val="auto"/>
        </w:rPr>
        <w:t xml:space="preserve">The Company’s Annual Report to Shareholders, including financial statements, is being delivered to shareholders with this Proxy Statement and can be found online at </w:t>
      </w:r>
      <w:r>
        <w:rPr>
          <w:rFonts w:ascii="Arial" w:cs="Arial" w:eastAsia="Arial" w:hAnsi="Arial"/>
          <w:sz w:val="17"/>
          <w:szCs w:val="17"/>
          <w:u w:val="single" w:color="auto"/>
          <w:color w:val="auto"/>
        </w:rPr>
        <w:t>http://ir.gentex.com</w:t>
      </w:r>
      <w:r>
        <w:rPr>
          <w:rFonts w:ascii="Arial" w:cs="Arial" w:eastAsia="Arial" w:hAnsi="Arial"/>
          <w:sz w:val="17"/>
          <w:szCs w:val="17"/>
          <w:color w:val="auto"/>
        </w:rPr>
        <w:t>.</w:t>
      </w:r>
    </w:p>
    <w:p>
      <w:pPr>
        <w:spacing w:after="0" w:line="173" w:lineRule="exact"/>
        <w:rPr>
          <w:sz w:val="20"/>
          <w:szCs w:val="20"/>
          <w:color w:val="auto"/>
        </w:rPr>
      </w:pPr>
    </w:p>
    <w:p>
      <w:pPr>
        <w:jc w:val="both"/>
        <w:ind w:firstLine="618"/>
        <w:spacing w:after="0" w:line="271" w:lineRule="auto"/>
        <w:rPr>
          <w:sz w:val="20"/>
          <w:szCs w:val="20"/>
          <w:color w:val="auto"/>
        </w:rPr>
      </w:pPr>
      <w:r>
        <w:rPr>
          <w:rFonts w:ascii="Arial" w:cs="Arial" w:eastAsia="Arial" w:hAnsi="Arial"/>
          <w:sz w:val="17"/>
          <w:szCs w:val="17"/>
          <w:color w:val="auto"/>
        </w:rPr>
        <w:t>Management is not aware of any matters to be presented for action at the Annual Meeting other than as set forth in this Proxy Statement. If other business should come before the meeting, it is the intention of the persons named as Proxy holders in the accompanying Proxy to vote the shares in accordance with their judgment. Discretionary authority to do so is included in the Proxy.</w:t>
      </w:r>
    </w:p>
    <w:p>
      <w:pPr>
        <w:spacing w:after="0" w:line="188" w:lineRule="exact"/>
        <w:rPr>
          <w:sz w:val="20"/>
          <w:szCs w:val="20"/>
          <w:color w:val="auto"/>
        </w:rPr>
      </w:pPr>
    </w:p>
    <w:p>
      <w:pPr>
        <w:jc w:val="both"/>
        <w:ind w:firstLine="618"/>
        <w:spacing w:after="0" w:line="263" w:lineRule="auto"/>
        <w:rPr>
          <w:sz w:val="20"/>
          <w:szCs w:val="20"/>
          <w:color w:val="auto"/>
        </w:rPr>
      </w:pPr>
      <w:r>
        <w:rPr>
          <w:rFonts w:ascii="Arial" w:cs="Arial" w:eastAsia="Arial" w:hAnsi="Arial"/>
          <w:sz w:val="17"/>
          <w:szCs w:val="17"/>
          <w:color w:val="auto"/>
        </w:rPr>
        <w:t>The cost of the solicitation of Proxies will be borne by the Company. In addition to the use of the mail and e-mail, Proxies may be solicited personally or by telephone or facsimile by a few regular employees of the Company without additional compensation. The Company has not retained any third party to help solicit proxies, but reserves the right to do so. In addition, the Company will reimburse brokers, nominees, custodians, and other fiduciaries for their expenses in connection with sending Proxy materials to registered and beneficial owners and obtaining their Proxies.</w:t>
      </w:r>
    </w:p>
    <w:p>
      <w:pPr>
        <w:spacing w:after="0" w:line="200" w:lineRule="exact"/>
        <w:rPr>
          <w:sz w:val="20"/>
          <w:szCs w:val="20"/>
          <w:color w:val="auto"/>
        </w:rPr>
      </w:pPr>
    </w:p>
    <w:p>
      <w:pPr>
        <w:spacing w:after="0" w:line="205" w:lineRule="exact"/>
        <w:rPr>
          <w:sz w:val="20"/>
          <w:szCs w:val="20"/>
          <w:color w:val="auto"/>
        </w:rPr>
      </w:pPr>
    </w:p>
    <w:p>
      <w:pPr>
        <w:jc w:val="both"/>
        <w:ind w:firstLine="618"/>
        <w:spacing w:after="0" w:line="289" w:lineRule="auto"/>
        <w:rPr>
          <w:sz w:val="20"/>
          <w:szCs w:val="20"/>
          <w:color w:val="auto"/>
        </w:rPr>
      </w:pPr>
      <w:r>
        <w:rPr>
          <w:rFonts w:ascii="Arial" w:cs="Arial" w:eastAsia="Arial" w:hAnsi="Arial"/>
          <w:sz w:val="17"/>
          <w:szCs w:val="17"/>
          <w:color w:val="auto"/>
        </w:rPr>
        <w:t>Shareholders are urged to promptly vote your shares either on the Internet (preferred method), via telephone, or by dating, signing, and returning the accompanying Proxy in the enclosed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1964690</wp:posOffset>
            </wp:positionH>
            <wp:positionV relativeFrom="paragraph">
              <wp:posOffset>17145</wp:posOffset>
            </wp:positionV>
            <wp:extent cx="981075" cy="425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81075" cy="425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Scott Ryan</w:t>
      </w:r>
    </w:p>
    <w:p>
      <w:pPr>
        <w:spacing w:after="0" w:line="2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Corporate Secretary</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April 3, 2025</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90"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306705</wp:posOffset>
            </wp:positionV>
            <wp:extent cx="1635125" cy="3435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35125" cy="343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Revised Audit Committee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Procedures for Approval of Audit and Non-Audit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Services by Independent Auditors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The following procedure is adopted by the Audit Committee relating to the approval of audit and non-audit services provided by the Company’s independent auditors.</w:t>
      </w:r>
    </w:p>
    <w:p>
      <w:pPr>
        <w:spacing w:after="0" w:line="173" w:lineRule="exact"/>
        <w:rPr>
          <w:sz w:val="20"/>
          <w:szCs w:val="20"/>
          <w:color w:val="auto"/>
        </w:rPr>
      </w:pPr>
    </w:p>
    <w:p>
      <w:pPr>
        <w:ind w:left="940" w:right="260" w:hanging="628"/>
        <w:spacing w:after="0" w:line="289" w:lineRule="auto"/>
        <w:tabs>
          <w:tab w:leader="none" w:pos="929"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Committee has reviewed and approved work to be performed by the independent auditors in the areas of tax, audit and advisory services and subcategories within each category as designated on the attached schedule.</w:t>
      </w:r>
    </w:p>
    <w:p>
      <w:pPr>
        <w:spacing w:after="0" w:line="173" w:lineRule="exact"/>
        <w:rPr>
          <w:rFonts w:ascii="Arial" w:cs="Arial" w:eastAsia="Arial" w:hAnsi="Arial"/>
          <w:sz w:val="17"/>
          <w:szCs w:val="17"/>
          <w:color w:val="auto"/>
        </w:rPr>
      </w:pPr>
    </w:p>
    <w:p>
      <w:pPr>
        <w:ind w:left="940" w:right="220" w:hanging="628"/>
        <w:spacing w:after="0" w:line="289" w:lineRule="auto"/>
        <w:tabs>
          <w:tab w:leader="none" w:pos="929"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additional audit and non-audit work performed by the independent auditors that is not included on the attached schedule must be specifically pre-approved as follows:</w:t>
      </w:r>
    </w:p>
    <w:p>
      <w:pPr>
        <w:spacing w:after="0" w:line="173" w:lineRule="exact"/>
        <w:rPr>
          <w:rFonts w:ascii="Arial" w:cs="Arial" w:eastAsia="Arial" w:hAnsi="Arial"/>
          <w:sz w:val="17"/>
          <w:szCs w:val="17"/>
          <w:color w:val="auto"/>
        </w:rPr>
      </w:pPr>
    </w:p>
    <w:p>
      <w:pPr>
        <w:jc w:val="both"/>
        <w:ind w:left="1240" w:hanging="310"/>
        <w:spacing w:after="0" w:line="271" w:lineRule="auto"/>
        <w:tabs>
          <w:tab w:leader="none" w:pos="1229" w:val="left"/>
        </w:tabs>
        <w:numPr>
          <w:ilvl w:val="1"/>
          <w:numId w:val="44"/>
        </w:numPr>
        <w:rPr>
          <w:rFonts w:ascii="Arial" w:cs="Arial" w:eastAsia="Arial" w:hAnsi="Arial"/>
          <w:sz w:val="17"/>
          <w:szCs w:val="17"/>
          <w:color w:val="auto"/>
        </w:rPr>
      </w:pPr>
      <w:r>
        <w:rPr>
          <w:rFonts w:ascii="Arial" w:cs="Arial" w:eastAsia="Arial" w:hAnsi="Arial"/>
          <w:sz w:val="17"/>
          <w:szCs w:val="17"/>
          <w:color w:val="auto"/>
        </w:rPr>
        <w:t>If the proposed independent auditors’ engagement is equal to or less than $50,000, the Chairman of the Audit Committee must pre-approve the work and will communicate his approval to the full Audit Committee at the next regularly scheduled meeting of the Audit Committee.</w:t>
      </w:r>
    </w:p>
    <w:p>
      <w:pPr>
        <w:spacing w:after="0" w:line="187" w:lineRule="exact"/>
        <w:rPr>
          <w:rFonts w:ascii="Arial" w:cs="Arial" w:eastAsia="Arial" w:hAnsi="Arial"/>
          <w:sz w:val="17"/>
          <w:szCs w:val="17"/>
          <w:color w:val="auto"/>
        </w:rPr>
      </w:pPr>
    </w:p>
    <w:p>
      <w:pPr>
        <w:ind w:left="1220" w:hanging="290"/>
        <w:spacing w:after="0"/>
        <w:tabs>
          <w:tab w:leader="none" w:pos="12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If the proposed independent auditors’ engagement is greater than $50,000, the full Audit Committee must pre-approve the work.</w:t>
      </w:r>
    </w:p>
    <w:p>
      <w:pPr>
        <w:spacing w:after="0" w:line="242" w:lineRule="exact"/>
        <w:rPr>
          <w:rFonts w:ascii="Arial" w:cs="Arial" w:eastAsia="Arial" w:hAnsi="Arial"/>
          <w:sz w:val="17"/>
          <w:szCs w:val="17"/>
          <w:color w:val="auto"/>
        </w:rPr>
      </w:pPr>
    </w:p>
    <w:p>
      <w:pPr>
        <w:ind w:left="920" w:hanging="608"/>
        <w:spacing w:after="0"/>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independent auditors may not conduct any work that is prohibited by applicable SEC rules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40"/>
          </w:cols>
          <w:pgMar w:left="320" w:top="741" w:right="339" w:bottom="1440"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702310</wp:posOffset>
            </wp:positionV>
            <wp:extent cx="5593080" cy="69424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5593080" cy="6942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554990</wp:posOffset>
            </wp:positionV>
            <wp:extent cx="5593080" cy="65989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5593080" cy="65989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
      <w:numFmt w:val="bullet"/>
      <w:start w:val="1"/>
    </w:lvl>
    <w:lvl w:ilvl="1">
      <w:lvlJc w:val="left"/>
      <w:lvlText w:val="(%2)"/>
      <w:numFmt w:val="decimal"/>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lvl w:ilvl="1">
      <w:lvlJc w:val="left"/>
      <w:lvlText w:val="\endash "/>
      <w:numFmt w:val="bullet"/>
      <w:start w:val="1"/>
    </w:lvl>
  </w:abstractNum>
  <w:abstractNum w:abstractNumId="27">
    <w:nsid w:val="5072367"/>
    <w:multiLevelType w:val="hybridMultilevel"/>
    <w:lvl w:ilvl="0">
      <w:lvlJc w:val="left"/>
      <w:lvlText w:val="•"/>
      <w:numFmt w:val="bullet"/>
      <w:start w:val="1"/>
    </w:lvl>
    <w:lvl w:ilvl="1">
      <w:lvlJc w:val="left"/>
      <w:lvlText w:val="\endash "/>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ü"/>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decimal"/>
      <w:start w:val="3"/>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2025-04-03T09:17:24Z</dcterms:created>
  <dcterms:modified xsi:type="dcterms:W3CDTF">2025-04-03T09:17:24Z</dcterms:modified>
</cp:coreProperties>
</file>