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8" w:lineRule="exact"/>
        <w:rPr>
          <w:sz w:val="24"/>
          <w:szCs w:val="24"/>
          <w:color w:val="auto"/>
        </w:rPr>
      </w:pPr>
    </w:p>
    <w:p>
      <w:pPr>
        <w:ind w:left="680" w:hanging="656"/>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September 30, 2021 or</w:t>
      </w:r>
    </w:p>
    <w:p>
      <w:pPr>
        <w:spacing w:after="0" w:line="22" w:lineRule="exact"/>
        <w:rPr>
          <w:sz w:val="24"/>
          <w:szCs w:val="24"/>
          <w:color w:val="auto"/>
        </w:rPr>
      </w:pPr>
    </w:p>
    <w:p>
      <w:pPr>
        <w:ind w:left="1320" w:hanging="658"/>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00" w:type="dxa"/>
            <w:vAlign w:val="bottom"/>
          </w:tcPr>
          <w:p>
            <w:pPr>
              <w:ind w:left="320"/>
              <w:spacing w:after="0"/>
              <w:rPr>
                <w:sz w:val="20"/>
                <w:szCs w:val="20"/>
                <w:color w:val="auto"/>
              </w:rPr>
            </w:pPr>
            <w:r>
              <w:rPr>
                <w:rFonts w:ascii="Arial" w:cs="Arial" w:eastAsia="Arial" w:hAnsi="Arial"/>
                <w:sz w:val="16"/>
                <w:szCs w:val="16"/>
                <w:color w:val="auto"/>
              </w:rPr>
              <w:t>For the transition period from</w:t>
            </w:r>
          </w:p>
        </w:tc>
        <w:tc>
          <w:tcPr>
            <w:tcW w:w="20" w:type="dxa"/>
            <w:vAlign w:val="bottom"/>
          </w:tcPr>
          <w:p>
            <w:pPr>
              <w:spacing w:after="0"/>
              <w:rPr>
                <w:sz w:val="16"/>
                <w:szCs w:val="16"/>
                <w:color w:val="auto"/>
              </w:rPr>
            </w:pPr>
          </w:p>
        </w:tc>
        <w:tc>
          <w:tcPr>
            <w:tcW w:w="1600" w:type="dxa"/>
            <w:vAlign w:val="bottom"/>
            <w:gridSpan w:val="4"/>
          </w:tcPr>
          <w:p>
            <w:pPr>
              <w:ind w:left="540"/>
              <w:spacing w:after="0"/>
              <w:rPr>
                <w:sz w:val="20"/>
                <w:szCs w:val="20"/>
                <w:color w:val="auto"/>
              </w:rPr>
            </w:pPr>
            <w:r>
              <w:rPr>
                <w:rFonts w:ascii="Arial" w:cs="Arial" w:eastAsia="Arial" w:hAnsi="Arial"/>
                <w:sz w:val="16"/>
                <w:szCs w:val="16"/>
                <w:color w:val="auto"/>
              </w:rPr>
              <w:t>to</w:t>
            </w:r>
          </w:p>
        </w:tc>
        <w:tc>
          <w:tcPr>
            <w:tcW w:w="2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20" w:type="dxa"/>
            <w:vAlign w:val="bottom"/>
            <w:gridSpan w:val="6"/>
          </w:tcPr>
          <w:p>
            <w:pPr>
              <w:ind w:left="32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260" w:type="dxa"/>
            <w:vAlign w:val="bottom"/>
          </w:tcPr>
          <w:p>
            <w:pPr>
              <w:spacing w:after="0"/>
              <w:rPr>
                <w:sz w:val="24"/>
                <w:szCs w:val="24"/>
                <w:color w:val="auto"/>
              </w:rPr>
            </w:pPr>
          </w:p>
        </w:tc>
        <w:tc>
          <w:tcPr>
            <w:tcW w:w="6980" w:type="dxa"/>
            <w:vAlign w:val="bottom"/>
            <w:gridSpan w:val="2"/>
            <w:vMerge w:val="restart"/>
          </w:tcPr>
          <w:p>
            <w:pPr>
              <w:jc w:val="center"/>
              <w:ind w:right="4224"/>
              <w:spacing w:after="0"/>
              <w:rPr>
                <w:sz w:val="20"/>
                <w:szCs w:val="20"/>
                <w:color w:val="auto"/>
              </w:rPr>
            </w:pPr>
            <w:r>
              <w:rPr>
                <w:rFonts w:ascii="Arial" w:cs="Arial" w:eastAsia="Arial" w:hAnsi="Arial"/>
                <w:sz w:val="21"/>
                <w:szCs w:val="21"/>
                <w:b w:val="1"/>
                <w:bCs w:val="1"/>
                <w:color w:val="auto"/>
              </w:rPr>
              <w:t>GENTEX CORPORATION</w:t>
            </w:r>
          </w:p>
        </w:tc>
        <w:tc>
          <w:tcPr>
            <w:tcW w:w="0" w:type="dxa"/>
            <w:vAlign w:val="bottom"/>
          </w:tcPr>
          <w:p>
            <w:pPr>
              <w:spacing w:after="0"/>
              <w:rPr>
                <w:sz w:val="1"/>
                <w:szCs w:val="1"/>
                <w:color w:val="auto"/>
              </w:rPr>
            </w:pPr>
          </w:p>
        </w:tc>
      </w:tr>
      <w:tr>
        <w:trPr>
          <w:trHeight w:val="249"/>
        </w:trPr>
        <w:tc>
          <w:tcPr>
            <w:tcW w:w="2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9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40" w:type="dxa"/>
            <w:vAlign w:val="bottom"/>
            <w:gridSpan w:val="3"/>
          </w:tcPr>
          <w:p>
            <w:pPr>
              <w:jc w:val="center"/>
              <w:ind w:right="3944"/>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36"/>
        </w:trPr>
        <w:tc>
          <w:tcPr>
            <w:tcW w:w="2400" w:type="dxa"/>
            <w:vAlign w:val="bottom"/>
          </w:tcPr>
          <w:p>
            <w:pPr>
              <w:spacing w:after="0"/>
              <w:rPr>
                <w:sz w:val="20"/>
                <w:szCs w:val="20"/>
                <w:color w:val="auto"/>
              </w:rPr>
            </w:pPr>
          </w:p>
        </w:tc>
        <w:tc>
          <w:tcPr>
            <w:tcW w:w="1620" w:type="dxa"/>
            <w:vAlign w:val="bottom"/>
            <w:gridSpan w:val="5"/>
          </w:tcPr>
          <w:p>
            <w:pPr>
              <w:jc w:val="center"/>
              <w:ind w:right="749"/>
              <w:spacing w:after="0"/>
              <w:rPr>
                <w:sz w:val="20"/>
                <w:szCs w:val="20"/>
                <w:color w:val="auto"/>
              </w:rPr>
            </w:pPr>
            <w:r>
              <w:rPr>
                <w:rFonts w:ascii="Arial" w:cs="Arial" w:eastAsia="Arial" w:hAnsi="Arial"/>
                <w:sz w:val="18"/>
                <w:szCs w:val="18"/>
                <w:b w:val="1"/>
                <w:bCs w:val="1"/>
                <w:color w:val="auto"/>
                <w:w w:val="97"/>
              </w:rPr>
              <w:t>Michigan</w:t>
            </w:r>
          </w:p>
        </w:tc>
        <w:tc>
          <w:tcPr>
            <w:tcW w:w="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780" w:type="dxa"/>
            <w:vAlign w:val="bottom"/>
          </w:tcPr>
          <w:p>
            <w:pPr>
              <w:jc w:val="right"/>
              <w:ind w:right="2264"/>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52"/>
        </w:trPr>
        <w:tc>
          <w:tcPr>
            <w:tcW w:w="4020" w:type="dxa"/>
            <w:vAlign w:val="bottom"/>
            <w:gridSpan w:val="6"/>
          </w:tcPr>
          <w:p>
            <w:pPr>
              <w:jc w:val="center"/>
              <w:ind w:left="1506"/>
              <w:spacing w:after="0" w:line="152" w:lineRule="exact"/>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780" w:type="dxa"/>
            <w:vAlign w:val="bottom"/>
          </w:tcPr>
          <w:p>
            <w:pPr>
              <w:jc w:val="center"/>
              <w:ind w:right="784"/>
              <w:spacing w:after="0" w:line="152"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0"/>
        </w:trPr>
        <w:tc>
          <w:tcPr>
            <w:tcW w:w="4020" w:type="dxa"/>
            <w:vAlign w:val="bottom"/>
            <w:gridSpan w:val="6"/>
          </w:tcPr>
          <w:p>
            <w:pPr>
              <w:jc w:val="center"/>
              <w:ind w:left="1506"/>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780" w:type="dxa"/>
            <w:vAlign w:val="bottom"/>
          </w:tcPr>
          <w:p>
            <w:pPr>
              <w:jc w:val="center"/>
              <w:ind w:right="764"/>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59"/>
        </w:trPr>
        <w:tc>
          <w:tcPr>
            <w:tcW w:w="4020" w:type="dxa"/>
            <w:vAlign w:val="bottom"/>
            <w:gridSpan w:val="6"/>
          </w:tcPr>
          <w:p>
            <w:pPr>
              <w:jc w:val="center"/>
              <w:ind w:left="1506"/>
              <w:spacing w:after="0"/>
              <w:rPr>
                <w:sz w:val="20"/>
                <w:szCs w:val="20"/>
                <w:color w:val="auto"/>
              </w:rPr>
            </w:pPr>
            <w:r>
              <w:rPr>
                <w:rFonts w:ascii="Arial" w:cs="Arial" w:eastAsia="Arial" w:hAnsi="Arial"/>
                <w:sz w:val="16"/>
                <w:szCs w:val="16"/>
                <w:b w:val="1"/>
                <w:bCs w:val="1"/>
                <w:color w:val="auto"/>
                <w:w w:val="98"/>
              </w:rPr>
              <w:t>600 N. Centennial</w:t>
            </w:r>
          </w:p>
        </w:tc>
        <w:tc>
          <w:tcPr>
            <w:tcW w:w="2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ind w:right="769"/>
              <w:spacing w:after="0"/>
              <w:rPr>
                <w:sz w:val="20"/>
                <w:szCs w:val="20"/>
                <w:color w:val="auto"/>
              </w:rPr>
            </w:pPr>
            <w:r>
              <w:rPr>
                <w:rFonts w:ascii="Arial" w:cs="Arial" w:eastAsia="Arial" w:hAnsi="Arial"/>
                <w:sz w:val="16"/>
                <w:szCs w:val="16"/>
                <w:b w:val="1"/>
                <w:bCs w:val="1"/>
                <w:color w:val="auto"/>
                <w:w w:val="99"/>
              </w:rPr>
              <w:t>Zeeland</w:t>
            </w: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780" w:type="dxa"/>
            <w:vAlign w:val="bottom"/>
            <w:vMerge w:val="restart"/>
          </w:tcPr>
          <w:p>
            <w:pPr>
              <w:jc w:val="right"/>
              <w:ind w:right="2504"/>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4"/>
          </w:tcPr>
          <w:p>
            <w:pPr>
              <w:jc w:val="center"/>
              <w:ind w:right="769"/>
              <w:spacing w:after="0"/>
              <w:rPr>
                <w:sz w:val="20"/>
                <w:szCs w:val="20"/>
                <w:color w:val="auto"/>
              </w:rPr>
            </w:pPr>
            <w:r>
              <w:rPr>
                <w:rFonts w:ascii="Arial" w:cs="Arial" w:eastAsia="Arial" w:hAnsi="Arial"/>
                <w:sz w:val="16"/>
                <w:szCs w:val="16"/>
                <w:b w:val="1"/>
                <w:bCs w:val="1"/>
                <w:color w:val="auto"/>
                <w:w w:val="97"/>
              </w:rPr>
              <w:t>Michigan</w:t>
            </w:r>
          </w:p>
        </w:tc>
        <w:tc>
          <w:tcPr>
            <w:tcW w:w="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20" w:type="dxa"/>
            <w:vAlign w:val="bottom"/>
            <w:gridSpan w:val="6"/>
          </w:tcPr>
          <w:p>
            <w:pPr>
              <w:jc w:val="center"/>
              <w:ind w:left="1506"/>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jc w:val="center"/>
              <w:ind w:right="784"/>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3"/>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gridSpan w:val="2"/>
          </w:tcPr>
          <w:p>
            <w:pPr>
              <w:jc w:val="right"/>
              <w:ind w:right="177"/>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0" w:type="dxa"/>
            <w:vAlign w:val="bottom"/>
            <w:gridSpan w:val="4"/>
          </w:tcPr>
          <w:p>
            <w:pPr>
              <w:jc w:val="center"/>
              <w:ind w:right="3604"/>
              <w:spacing w:after="0" w:line="157" w:lineRule="exact"/>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8860" w:type="dxa"/>
            <w:vAlign w:val="bottom"/>
            <w:gridSpan w:val="8"/>
          </w:tcPr>
          <w:p>
            <w:pPr>
              <w:jc w:val="right"/>
              <w:ind w:right="3904"/>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09"/>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300" w:type="dxa"/>
            <w:vAlign w:val="bottom"/>
            <w:gridSpan w:val="6"/>
          </w:tcPr>
          <w:p>
            <w:pPr>
              <w:jc w:val="center"/>
              <w:ind w:right="2884"/>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64"/>
        </w:trPr>
        <w:tc>
          <w:tcPr>
            <w:tcW w:w="4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79"/>
        </w:trPr>
        <w:tc>
          <w:tcPr>
            <w:tcW w:w="4020" w:type="dxa"/>
            <w:vAlign w:val="bottom"/>
            <w:tcBorders>
              <w:left w:val="single" w:sz="8" w:color="auto"/>
              <w:bottom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6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44" w:lineRule="exact"/>
        <w:rPr>
          <w:sz w:val="24"/>
          <w:szCs w:val="24"/>
          <w:color w:val="auto"/>
        </w:rPr>
      </w:pPr>
    </w:p>
    <w:p>
      <w:pPr>
        <w:ind w:right="220"/>
        <w:spacing w:after="0" w:line="16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308" w:lineRule="exact"/>
        <w:rPr>
          <w:sz w:val="24"/>
          <w:szCs w:val="24"/>
          <w:color w:val="auto"/>
        </w:rPr>
      </w:pPr>
    </w:p>
    <w:p>
      <w:pPr>
        <w:ind w:right="140"/>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ectPr>
          <w:pgSz w:w="11900" w:h="16838" w:orient="portrait"/>
          <w:cols w:equalWidth="0" w:num="1">
            <w:col w:w="11260"/>
          </w:cols>
          <w:pgMar w:left="320" w:top="595" w:right="319" w:bottom="1440" w:gutter="0" w:footer="0" w:header="0"/>
        </w:sectPr>
      </w:pPr>
    </w:p>
    <w:p>
      <w:pPr>
        <w:spacing w:after="0" w:line="134" w:lineRule="exact"/>
        <w:rPr>
          <w:sz w:val="24"/>
          <w:szCs w:val="24"/>
          <w:color w:val="auto"/>
        </w:rPr>
      </w:pPr>
    </w:p>
    <w:p>
      <w:pPr>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81" w:lineRule="exact"/>
        <w:tabs>
          <w:tab w:leader="none" w:pos="2160" w:val="left"/>
          <w:tab w:leader="none" w:pos="82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p>
    <w:p>
      <w:pPr>
        <w:spacing w:after="0" w:line="77" w:lineRule="exact"/>
        <w:rPr>
          <w:sz w:val="24"/>
          <w:szCs w:val="24"/>
          <w:color w:val="auto"/>
        </w:rPr>
      </w:pPr>
    </w:p>
    <w:p>
      <w:pPr>
        <w:ind w:left="20"/>
        <w:spacing w:after="0" w:line="181" w:lineRule="exact"/>
        <w:tabs>
          <w:tab w:leader="none" w:pos="2160" w:val="left"/>
          <w:tab w:leader="none" w:pos="82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Smaller reporting company</w:t>
      </w:r>
    </w:p>
    <w:p>
      <w:pPr>
        <w:spacing w:after="0" w:line="191" w:lineRule="exact"/>
        <w:rPr>
          <w:sz w:val="24"/>
          <w:szCs w:val="24"/>
          <w:color w:val="auto"/>
        </w:rPr>
      </w:pPr>
    </w:p>
    <w:p>
      <w:pPr>
        <w:ind w:left="82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2">
            <w:col w:w="10840" w:space="100"/>
            <w:col w:w="320"/>
          </w:cols>
          <w:pgMar w:left="320" w:top="595" w:right="319" w:bottom="1440" w:gutter="0" w:footer="0" w:header="0"/>
          <w:type w:val="continuous"/>
        </w:sectPr>
      </w:pPr>
    </w:p>
    <w:p>
      <w:pPr>
        <w:ind w:right="20"/>
        <w:spacing w:after="0" w:line="25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6" w:lineRule="exact"/>
        <w:rPr>
          <w:sz w:val="24"/>
          <w:szCs w:val="24"/>
          <w:color w:val="auto"/>
        </w:rPr>
      </w:pPr>
    </w:p>
    <w:p>
      <w:pPr>
        <w:spacing w:after="0" w:line="161" w:lineRule="exact"/>
        <w:tabs>
          <w:tab w:leader="none" w:pos="816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2"/>
          <w:szCs w:val="12"/>
          <w:color w:val="auto"/>
        </w:rPr>
        <w:t>☑</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58" w:lineRule="exact"/>
        <w:rPr>
          <w:sz w:val="24"/>
          <w:szCs w:val="24"/>
          <w:color w:val="auto"/>
        </w:rPr>
      </w:pPr>
    </w:p>
    <w:p>
      <w:pPr>
        <w:ind w:right="720"/>
        <w:spacing w:after="0" w:line="251"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o No: o</w:t>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6"/>
                <w:szCs w:val="16"/>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October 22, 2021</w:t>
            </w:r>
          </w:p>
        </w:tc>
      </w:tr>
      <w:tr>
        <w:trPr>
          <w:trHeight w:val="182"/>
        </w:trPr>
        <w:tc>
          <w:tcPr>
            <w:tcW w:w="5280" w:type="dxa"/>
            <w:vAlign w:val="bottom"/>
            <w:gridSpan w:val="2"/>
          </w:tcPr>
          <w:p>
            <w:pPr>
              <w:jc w:val="center"/>
              <w:ind w:right="10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9"/>
              <w:spacing w:after="0"/>
              <w:rPr>
                <w:sz w:val="20"/>
                <w:szCs w:val="20"/>
                <w:color w:val="auto"/>
              </w:rPr>
            </w:pPr>
            <w:r>
              <w:rPr>
                <w:rFonts w:ascii="Arial" w:cs="Arial" w:eastAsia="Arial" w:hAnsi="Arial"/>
                <w:sz w:val="14"/>
                <w:szCs w:val="14"/>
                <w:color w:val="auto"/>
              </w:rPr>
              <w:t>236,520,081</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595"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980" w:type="dxa"/>
            <w:vAlign w:val="bottom"/>
            <w:gridSpan w:val="16"/>
          </w:tcPr>
          <w:p>
            <w:pPr>
              <w:spacing w:after="0"/>
              <w:rPr>
                <w:sz w:val="20"/>
                <w:szCs w:val="20"/>
                <w:color w:val="auto"/>
              </w:rPr>
            </w:pPr>
            <w:r>
              <w:rPr>
                <w:rFonts w:ascii="Arial" w:cs="Arial" w:eastAsia="Arial" w:hAnsi="Arial"/>
                <w:sz w:val="21"/>
                <w:szCs w:val="21"/>
                <w:b w:val="1"/>
                <w:bCs w:val="1"/>
                <w:color w:val="auto"/>
              </w:rPr>
              <w:t>Part I - Financial Information</w:t>
            </w:r>
          </w:p>
        </w:tc>
        <w:tc>
          <w:tcPr>
            <w:tcW w:w="1540" w:type="dxa"/>
            <w:vAlign w:val="bottom"/>
            <w:gridSpan w:val="3"/>
          </w:tcPr>
          <w:p>
            <w:pPr>
              <w:ind w:left="1020"/>
              <w:spacing w:after="0"/>
              <w:rPr>
                <w:sz w:val="20"/>
                <w:szCs w:val="20"/>
                <w:color w:val="auto"/>
              </w:rPr>
            </w:pPr>
            <w:r>
              <w:rPr>
                <w:rFonts w:ascii="Arial" w:cs="Arial" w:eastAsia="Arial" w:hAnsi="Arial"/>
                <w:sz w:val="21"/>
                <w:szCs w:val="21"/>
                <w:b w:val="1"/>
                <w:bCs w:val="1"/>
                <w:color w:val="auto"/>
                <w:w w:val="99"/>
              </w:rPr>
              <w:t>Page</w:t>
            </w:r>
          </w:p>
        </w:tc>
      </w:tr>
      <w:tr>
        <w:trPr>
          <w:trHeight w:val="189"/>
        </w:trPr>
        <w:tc>
          <w:tcPr>
            <w:tcW w:w="98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4560" w:type="dxa"/>
            <w:vAlign w:val="bottom"/>
            <w:gridSpan w:val="6"/>
          </w:tcPr>
          <w:p>
            <w:pPr>
              <w:spacing w:after="0" w:line="189"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Unaudited Condensed Consolidated Financial Statements</w:t>
              </w:r>
            </w:hyperlink>
          </w:p>
        </w:tc>
        <w:tc>
          <w:tcPr>
            <w:tcW w:w="3440" w:type="dxa"/>
            <w:vAlign w:val="bottom"/>
            <w:gridSpan w:val="9"/>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jc w:val="center"/>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4560" w:type="dxa"/>
            <w:vAlign w:val="bottom"/>
            <w:gridSpan w:val="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Balance Sheets</w:t>
              </w:r>
            </w:hyperlink>
          </w:p>
        </w:tc>
        <w:tc>
          <w:tcPr>
            <w:tcW w:w="3440" w:type="dxa"/>
            <w:vAlign w:val="bottom"/>
            <w:gridSpan w:val="9"/>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800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Statements of Income</w:t>
              </w:r>
            </w:hyperlink>
          </w:p>
        </w:tc>
        <w:tc>
          <w:tcPr>
            <w:tcW w:w="1320" w:type="dxa"/>
            <w:vAlign w:val="bottom"/>
            <w:gridSpan w:val="2"/>
          </w:tcPr>
          <w:p>
            <w:pPr>
              <w:jc w:val="center"/>
              <w:ind w:left="113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5920" w:type="dxa"/>
            <w:vAlign w:val="bottom"/>
            <w:gridSpan w:val="12"/>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Unaudited Condensed Consolidated Statements of Comprehensive Income</w:t>
              </w:r>
            </w:hyperlink>
          </w:p>
        </w:tc>
        <w:tc>
          <w:tcPr>
            <w:tcW w:w="208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6060" w:type="dxa"/>
            <w:vAlign w:val="bottom"/>
            <w:gridSpan w:val="13"/>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Unaudited Condensed Consolidated Statements of Shareholders' Investment</w:t>
              </w:r>
            </w:hyperlink>
          </w:p>
        </w:tc>
        <w:tc>
          <w:tcPr>
            <w:tcW w:w="19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4980" w:type="dxa"/>
            <w:vAlign w:val="bottom"/>
            <w:gridSpan w:val="10"/>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Unaudited Condensed Consolidated Statements of Cash Flows</w:t>
              </w:r>
            </w:hyperlink>
          </w:p>
        </w:tc>
        <w:tc>
          <w:tcPr>
            <w:tcW w:w="1080" w:type="dxa"/>
            <w:vAlign w:val="bottom"/>
            <w:gridSpan w:val="3"/>
          </w:tcPr>
          <w:p>
            <w:pPr>
              <w:spacing w:after="0"/>
              <w:rPr>
                <w:sz w:val="17"/>
                <w:szCs w:val="17"/>
                <w:color w:val="auto"/>
              </w:rPr>
            </w:pPr>
          </w:p>
        </w:tc>
        <w:tc>
          <w:tcPr>
            <w:tcW w:w="19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800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1320" w:type="dxa"/>
            <w:vAlign w:val="bottom"/>
            <w:gridSpan w:val="2"/>
          </w:tcPr>
          <w:p>
            <w:pPr>
              <w:jc w:val="center"/>
              <w:ind w:left="113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2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6980" w:type="dxa"/>
            <w:vAlign w:val="bottom"/>
            <w:gridSpan w:val="14"/>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Management's Discussion and Analysis of Financial Condition and Results of Operations</w:t>
              </w:r>
            </w:hyperlink>
          </w:p>
        </w:tc>
        <w:tc>
          <w:tcPr>
            <w:tcW w:w="1020" w:type="dxa"/>
            <w:vAlign w:val="bottom"/>
          </w:tcPr>
          <w:p>
            <w:pPr>
              <w:spacing w:after="0"/>
              <w:rPr>
                <w:sz w:val="17"/>
                <w:szCs w:val="17"/>
                <w:color w:val="auto"/>
              </w:rPr>
            </w:pPr>
          </w:p>
        </w:tc>
        <w:tc>
          <w:tcPr>
            <w:tcW w:w="1540" w:type="dxa"/>
            <w:vAlign w:val="bottom"/>
            <w:gridSpan w:val="3"/>
          </w:tcPr>
          <w:p>
            <w:pPr>
              <w:jc w:val="center"/>
              <w:ind w:left="93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23</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6980" w:type="dxa"/>
            <w:vAlign w:val="bottom"/>
            <w:gridSpan w:val="1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020" w:type="dxa"/>
            <w:vAlign w:val="bottom"/>
          </w:tcPr>
          <w:p>
            <w:pPr>
              <w:spacing w:after="0"/>
              <w:rPr>
                <w:sz w:val="17"/>
                <w:szCs w:val="17"/>
                <w:color w:val="auto"/>
              </w:rPr>
            </w:pPr>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35</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4640" w:type="dxa"/>
            <w:vAlign w:val="bottom"/>
            <w:gridSpan w:val="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3360" w:type="dxa"/>
            <w:vAlign w:val="bottom"/>
            <w:gridSpan w:val="7"/>
          </w:tcPr>
          <w:p>
            <w:pPr>
              <w:spacing w:after="0"/>
              <w:rPr>
                <w:sz w:val="17"/>
                <w:szCs w:val="17"/>
                <w:color w:val="auto"/>
              </w:rPr>
            </w:pPr>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36</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49"/>
        </w:trPr>
        <w:tc>
          <w:tcPr>
            <w:tcW w:w="8980" w:type="dxa"/>
            <w:vAlign w:val="bottom"/>
            <w:gridSpan w:val="16"/>
          </w:tcPr>
          <w:p>
            <w:pPr>
              <w:spacing w:after="0"/>
              <w:rPr>
                <w:sz w:val="20"/>
                <w:szCs w:val="20"/>
                <w:color w:val="auto"/>
              </w:rPr>
            </w:pPr>
            <w:r>
              <w:rPr>
                <w:rFonts w:ascii="Arial" w:cs="Arial" w:eastAsia="Arial" w:hAnsi="Arial"/>
                <w:sz w:val="21"/>
                <w:szCs w:val="21"/>
                <w:b w:val="1"/>
                <w:bCs w:val="1"/>
                <w:color w:val="auto"/>
              </w:rPr>
              <w:t>Part II - Other Information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9"/>
        </w:trPr>
        <w:tc>
          <w:tcPr>
            <w:tcW w:w="980" w:type="dxa"/>
            <w:vAlign w:val="bottom"/>
          </w:tcPr>
          <w:p>
            <w:pPr>
              <w:spacing w:after="0" w:line="189"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89" w:lineRule="exact"/>
              <w:rPr>
                <w:rFonts w:ascii="Arial" w:cs="Arial" w:eastAsia="Arial" w:hAnsi="Arial"/>
                <w:sz w:val="18"/>
                <w:szCs w:val="18"/>
                <w:color w:val="0000FF"/>
                <w:w w:val="95"/>
              </w:rPr>
            </w:pPr>
            <w:hyperlink w:anchor="page38">
              <w:r>
                <w:rPr>
                  <w:rFonts w:ascii="Arial" w:cs="Arial" w:eastAsia="Arial" w:hAnsi="Arial"/>
                  <w:sz w:val="18"/>
                  <w:szCs w:val="18"/>
                  <w:color w:val="0000FF"/>
                  <w:w w:val="95"/>
                </w:rPr>
                <w:t>Risk Factors</w:t>
              </w:r>
            </w:hyperlink>
          </w:p>
        </w:tc>
        <w:tc>
          <w:tcPr>
            <w:tcW w:w="7000" w:type="dxa"/>
            <w:vAlign w:val="bottom"/>
            <w:gridSpan w:val="12"/>
          </w:tcPr>
          <w:p>
            <w:pPr>
              <w:spacing w:after="0"/>
              <w:rPr>
                <w:sz w:val="16"/>
                <w:szCs w:val="16"/>
                <w:color w:val="auto"/>
              </w:rPr>
            </w:pPr>
          </w:p>
        </w:tc>
        <w:tc>
          <w:tcPr>
            <w:tcW w:w="1540" w:type="dxa"/>
            <w:vAlign w:val="bottom"/>
            <w:gridSpan w:val="3"/>
          </w:tcPr>
          <w:p>
            <w:pPr>
              <w:jc w:val="center"/>
              <w:ind w:left="930"/>
              <w:spacing w:after="0" w:line="189" w:lineRule="exact"/>
              <w:rPr>
                <w:rFonts w:ascii="Arial" w:cs="Arial" w:eastAsia="Arial" w:hAnsi="Arial"/>
                <w:sz w:val="18"/>
                <w:szCs w:val="18"/>
                <w:color w:val="0000FF"/>
                <w:w w:val="99"/>
              </w:rPr>
            </w:pPr>
            <w:hyperlink w:anchor="page38">
              <w:r>
                <w:rPr>
                  <w:rFonts w:ascii="Arial" w:cs="Arial" w:eastAsia="Arial" w:hAnsi="Arial"/>
                  <w:sz w:val="18"/>
                  <w:szCs w:val="18"/>
                  <w:color w:val="0000FF"/>
                  <w:w w:val="99"/>
                </w:rPr>
                <w:t>38</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000" w:type="dxa"/>
            <w:vAlign w:val="bottom"/>
            <w:gridSpan w:val="1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38</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780" w:type="dxa"/>
            <w:vAlign w:val="bottom"/>
            <w:tcBorders>
              <w:left w:val="single" w:sz="8" w:color="0000FF"/>
            </w:tcBorders>
            <w:gridSpan w:val="6"/>
            <w:shd w:val="clear" w:color="auto" w:fill="0000FF"/>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4780" w:type="dxa"/>
            <w:vAlign w:val="bottom"/>
            <w:gridSpan w:val="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3220" w:type="dxa"/>
            <w:vAlign w:val="bottom"/>
            <w:gridSpan w:val="6"/>
          </w:tcPr>
          <w:p>
            <w:pPr>
              <w:spacing w:after="0"/>
              <w:rPr>
                <w:sz w:val="17"/>
                <w:szCs w:val="17"/>
                <w:color w:val="auto"/>
              </w:rPr>
            </w:pPr>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39</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0" w:type="dxa"/>
            <w:vAlign w:val="bottom"/>
            <w:gridSpan w:val="1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860" w:type="dxa"/>
            <w:vAlign w:val="bottom"/>
            <w:gridSpan w:val="2"/>
          </w:tcPr>
          <w:p>
            <w:pPr>
              <w:spacing w:after="0"/>
              <w:rPr>
                <w:rFonts w:ascii="Arial" w:cs="Arial" w:eastAsia="Arial" w:hAnsi="Arial"/>
                <w:sz w:val="18"/>
                <w:szCs w:val="18"/>
                <w:color w:val="0302FF"/>
                <w:w w:val="97"/>
              </w:rPr>
            </w:pPr>
            <w:hyperlink w:anchor="page39">
              <w:r>
                <w:rPr>
                  <w:rFonts w:ascii="Arial" w:cs="Arial" w:eastAsia="Arial" w:hAnsi="Arial"/>
                  <w:sz w:val="18"/>
                  <w:szCs w:val="18"/>
                  <w:color w:val="0302FF"/>
                  <w:w w:val="97"/>
                </w:rPr>
                <w:t>Signatures</w:t>
              </w:r>
            </w:hyperlink>
          </w:p>
        </w:tc>
        <w:tc>
          <w:tcPr>
            <w:tcW w:w="7140" w:type="dxa"/>
            <w:vAlign w:val="bottom"/>
            <w:gridSpan w:val="13"/>
          </w:tcPr>
          <w:p>
            <w:pPr>
              <w:spacing w:after="0"/>
              <w:rPr>
                <w:sz w:val="17"/>
                <w:szCs w:val="17"/>
                <w:color w:val="auto"/>
              </w:rPr>
            </w:pPr>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39</w:t>
              </w:r>
            </w:hyperlink>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0" w:type="dxa"/>
            <w:vAlign w:val="bottom"/>
            <w:gridSpan w:val="1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6"/>
        </w:trPr>
        <w:tc>
          <w:tcPr>
            <w:tcW w:w="980" w:type="dxa"/>
            <w:vAlign w:val="bottom"/>
          </w:tcPr>
          <w:p>
            <w:pPr>
              <w:spacing w:after="0"/>
              <w:rPr>
                <w:sz w:val="17"/>
                <w:szCs w:val="17"/>
                <w:color w:val="auto"/>
              </w:rPr>
            </w:pPr>
          </w:p>
        </w:tc>
        <w:tc>
          <w:tcPr>
            <w:tcW w:w="8000" w:type="dxa"/>
            <w:vAlign w:val="bottom"/>
            <w:gridSpan w:val="15"/>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 Index</w:t>
              </w:r>
            </w:hyperlink>
          </w:p>
        </w:tc>
        <w:tc>
          <w:tcPr>
            <w:tcW w:w="1540" w:type="dxa"/>
            <w:vAlign w:val="bottom"/>
            <w:gridSpan w:val="3"/>
          </w:tcPr>
          <w:p>
            <w:pPr>
              <w:jc w:val="center"/>
              <w:ind w:left="93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40</w:t>
              </w:r>
            </w:hyperlink>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59055</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400" w:top="914" w:right="339" w:bottom="1440" w:gutter="0" w:footer="0" w:header="0"/>
        </w:sectPr>
      </w:pPr>
    </w:p>
    <w:bookmarkStart w:id="2" w:name="page3"/>
    <w:bookmarkEnd w:id="2"/>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6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6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As of September 30, 2021 and December 31, 2020</w:t>
      </w:r>
    </w:p>
    <w:p>
      <w:pPr>
        <w:spacing w:after="0" w:line="4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4"/>
                <w:szCs w:val="14"/>
                <w:color w:val="auto"/>
              </w:rPr>
            </w:pPr>
          </w:p>
        </w:tc>
        <w:tc>
          <w:tcPr>
            <w:tcW w:w="1880" w:type="dxa"/>
            <w:vAlign w:val="bottom"/>
          </w:tcPr>
          <w:p>
            <w:pPr>
              <w:jc w:val="right"/>
              <w:ind w:right="353"/>
              <w:spacing w:after="0"/>
              <w:rPr>
                <w:sz w:val="20"/>
                <w:szCs w:val="20"/>
                <w:color w:val="auto"/>
              </w:rPr>
            </w:pPr>
            <w:r>
              <w:rPr>
                <w:rFonts w:ascii="Arial" w:cs="Arial" w:eastAsia="Arial" w:hAnsi="Arial"/>
                <w:sz w:val="14"/>
                <w:szCs w:val="14"/>
                <w:b w:val="1"/>
                <w:bCs w:val="1"/>
                <w:color w:val="auto"/>
              </w:rPr>
              <w:t>December 31, 2020</w:t>
            </w:r>
          </w:p>
        </w:tc>
      </w:tr>
      <w:tr>
        <w:trPr>
          <w:trHeight w:val="173"/>
        </w:trPr>
        <w:tc>
          <w:tcPr>
            <w:tcW w:w="1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5"/>
                <w:szCs w:val="15"/>
                <w:color w:val="auto"/>
              </w:rPr>
            </w:pPr>
          </w:p>
        </w:tc>
        <w:tc>
          <w:tcPr>
            <w:tcW w:w="1880" w:type="dxa"/>
            <w:vAlign w:val="bottom"/>
          </w:tcPr>
          <w:p>
            <w:pPr>
              <w:jc w:val="right"/>
              <w:ind w:right="793"/>
              <w:spacing w:after="0"/>
              <w:rPr>
                <w:sz w:val="20"/>
                <w:szCs w:val="20"/>
                <w:color w:val="auto"/>
              </w:rPr>
            </w:pPr>
            <w:r>
              <w:rPr>
                <w:rFonts w:ascii="Arial" w:cs="Arial" w:eastAsia="Arial" w:hAnsi="Arial"/>
                <w:sz w:val="14"/>
                <w:szCs w:val="14"/>
                <w:b w:val="1"/>
                <w:bCs w:val="1"/>
                <w:color w:val="auto"/>
              </w:rPr>
              <w:t>(Note)</w:t>
            </w:r>
          </w:p>
        </w:tc>
      </w:tr>
      <w:tr>
        <w:trPr>
          <w:trHeight w:val="186"/>
        </w:trPr>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CCEEFF"/>
              <w:bottom w:val="single" w:sz="8" w:color="auto"/>
            </w:tcBorders>
            <w:shd w:val="clear" w:color="auto" w:fill="CCEEFF"/>
          </w:tcPr>
          <w:p>
            <w:pPr>
              <w:jc w:val="center"/>
              <w:spacing w:after="0" w:line="166" w:lineRule="exact"/>
              <w:rPr>
                <w:sz w:val="20"/>
                <w:szCs w:val="20"/>
                <w:color w:val="auto"/>
              </w:rPr>
            </w:pPr>
            <w:r>
              <w:rPr>
                <w:rFonts w:ascii="Arial" w:cs="Arial" w:eastAsia="Arial" w:hAnsi="Arial"/>
                <w:sz w:val="18"/>
                <w:szCs w:val="18"/>
                <w:color w:val="auto"/>
                <w:w w:val="98"/>
              </w:rPr>
              <w:t>ASSETS</w:t>
            </w:r>
          </w:p>
        </w:tc>
        <w:tc>
          <w:tcPr>
            <w:tcW w:w="30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8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8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5"/>
        </w:trPr>
        <w:tc>
          <w:tcPr>
            <w:tcW w:w="678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269,965,105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423,371,036</w:t>
            </w:r>
          </w:p>
        </w:tc>
      </w:tr>
      <w:tr>
        <w:trPr>
          <w:trHeight w:val="225"/>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6,936,547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27,164,369</w:t>
            </w: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241,225,710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284,925,335</w:t>
            </w:r>
          </w:p>
        </w:tc>
      </w:tr>
      <w:tr>
        <w:trPr>
          <w:trHeight w:val="225"/>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292,599,881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226,291,843</w:t>
            </w:r>
          </w:p>
        </w:tc>
      </w:tr>
      <w:tr>
        <w:trPr>
          <w:trHeight w:val="226"/>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63,979,883</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17,577,981</w:t>
            </w:r>
          </w:p>
        </w:tc>
      </w:tr>
      <w:tr>
        <w:trPr>
          <w:trHeight w:val="219"/>
        </w:trPr>
        <w:tc>
          <w:tcPr>
            <w:tcW w:w="6780" w:type="dxa"/>
            <w:vAlign w:val="bottom"/>
            <w:gridSpan w:val="5"/>
          </w:tcPr>
          <w:p>
            <w:pPr>
              <w:ind w:left="4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874,707,126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979,330,564</w:t>
            </w:r>
          </w:p>
        </w:tc>
      </w:tr>
      <w:tr>
        <w:trPr>
          <w:trHeight w:val="227"/>
        </w:trPr>
        <w:tc>
          <w:tcPr>
            <w:tcW w:w="1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5"/>
        </w:trPr>
        <w:tc>
          <w:tcPr>
            <w:tcW w:w="6780" w:type="dxa"/>
            <w:vAlign w:val="bottom"/>
            <w:gridSpan w:val="5"/>
          </w:tcPr>
          <w:p>
            <w:pPr>
              <w:spacing w:after="0"/>
              <w:rPr>
                <w:sz w:val="20"/>
                <w:szCs w:val="20"/>
                <w:color w:val="auto"/>
              </w:rPr>
            </w:pPr>
            <w:r>
              <w:rPr>
                <w:rFonts w:ascii="Arial" w:cs="Arial" w:eastAsia="Arial" w:hAnsi="Arial"/>
                <w:sz w:val="18"/>
                <w:szCs w:val="18"/>
                <w:color w:val="auto"/>
              </w:rPr>
              <w:t>PLANT AND EQUIPMENT—NET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451,811,914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468,135,135</w:t>
            </w:r>
          </w:p>
        </w:tc>
      </w:tr>
      <w:tr>
        <w:trPr>
          <w:trHeight w:val="227"/>
        </w:trPr>
        <w:tc>
          <w:tcPr>
            <w:tcW w:w="1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5"/>
        </w:trPr>
        <w:tc>
          <w:tcPr>
            <w:tcW w:w="678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314,805,654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311,922,787</w:t>
            </w:r>
          </w:p>
        </w:tc>
      </w:tr>
      <w:tr>
        <w:trPr>
          <w:trHeight w:val="225"/>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204,671,558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162,028,068</w:t>
            </w: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243,163,539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249,748,127</w:t>
            </w:r>
          </w:p>
        </w:tc>
      </w:tr>
      <w:tr>
        <w:trPr>
          <w:trHeight w:val="225"/>
        </w:trPr>
        <w:tc>
          <w:tcPr>
            <w:tcW w:w="678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Patents and other assets, net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27,268,962</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26,776,489</w:t>
            </w:r>
          </w:p>
        </w:tc>
      </w:tr>
      <w:tr>
        <w:trPr>
          <w:trHeight w:val="220"/>
        </w:trPr>
        <w:tc>
          <w:tcPr>
            <w:tcW w:w="67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789,909,713</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750,475,471</w:t>
            </w:r>
          </w:p>
        </w:tc>
      </w:tr>
      <w:tr>
        <w:trPr>
          <w:trHeight w:val="219"/>
        </w:trPr>
        <w:tc>
          <w:tcPr>
            <w:tcW w:w="6780" w:type="dxa"/>
            <w:vAlign w:val="bottom"/>
            <w:gridSpan w:val="5"/>
          </w:tcPr>
          <w:p>
            <w:pPr>
              <w:spacing w:after="0" w:line="205"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2,116,428,753</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2,197,941,170</w:t>
            </w: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3"/>
        </w:trPr>
        <w:tc>
          <w:tcPr>
            <w:tcW w:w="13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r>
      <w:tr>
        <w:trPr>
          <w:trHeight w:val="196"/>
        </w:trPr>
        <w:tc>
          <w:tcPr>
            <w:tcW w:w="6780" w:type="dxa"/>
            <w:vAlign w:val="bottom"/>
            <w:gridSpan w:val="5"/>
          </w:tcPr>
          <w:p>
            <w:pPr>
              <w:jc w:val="center"/>
              <w:spacing w:after="0" w:line="186" w:lineRule="exact"/>
              <w:rPr>
                <w:sz w:val="20"/>
                <w:szCs w:val="20"/>
                <w:color w:val="auto"/>
              </w:rPr>
            </w:pPr>
            <w:r>
              <w:rPr>
                <w:rFonts w:ascii="Arial" w:cs="Arial" w:eastAsia="Arial" w:hAnsi="Arial"/>
                <w:sz w:val="18"/>
                <w:szCs w:val="18"/>
                <w:color w:val="auto"/>
                <w:w w:val="98"/>
              </w:rPr>
              <w:t>LIABILITIES AND SHAREHOLDERS’ INVESTMENT</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6"/>
        </w:trPr>
        <w:tc>
          <w:tcPr>
            <w:tcW w:w="1320" w:type="dxa"/>
            <w:vAlign w:val="bottom"/>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5"/>
        </w:trPr>
        <w:tc>
          <w:tcPr>
            <w:tcW w:w="678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100,532,642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84,784,423</w:t>
            </w:r>
          </w:p>
        </w:tc>
      </w:tr>
      <w:tr>
        <w:trPr>
          <w:trHeight w:val="225"/>
        </w:trPr>
        <w:tc>
          <w:tcPr>
            <w:tcW w:w="678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91,909,057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92,952,434</w:t>
            </w:r>
          </w:p>
        </w:tc>
      </w:tr>
      <w:tr>
        <w:trPr>
          <w:trHeight w:val="220"/>
        </w:trPr>
        <w:tc>
          <w:tcPr>
            <w:tcW w:w="67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192,441,699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177,736,857</w:t>
            </w:r>
          </w:p>
        </w:tc>
      </w:tr>
      <w:tr>
        <w:trPr>
          <w:trHeight w:val="266"/>
        </w:trPr>
        <w:tc>
          <w:tcPr>
            <w:tcW w:w="1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26"/>
        </w:trPr>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18,680,307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17,300,442</w:t>
            </w:r>
          </w:p>
        </w:tc>
      </w:tr>
      <w:tr>
        <w:trPr>
          <w:trHeight w:val="266"/>
        </w:trPr>
        <w:tc>
          <w:tcPr>
            <w:tcW w:w="1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25"/>
        </w:trPr>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17,676,461</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38,960,743</w:t>
            </w:r>
          </w:p>
        </w:tc>
      </w:tr>
      <w:tr>
        <w:trPr>
          <w:trHeight w:val="207"/>
        </w:trPr>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6"/>
        </w:trPr>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228,798,467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233,998,042</w:t>
            </w:r>
          </w:p>
        </w:tc>
      </w:tr>
      <w:tr>
        <w:trPr>
          <w:trHeight w:val="226"/>
        </w:trPr>
        <w:tc>
          <w:tcPr>
            <w:tcW w:w="1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6"/>
        </w:trPr>
        <w:tc>
          <w:tcPr>
            <w:tcW w:w="6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SHAREHOLDERS’ INVESTMENT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5"/>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14,192,076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14,621,572</w:t>
            </w:r>
          </w:p>
        </w:tc>
      </w:tr>
      <w:tr>
        <w:trPr>
          <w:trHeight w:val="227"/>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865,063,949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852,771,508</w:t>
            </w:r>
          </w:p>
        </w:tc>
      </w:tr>
      <w:tr>
        <w:trPr>
          <w:trHeight w:val="225"/>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1,005,103,661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1,089,698,996</w:t>
            </w:r>
          </w:p>
        </w:tc>
      </w:tr>
      <w:tr>
        <w:trPr>
          <w:trHeight w:val="226"/>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3,270,600</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6,851,052</w:t>
            </w:r>
          </w:p>
        </w:tc>
      </w:tr>
      <w:tr>
        <w:trPr>
          <w:trHeight w:val="219"/>
        </w:trPr>
        <w:tc>
          <w:tcPr>
            <w:tcW w:w="6780" w:type="dxa"/>
            <w:vAlign w:val="bottom"/>
            <w:tcBorders>
              <w:bottom w:val="single" w:sz="8" w:color="CCEEFF"/>
            </w:tcBorders>
            <w:gridSpan w:val="5"/>
          </w:tcPr>
          <w:p>
            <w:pPr>
              <w:ind w:left="420"/>
              <w:spacing w:after="0"/>
              <w:rPr>
                <w:sz w:val="20"/>
                <w:szCs w:val="20"/>
                <w:color w:val="auto"/>
              </w:rPr>
            </w:pPr>
            <w:r>
              <w:rPr>
                <w:rFonts w:ascii="Arial" w:cs="Arial" w:eastAsia="Arial" w:hAnsi="Arial"/>
                <w:sz w:val="18"/>
                <w:szCs w:val="18"/>
                <w:color w:val="auto"/>
              </w:rPr>
              <w:t>Total shareholders’ investment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1,887,630,286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1,963,943,128</w:t>
            </w:r>
          </w:p>
        </w:tc>
      </w:tr>
      <w:tr>
        <w:trPr>
          <w:trHeight w:val="244"/>
        </w:trPr>
        <w:tc>
          <w:tcPr>
            <w:tcW w:w="6780" w:type="dxa"/>
            <w:vAlign w:val="bottom"/>
            <w:tcBorders>
              <w:bottom w:val="single" w:sz="8" w:color="CCEEFF"/>
            </w:tcBorders>
            <w:gridSpan w:val="5"/>
            <w:shd w:val="clear" w:color="auto" w:fill="CCEEFF"/>
          </w:tcPr>
          <w:p>
            <w:pPr>
              <w:spacing w:after="0" w:line="206" w:lineRule="exact"/>
              <w:rPr>
                <w:sz w:val="20"/>
                <w:szCs w:val="20"/>
                <w:color w:val="auto"/>
              </w:rPr>
            </w:pPr>
            <w:r>
              <w:rPr>
                <w:rFonts w:ascii="Arial" w:cs="Arial" w:eastAsia="Arial" w:hAnsi="Arial"/>
                <w:sz w:val="18"/>
                <w:szCs w:val="18"/>
                <w:color w:val="auto"/>
              </w:rPr>
              <w:t>Total liabilities and shareholders’ investment</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2,116,428,753</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2,197,941,170</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280"/>
        <w:spacing w:after="0" w:line="272" w:lineRule="auto"/>
        <w:rPr>
          <w:sz w:val="20"/>
          <w:szCs w:val="20"/>
          <w:color w:val="auto"/>
        </w:rPr>
      </w:pPr>
      <w:r>
        <w:rPr>
          <w:rFonts w:ascii="Arial" w:cs="Arial" w:eastAsia="Arial" w:hAnsi="Arial"/>
          <w:sz w:val="12"/>
          <w:szCs w:val="12"/>
          <w:color w:val="auto"/>
        </w:rPr>
        <w:t>Note: The condensed consolidated balance sheet at December 31, 2020 has been derived from the audited consolidated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3" w:name="page4"/>
    <w:bookmarkEnd w:id="3"/>
    <w:p>
      <w:pPr>
        <w:jc w:val="center"/>
        <w:spacing w:after="0" w:line="44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Nine Months Ended September 30, 2021 and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1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4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19"/>
        </w:trPr>
        <w:tc>
          <w:tcPr>
            <w:tcW w:w="43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399,598,744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474,638,584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1,311,328,609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1,158,325,866</w:t>
            </w:r>
          </w:p>
        </w:tc>
      </w:tr>
      <w:tr>
        <w:trPr>
          <w:trHeight w:val="226"/>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5"/>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258,698,723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286,401,872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835,531,679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769,556,865</w:t>
            </w:r>
          </w:p>
        </w:tc>
      </w:tr>
      <w:tr>
        <w:trPr>
          <w:trHeight w:val="219"/>
        </w:trPr>
        <w:tc>
          <w:tcPr>
            <w:tcW w:w="438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140,900,021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188,236,712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475,796,930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388,769,001</w:t>
            </w:r>
          </w:p>
        </w:tc>
      </w:tr>
      <w:tr>
        <w:trPr>
          <w:trHeight w:val="227"/>
        </w:trPr>
        <w:tc>
          <w:tcPr>
            <w:tcW w:w="4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7"/>
        </w:trPr>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29,750,973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27,812,730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86,462,112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86,421,121</w:t>
            </w:r>
          </w:p>
        </w:tc>
      </w:tr>
      <w:tr>
        <w:trPr>
          <w:trHeight w:val="225"/>
        </w:trPr>
        <w:tc>
          <w:tcPr>
            <w:tcW w:w="4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22,984,108</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21,571,093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67,511,555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65,206,080</w:t>
            </w:r>
          </w:p>
        </w:tc>
      </w:tr>
      <w:tr>
        <w:trPr>
          <w:trHeight w:val="219"/>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52,735,081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49,383,823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153,973,667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151,627,201</w:t>
            </w:r>
          </w:p>
        </w:tc>
      </w:tr>
      <w:tr>
        <w:trPr>
          <w:trHeight w:val="207"/>
        </w:trPr>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6"/>
        </w:trPr>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88,164,940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138,852,889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321,823,263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237,141,800</w:t>
            </w:r>
          </w:p>
        </w:tc>
      </w:tr>
      <w:tr>
        <w:trPr>
          <w:trHeight w:val="226"/>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5"/>
        </w:trPr>
        <w:tc>
          <w:tcPr>
            <w:tcW w:w="438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856,351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1,825,257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2,782,900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5,733,939</w:t>
            </w:r>
          </w:p>
        </w:tc>
      </w:tr>
      <w:tr>
        <w:trPr>
          <w:trHeight w:val="226"/>
        </w:trPr>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872,943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2,218,852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2,370,527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3,423,881</w:t>
            </w:r>
          </w:p>
        </w:tc>
      </w:tr>
      <w:tr>
        <w:trPr>
          <w:trHeight w:val="219"/>
        </w:trPr>
        <w:tc>
          <w:tcPr>
            <w:tcW w:w="43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1,729,294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4,044,109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5,153,427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9,157,820</w:t>
            </w:r>
          </w:p>
        </w:tc>
      </w:tr>
      <w:tr>
        <w:trPr>
          <w:trHeight w:val="207"/>
        </w:trPr>
        <w:tc>
          <w:tcPr>
            <w:tcW w:w="4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color w:val="auto"/>
                <w:w w:val="98"/>
              </w:rPr>
              <w:t>INCOME BEFORE PROVISION FOR INCOME TAXES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89,894,234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142,896,998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326,976,690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246,299,620</w:t>
            </w:r>
          </w:p>
        </w:tc>
      </w:tr>
      <w:tr>
        <w:trPr>
          <w:trHeight w:val="227"/>
        </w:trPr>
        <w:tc>
          <w:tcPr>
            <w:tcW w:w="4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13,233,686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25,804,396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50,358,854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42,075,250</w:t>
            </w:r>
          </w:p>
        </w:tc>
      </w:tr>
      <w:tr>
        <w:trPr>
          <w:trHeight w:val="227"/>
        </w:trPr>
        <w:tc>
          <w:tcPr>
            <w:tcW w:w="4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r>
      <w:tr>
        <w:trPr>
          <w:trHeight w:val="219"/>
        </w:trPr>
        <w:tc>
          <w:tcPr>
            <w:tcW w:w="4380" w:type="dxa"/>
            <w:vAlign w:val="bottom"/>
          </w:tcPr>
          <w:p>
            <w:pPr>
              <w:ind w:left="20"/>
              <w:spacing w:after="0" w:line="205" w:lineRule="exact"/>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76,660,548</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117,092,602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276,617,836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204,224,370</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3"/>
        </w:trPr>
        <w:tc>
          <w:tcPr>
            <w:tcW w:w="4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26"/>
        </w:trPr>
        <w:tc>
          <w:tcPr>
            <w:tcW w:w="438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6"/>
        </w:trPr>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25"/>
        </w:trPr>
        <w:tc>
          <w:tcPr>
            <w:tcW w:w="4380" w:type="dxa"/>
            <w:vAlign w:val="bottom"/>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27"/>
        </w:trPr>
        <w:tc>
          <w:tcPr>
            <w:tcW w:w="4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0.120</w:t>
            </w:r>
          </w:p>
        </w:tc>
        <w:tc>
          <w:tcPr>
            <w:tcW w:w="14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0.120</w:t>
            </w:r>
          </w:p>
        </w:tc>
        <w:tc>
          <w:tcPr>
            <w:tcW w:w="14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0.360</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0.360</w:t>
            </w:r>
          </w:p>
        </w:tc>
      </w:tr>
    </w:tbl>
    <w:p>
      <w:pPr>
        <w:spacing w:after="0" w:line="248" w:lineRule="exact"/>
        <w:rPr>
          <w:sz w:val="20"/>
          <w:szCs w:val="20"/>
          <w:color w:val="auto"/>
        </w:rPr>
      </w:pPr>
    </w:p>
    <w:p>
      <w:pPr>
        <w:ind w:left="180" w:hanging="156"/>
        <w:spacing w:after="0"/>
        <w:tabs>
          <w:tab w:leader="none" w:pos="1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 w:name="page5"/>
    <w:bookmarkEnd w:id="4"/>
    <w:p>
      <w:pPr>
        <w:jc w:val="center"/>
        <w:spacing w:after="0" w:line="44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Nine Months Ended September 30, 2021 and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94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4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76,660,548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117,092,602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276,617,836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204,224,370</w:t>
            </w:r>
          </w:p>
        </w:tc>
      </w:tr>
      <w:tr>
        <w:trPr>
          <w:trHeight w:val="266"/>
        </w:trPr>
        <w:tc>
          <w:tcPr>
            <w:tcW w:w="4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476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(349,165)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1,823,667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(238,378)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1,268,204</w:t>
            </w:r>
          </w:p>
        </w:tc>
      </w:tr>
      <w:tr>
        <w:trPr>
          <w:trHeight w:val="226"/>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(losses) gains on debt securities,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(146,647)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(4,230,473)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5,655,644</w:t>
            </w:r>
          </w:p>
        </w:tc>
      </w:tr>
      <w:tr>
        <w:trPr>
          <w:trHeight w:val="247"/>
        </w:trPr>
        <w:tc>
          <w:tcPr>
            <w:tcW w:w="4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1,677,020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(4,468,851)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6,923,848</w:t>
            </w:r>
          </w:p>
        </w:tc>
      </w:tr>
      <w:tr>
        <w:trPr>
          <w:trHeight w:val="266"/>
        </w:trPr>
        <w:tc>
          <w:tcPr>
            <w:tcW w:w="4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85"/>
        </w:trPr>
        <w:tc>
          <w:tcPr>
            <w:tcW w:w="476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Income tax impact related to components of other</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(888,399)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1,187,685</w:t>
            </w:r>
          </w:p>
        </w:tc>
      </w:tr>
      <w:tr>
        <w:trPr>
          <w:trHeight w:val="247"/>
        </w:trPr>
        <w:tc>
          <w:tcPr>
            <w:tcW w:w="4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5"/>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1,707,816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(3,580,452)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5,736,163</w:t>
            </w:r>
          </w:p>
        </w:tc>
      </w:tr>
      <w:tr>
        <w:trPr>
          <w:trHeight w:val="247"/>
        </w:trPr>
        <w:tc>
          <w:tcPr>
            <w:tcW w:w="4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75,666,110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118,800,418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273,037,384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209,960,533</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September 30, 2021 and 2020</w:t>
      </w:r>
    </w:p>
    <w:p>
      <w:pPr>
        <w:sectPr>
          <w:pgSz w:w="11900" w:h="16838" w:orient="portrait"/>
          <w:cols w:equalWidth="0" w:num="1">
            <w:col w:w="11220"/>
          </w:cols>
          <w:pgMar w:left="340" w:top="13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2021</w:t>
      </w:r>
    </w:p>
    <w:p>
      <w:pPr>
        <w:spacing w:after="0" w:line="29" w:lineRule="exact"/>
        <w:rPr>
          <w:sz w:val="20"/>
          <w:szCs w:val="20"/>
          <w:color w:val="auto"/>
        </w:rPr>
      </w:pPr>
    </w:p>
    <w:p>
      <w:pPr>
        <w:ind w:right="260"/>
        <w:spacing w:after="0" w:line="229" w:lineRule="auto"/>
        <w:rPr>
          <w:sz w:val="20"/>
          <w:szCs w:val="20"/>
          <w:color w:val="auto"/>
        </w:rPr>
      </w:pPr>
      <w:r>
        <w:rPr>
          <w:rFonts w:ascii="Arial" w:cs="Arial" w:eastAsia="Arial" w:hAnsi="Arial"/>
          <w:sz w:val="16"/>
          <w:szCs w:val="16"/>
          <w:color w:val="auto"/>
        </w:rPr>
        <w:t>Issuance of common stock from stock plan transactions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29"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20" w:type="dxa"/>
            <w:vAlign w:val="bottom"/>
            <w:vMerge w:val="restart"/>
          </w:tcPr>
          <w:p>
            <w:pPr>
              <w:jc w:val="center"/>
              <w:ind w:right="47"/>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1060" w:type="dxa"/>
            <w:vAlign w:val="bottom"/>
            <w:vMerge w:val="restart"/>
          </w:tcPr>
          <w:p>
            <w:pPr>
              <w:jc w:val="center"/>
              <w:ind w:right="207"/>
              <w:spacing w:after="0"/>
              <w:rPr>
                <w:sz w:val="20"/>
                <w:szCs w:val="20"/>
                <w:color w:val="auto"/>
              </w:rPr>
            </w:pPr>
            <w:r>
              <w:rPr>
                <w:rFonts w:ascii="Arial" w:cs="Arial" w:eastAsia="Arial" w:hAnsi="Arial"/>
                <w:sz w:val="16"/>
                <w:szCs w:val="16"/>
                <w:b w:val="1"/>
                <w:bCs w:val="1"/>
                <w:color w:val="auto"/>
              </w:rPr>
              <w:t>Common</w:t>
            </w:r>
          </w:p>
        </w:tc>
        <w:tc>
          <w:tcPr>
            <w:tcW w:w="220" w:type="dxa"/>
            <w:vAlign w:val="bottom"/>
          </w:tcPr>
          <w:p>
            <w:pPr>
              <w:spacing w:after="0"/>
              <w:rPr>
                <w:sz w:val="16"/>
                <w:szCs w:val="16"/>
                <w:color w:val="auto"/>
              </w:rPr>
            </w:pPr>
          </w:p>
        </w:tc>
        <w:tc>
          <w:tcPr>
            <w:tcW w:w="1080" w:type="dxa"/>
            <w:vAlign w:val="bottom"/>
            <w:vMerge w:val="restart"/>
          </w:tcPr>
          <w:p>
            <w:pPr>
              <w:jc w:val="right"/>
              <w:ind w:right="207"/>
              <w:spacing w:after="0"/>
              <w:rPr>
                <w:sz w:val="20"/>
                <w:szCs w:val="20"/>
                <w:color w:val="auto"/>
              </w:rPr>
            </w:pPr>
            <w:r>
              <w:rPr>
                <w:rFonts w:ascii="Arial" w:cs="Arial" w:eastAsia="Arial" w:hAnsi="Arial"/>
                <w:sz w:val="16"/>
                <w:szCs w:val="16"/>
                <w:b w:val="1"/>
                <w:bCs w:val="1"/>
                <w:color w:val="auto"/>
                <w:w w:val="99"/>
              </w:rPr>
              <w:t>Additional</w:t>
            </w: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67"/>
              <w:spacing w:after="0"/>
              <w:rPr>
                <w:sz w:val="20"/>
                <w:szCs w:val="20"/>
                <w:color w:val="auto"/>
              </w:rPr>
            </w:pPr>
            <w:r>
              <w:rPr>
                <w:rFonts w:ascii="Arial" w:cs="Arial" w:eastAsia="Arial" w:hAnsi="Arial"/>
                <w:sz w:val="16"/>
                <w:szCs w:val="16"/>
                <w:b w:val="1"/>
                <w:bCs w:val="1"/>
                <w:color w:val="auto"/>
                <w:w w:val="99"/>
              </w:rPr>
              <w:t>Accumulated</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0"/>
        </w:trPr>
        <w:tc>
          <w:tcPr>
            <w:tcW w:w="1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restart"/>
          </w:tcPr>
          <w:p>
            <w:pPr>
              <w:jc w:val="right"/>
              <w:ind w:right="247"/>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3"/>
                <w:szCs w:val="13"/>
                <w:color w:val="auto"/>
              </w:rPr>
            </w:pPr>
          </w:p>
        </w:tc>
        <w:tc>
          <w:tcPr>
            <w:tcW w:w="1320" w:type="dxa"/>
            <w:vAlign w:val="bottom"/>
          </w:tcPr>
          <w:p>
            <w:pPr>
              <w:jc w:val="center"/>
              <w:ind w:right="107"/>
              <w:spacing w:after="0" w:line="160" w:lineRule="exact"/>
              <w:rPr>
                <w:sz w:val="20"/>
                <w:szCs w:val="20"/>
                <w:color w:val="auto"/>
              </w:rPr>
            </w:pPr>
            <w:r>
              <w:rPr>
                <w:rFonts w:ascii="Arial" w:cs="Arial" w:eastAsia="Arial" w:hAnsi="Arial"/>
                <w:sz w:val="16"/>
                <w:szCs w:val="16"/>
                <w:b w:val="1"/>
                <w:bCs w:val="1"/>
                <w:color w:val="auto"/>
                <w:w w:val="98"/>
              </w:rPr>
              <w:t>Other</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20" w:type="dxa"/>
            <w:vAlign w:val="bottom"/>
          </w:tcPr>
          <w:p>
            <w:pPr>
              <w:jc w:val="center"/>
              <w:ind w:right="7"/>
              <w:spacing w:after="0" w:line="160" w:lineRule="exact"/>
              <w:rPr>
                <w:sz w:val="20"/>
                <w:szCs w:val="20"/>
                <w:color w:val="auto"/>
              </w:rPr>
            </w:pPr>
            <w:r>
              <w:rPr>
                <w:rFonts w:ascii="Arial" w:cs="Arial" w:eastAsia="Arial" w:hAnsi="Arial"/>
                <w:sz w:val="16"/>
                <w:szCs w:val="16"/>
                <w:b w:val="1"/>
                <w:bCs w:val="1"/>
                <w:color w:val="auto"/>
                <w:w w:val="96"/>
              </w:rPr>
              <w:t>Stock</w:t>
            </w:r>
          </w:p>
        </w:tc>
        <w:tc>
          <w:tcPr>
            <w:tcW w:w="240" w:type="dxa"/>
            <w:vAlign w:val="bottom"/>
          </w:tcPr>
          <w:p>
            <w:pPr>
              <w:spacing w:after="0"/>
              <w:rPr>
                <w:sz w:val="13"/>
                <w:szCs w:val="13"/>
                <w:color w:val="auto"/>
              </w:rPr>
            </w:pPr>
          </w:p>
        </w:tc>
        <w:tc>
          <w:tcPr>
            <w:tcW w:w="1060" w:type="dxa"/>
            <w:vAlign w:val="bottom"/>
          </w:tcPr>
          <w:p>
            <w:pPr>
              <w:jc w:val="center"/>
              <w:ind w:right="167"/>
              <w:spacing w:after="0" w:line="160" w:lineRule="exact"/>
              <w:rPr>
                <w:sz w:val="20"/>
                <w:szCs w:val="20"/>
                <w:color w:val="auto"/>
              </w:rPr>
            </w:pPr>
            <w:r>
              <w:rPr>
                <w:rFonts w:ascii="Arial" w:cs="Arial" w:eastAsia="Arial" w:hAnsi="Arial"/>
                <w:sz w:val="16"/>
                <w:szCs w:val="16"/>
                <w:b w:val="1"/>
                <w:bCs w:val="1"/>
                <w:color w:val="auto"/>
                <w:w w:val="96"/>
              </w:rPr>
              <w:t>Stock</w:t>
            </w:r>
          </w:p>
        </w:tc>
        <w:tc>
          <w:tcPr>
            <w:tcW w:w="220" w:type="dxa"/>
            <w:vAlign w:val="bottom"/>
          </w:tcPr>
          <w:p>
            <w:pPr>
              <w:spacing w:after="0"/>
              <w:rPr>
                <w:sz w:val="13"/>
                <w:szCs w:val="13"/>
                <w:color w:val="auto"/>
              </w:rPr>
            </w:pPr>
          </w:p>
        </w:tc>
        <w:tc>
          <w:tcPr>
            <w:tcW w:w="1080" w:type="dxa"/>
            <w:vAlign w:val="bottom"/>
          </w:tcPr>
          <w:p>
            <w:pPr>
              <w:jc w:val="right"/>
              <w:ind w:right="307"/>
              <w:spacing w:after="0" w:line="160" w:lineRule="exact"/>
              <w:rPr>
                <w:sz w:val="20"/>
                <w:szCs w:val="20"/>
                <w:color w:val="auto"/>
              </w:rPr>
            </w:pPr>
            <w:r>
              <w:rPr>
                <w:rFonts w:ascii="Arial" w:cs="Arial" w:eastAsia="Arial" w:hAnsi="Arial"/>
                <w:sz w:val="16"/>
                <w:szCs w:val="16"/>
                <w:b w:val="1"/>
                <w:bCs w:val="1"/>
                <w:color w:val="auto"/>
              </w:rPr>
              <w:t>Paid-In</w:t>
            </w:r>
          </w:p>
        </w:tc>
        <w:tc>
          <w:tcPr>
            <w:tcW w:w="1300" w:type="dxa"/>
            <w:vAlign w:val="bottom"/>
            <w:vMerge w:val="continue"/>
          </w:tcPr>
          <w:p>
            <w:pPr>
              <w:spacing w:after="0"/>
              <w:rPr>
                <w:sz w:val="13"/>
                <w:szCs w:val="13"/>
                <w:color w:val="auto"/>
              </w:rPr>
            </w:pPr>
          </w:p>
        </w:tc>
        <w:tc>
          <w:tcPr>
            <w:tcW w:w="15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Comprehensive</w:t>
            </w:r>
          </w:p>
        </w:tc>
        <w:tc>
          <w:tcPr>
            <w:tcW w:w="1220" w:type="dxa"/>
            <w:vAlign w:val="bottom"/>
          </w:tcPr>
          <w:p>
            <w:pPr>
              <w:jc w:val="center"/>
              <w:ind w:left="7"/>
              <w:spacing w:after="0" w:line="160" w:lineRule="exact"/>
              <w:rPr>
                <w:sz w:val="20"/>
                <w:szCs w:val="20"/>
                <w:color w:val="auto"/>
              </w:rPr>
            </w:pPr>
            <w:r>
              <w:rPr>
                <w:rFonts w:ascii="Arial" w:cs="Arial" w:eastAsia="Arial" w:hAnsi="Arial"/>
                <w:sz w:val="16"/>
                <w:szCs w:val="16"/>
                <w:b w:val="1"/>
                <w:bCs w:val="1"/>
                <w:color w:val="auto"/>
                <w:w w:val="99"/>
              </w:rPr>
              <w:t>Shareholders’</w:t>
            </w:r>
          </w:p>
        </w:tc>
        <w:tc>
          <w:tcPr>
            <w:tcW w:w="0" w:type="dxa"/>
            <w:vAlign w:val="bottom"/>
          </w:tcPr>
          <w:p>
            <w:pPr>
              <w:spacing w:after="0"/>
              <w:rPr>
                <w:sz w:val="1"/>
                <w:szCs w:val="1"/>
                <w:color w:val="auto"/>
              </w:rPr>
            </w:pPr>
          </w:p>
        </w:tc>
      </w:tr>
      <w:tr>
        <w:trPr>
          <w:trHeight w:val="213"/>
        </w:trPr>
        <w:tc>
          <w:tcPr>
            <w:tcW w:w="1220" w:type="dxa"/>
            <w:vAlign w:val="bottom"/>
            <w:tcBorders>
              <w:bottom w:val="single" w:sz="8" w:color="auto"/>
            </w:tcBorders>
          </w:tcPr>
          <w:p>
            <w:pPr>
              <w:jc w:val="center"/>
              <w:ind w:right="7"/>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47"/>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Capital</w:t>
            </w:r>
          </w:p>
        </w:tc>
        <w:tc>
          <w:tcPr>
            <w:tcW w:w="130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27"/>
              <w:spacing w:after="0"/>
              <w:rPr>
                <w:sz w:val="20"/>
                <w:szCs w:val="20"/>
                <w:color w:val="auto"/>
              </w:rPr>
            </w:pPr>
            <w:r>
              <w:rPr>
                <w:rFonts w:ascii="Arial" w:cs="Arial" w:eastAsia="Arial" w:hAnsi="Arial"/>
                <w:sz w:val="16"/>
                <w:szCs w:val="16"/>
                <w:b w:val="1"/>
                <w:bCs w:val="1"/>
                <w:color w:val="auto"/>
                <w:w w:val="99"/>
              </w:rPr>
              <w:t>Income (Loss)</w:t>
            </w:r>
          </w:p>
        </w:tc>
        <w:tc>
          <w:tcPr>
            <w:tcW w:w="1220" w:type="dxa"/>
            <w:vAlign w:val="bottom"/>
            <w:tcBorders>
              <w:bottom w:val="single" w:sz="8" w:color="auto"/>
            </w:tcBorders>
          </w:tcPr>
          <w:p>
            <w:pPr>
              <w:jc w:val="center"/>
              <w:ind w:left="27"/>
              <w:spacing w:after="0"/>
              <w:rPr>
                <w:sz w:val="20"/>
                <w:szCs w:val="20"/>
                <w:color w:val="auto"/>
              </w:rPr>
            </w:pPr>
            <w:r>
              <w:rPr>
                <w:rFonts w:ascii="Arial" w:cs="Arial" w:eastAsia="Arial" w:hAnsi="Arial"/>
                <w:sz w:val="16"/>
                <w:szCs w:val="16"/>
                <w:b w:val="1"/>
                <w:bCs w:val="1"/>
                <w:color w:val="auto"/>
                <w:w w:val="99"/>
              </w:rPr>
              <w:t>Investment</w:t>
            </w:r>
          </w:p>
        </w:tc>
        <w:tc>
          <w:tcPr>
            <w:tcW w:w="0" w:type="dxa"/>
            <w:vAlign w:val="bottom"/>
          </w:tcPr>
          <w:p>
            <w:pPr>
              <w:spacing w:after="0"/>
              <w:rPr>
                <w:sz w:val="1"/>
                <w:szCs w:val="1"/>
                <w:color w:val="auto"/>
              </w:rPr>
            </w:pPr>
          </w:p>
        </w:tc>
      </w:tr>
      <w:tr>
        <w:trPr>
          <w:trHeight w:val="182"/>
        </w:trPr>
        <w:tc>
          <w:tcPr>
            <w:tcW w:w="1220" w:type="dxa"/>
            <w:vAlign w:val="bottom"/>
          </w:tcPr>
          <w:p>
            <w:pPr>
              <w:jc w:val="right"/>
              <w:ind w:right="87"/>
              <w:spacing w:after="0"/>
              <w:rPr>
                <w:sz w:val="20"/>
                <w:szCs w:val="20"/>
                <w:color w:val="auto"/>
              </w:rPr>
            </w:pPr>
            <w:r>
              <w:rPr>
                <w:rFonts w:ascii="Arial" w:cs="Arial" w:eastAsia="Arial" w:hAnsi="Arial"/>
                <w:sz w:val="14"/>
                <w:szCs w:val="14"/>
                <w:color w:val="auto"/>
              </w:rPr>
              <w:t>238,966,589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7"/>
              <w:spacing w:after="0"/>
              <w:rPr>
                <w:sz w:val="20"/>
                <w:szCs w:val="20"/>
                <w:color w:val="auto"/>
              </w:rPr>
            </w:pPr>
            <w:r>
              <w:rPr>
                <w:rFonts w:ascii="Arial" w:cs="Arial" w:eastAsia="Arial" w:hAnsi="Arial"/>
                <w:sz w:val="14"/>
                <w:szCs w:val="14"/>
                <w:color w:val="auto"/>
              </w:rPr>
              <w:t>14,337,995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859,678,392</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$ 1,038,037,564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4,265,038</w:t>
            </w:r>
          </w:p>
        </w:tc>
        <w:tc>
          <w:tcPr>
            <w:tcW w:w="1220" w:type="dxa"/>
            <w:vAlign w:val="bottom"/>
          </w:tcPr>
          <w:p>
            <w:pPr>
              <w:jc w:val="right"/>
              <w:spacing w:after="0"/>
              <w:rPr>
                <w:sz w:val="20"/>
                <w:szCs w:val="20"/>
                <w:color w:val="auto"/>
              </w:rPr>
            </w:pPr>
            <w:r>
              <w:rPr>
                <w:rFonts w:ascii="Arial" w:cs="Arial" w:eastAsia="Arial" w:hAnsi="Arial"/>
                <w:sz w:val="14"/>
                <w:szCs w:val="14"/>
                <w:color w:val="auto"/>
              </w:rPr>
              <w:t>$ 1,916,318,989</w:t>
            </w:r>
          </w:p>
        </w:tc>
        <w:tc>
          <w:tcPr>
            <w:tcW w:w="0" w:type="dxa"/>
            <w:vAlign w:val="bottom"/>
          </w:tcPr>
          <w:p>
            <w:pPr>
              <w:spacing w:after="0"/>
              <w:rPr>
                <w:sz w:val="1"/>
                <w:szCs w:val="1"/>
                <w:color w:val="auto"/>
              </w:rPr>
            </w:pPr>
          </w:p>
        </w:tc>
      </w:tr>
      <w:tr>
        <w:trPr>
          <w:trHeight w:val="386"/>
        </w:trPr>
        <w:tc>
          <w:tcPr>
            <w:tcW w:w="1220" w:type="dxa"/>
            <w:vAlign w:val="bottom"/>
          </w:tcPr>
          <w:p>
            <w:pPr>
              <w:jc w:val="right"/>
              <w:ind w:right="87"/>
              <w:spacing w:after="0"/>
              <w:rPr>
                <w:sz w:val="20"/>
                <w:szCs w:val="20"/>
                <w:color w:val="auto"/>
              </w:rPr>
            </w:pPr>
            <w:r>
              <w:rPr>
                <w:rFonts w:ascii="Arial" w:cs="Arial" w:eastAsia="Arial" w:hAnsi="Arial"/>
                <w:sz w:val="14"/>
                <w:szCs w:val="14"/>
                <w:color w:val="auto"/>
              </w:rPr>
              <w:t>398,873</w:t>
            </w:r>
          </w:p>
        </w:tc>
        <w:tc>
          <w:tcPr>
            <w:tcW w:w="2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Arial" w:cs="Arial" w:eastAsia="Arial" w:hAnsi="Arial"/>
                <w:sz w:val="14"/>
                <w:szCs w:val="14"/>
                <w:color w:val="auto"/>
              </w:rPr>
              <w:t>23,932</w:t>
            </w:r>
          </w:p>
        </w:tc>
        <w:tc>
          <w:tcPr>
            <w:tcW w:w="220" w:type="dxa"/>
            <w:vAlign w:val="bottom"/>
          </w:tcPr>
          <w:p>
            <w:pPr>
              <w:spacing w:after="0"/>
              <w:rPr>
                <w:sz w:val="24"/>
                <w:szCs w:val="24"/>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7,093,058</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7,116,990</w:t>
            </w:r>
          </w:p>
        </w:tc>
        <w:tc>
          <w:tcPr>
            <w:tcW w:w="0" w:type="dxa"/>
            <w:vAlign w:val="bottom"/>
          </w:tcPr>
          <w:p>
            <w:pPr>
              <w:spacing w:after="0"/>
              <w:rPr>
                <w:sz w:val="1"/>
                <w:szCs w:val="1"/>
                <w:color w:val="auto"/>
              </w:rPr>
            </w:pPr>
          </w:p>
        </w:tc>
      </w:tr>
      <w:tr>
        <w:trPr>
          <w:trHeight w:val="213"/>
        </w:trPr>
        <w:tc>
          <w:tcPr>
            <w:tcW w:w="1220" w:type="dxa"/>
            <w:vAlign w:val="bottom"/>
          </w:tcPr>
          <w:p>
            <w:pPr>
              <w:jc w:val="right"/>
              <w:ind w:right="47"/>
              <w:spacing w:after="0"/>
              <w:rPr>
                <w:sz w:val="20"/>
                <w:szCs w:val="20"/>
                <w:color w:val="auto"/>
              </w:rPr>
            </w:pPr>
            <w:r>
              <w:rPr>
                <w:rFonts w:ascii="Arial" w:cs="Arial" w:eastAsia="Arial" w:hAnsi="Arial"/>
                <w:sz w:val="14"/>
                <w:szCs w:val="14"/>
                <w:color w:val="auto"/>
              </w:rPr>
              <w:t>(2,830,850)</w:t>
            </w:r>
          </w:p>
        </w:tc>
        <w:tc>
          <w:tcPr>
            <w:tcW w:w="240" w:type="dxa"/>
            <w:vAlign w:val="bottom"/>
          </w:tcPr>
          <w:p>
            <w:pPr>
              <w:spacing w:after="0"/>
              <w:rPr>
                <w:sz w:val="18"/>
                <w:szCs w:val="18"/>
                <w:color w:val="auto"/>
              </w:rPr>
            </w:pP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(169,851)</w:t>
            </w:r>
          </w:p>
        </w:tc>
        <w:tc>
          <w:tcPr>
            <w:tcW w:w="220" w:type="dxa"/>
            <w:vAlign w:val="bottom"/>
          </w:tcPr>
          <w:p>
            <w:pPr>
              <w:spacing w:after="0"/>
              <w:rPr>
                <w:sz w:val="18"/>
                <w:szCs w:val="18"/>
                <w:color w:val="auto"/>
              </w:rPr>
            </w:pPr>
          </w:p>
        </w:tc>
        <w:tc>
          <w:tcPr>
            <w:tcW w:w="1080" w:type="dxa"/>
            <w:vAlign w:val="bottom"/>
          </w:tcPr>
          <w:p>
            <w:pPr>
              <w:jc w:val="right"/>
              <w:ind w:right="27"/>
              <w:spacing w:after="0"/>
              <w:rPr>
                <w:sz w:val="20"/>
                <w:szCs w:val="20"/>
                <w:color w:val="auto"/>
              </w:rPr>
            </w:pPr>
            <w:r>
              <w:rPr>
                <w:rFonts w:ascii="Arial" w:cs="Arial" w:eastAsia="Arial" w:hAnsi="Arial"/>
                <w:sz w:val="14"/>
                <w:szCs w:val="14"/>
                <w:color w:val="auto"/>
              </w:rPr>
              <w:t>(9,200,264)</w:t>
            </w: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(81,211,798)</w:t>
            </w:r>
          </w:p>
        </w:tc>
        <w:tc>
          <w:tcPr>
            <w:tcW w:w="200" w:type="dxa"/>
            <w:vAlign w:val="bottom"/>
          </w:tcPr>
          <w:p>
            <w:pPr>
              <w:spacing w:after="0"/>
              <w:rPr>
                <w:sz w:val="18"/>
                <w:szCs w:val="18"/>
                <w:color w:val="auto"/>
              </w:rPr>
            </w:pP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(90,581,913)</w:t>
            </w:r>
          </w:p>
        </w:tc>
        <w:tc>
          <w:tcPr>
            <w:tcW w:w="0" w:type="dxa"/>
            <w:vAlign w:val="bottom"/>
          </w:tcPr>
          <w:p>
            <w:pPr>
              <w:spacing w:after="0"/>
              <w:rPr>
                <w:sz w:val="1"/>
                <w:szCs w:val="1"/>
                <w:color w:val="auto"/>
              </w:rPr>
            </w:pPr>
          </w:p>
        </w:tc>
      </w:tr>
      <w:tr>
        <w:trPr>
          <w:trHeight w:val="532"/>
        </w:trPr>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7,492,763</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7,492,763</w:t>
            </w:r>
          </w:p>
        </w:tc>
        <w:tc>
          <w:tcPr>
            <w:tcW w:w="0" w:type="dxa"/>
            <w:vAlign w:val="bottom"/>
          </w:tcPr>
          <w:p>
            <w:pPr>
              <w:spacing w:after="0"/>
              <w:rPr>
                <w:sz w:val="1"/>
                <w:szCs w:val="1"/>
                <w:color w:val="auto"/>
              </w:rPr>
            </w:pPr>
          </w:p>
        </w:tc>
      </w:tr>
      <w:tr>
        <w:trPr>
          <w:trHeight w:val="239"/>
        </w:trPr>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10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(28,382,653)</w:t>
            </w:r>
          </w:p>
        </w:tc>
        <w:tc>
          <w:tcPr>
            <w:tcW w:w="200" w:type="dxa"/>
            <w:vAlign w:val="bottom"/>
          </w:tcPr>
          <w:p>
            <w:pPr>
              <w:spacing w:after="0"/>
              <w:rPr>
                <w:sz w:val="20"/>
                <w:szCs w:val="20"/>
                <w:color w:val="auto"/>
              </w:rPr>
            </w:pP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(28,382,653)</w:t>
            </w:r>
          </w:p>
        </w:tc>
        <w:tc>
          <w:tcPr>
            <w:tcW w:w="0" w:type="dxa"/>
            <w:vAlign w:val="bottom"/>
          </w:tcPr>
          <w:p>
            <w:pPr>
              <w:spacing w:after="0"/>
              <w:rPr>
                <w:sz w:val="1"/>
                <w:szCs w:val="1"/>
                <w:color w:val="auto"/>
              </w:rPr>
            </w:pPr>
          </w:p>
        </w:tc>
      </w:tr>
      <w:tr>
        <w:trPr>
          <w:trHeight w:val="213"/>
        </w:trPr>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76,660,548</w:t>
            </w:r>
          </w:p>
        </w:tc>
        <w:tc>
          <w:tcPr>
            <w:tcW w:w="200" w:type="dxa"/>
            <w:vAlign w:val="bottom"/>
          </w:tcPr>
          <w:p>
            <w:pPr>
              <w:spacing w:after="0"/>
              <w:rPr>
                <w:sz w:val="18"/>
                <w:szCs w:val="18"/>
                <w:color w:val="auto"/>
              </w:rPr>
            </w:pPr>
          </w:p>
        </w:tc>
        <w:tc>
          <w:tcPr>
            <w:tcW w:w="132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76,660,548</w:t>
            </w:r>
          </w:p>
        </w:tc>
        <w:tc>
          <w:tcPr>
            <w:tcW w:w="0" w:type="dxa"/>
            <w:vAlign w:val="bottom"/>
          </w:tcPr>
          <w:p>
            <w:pPr>
              <w:spacing w:after="0"/>
              <w:rPr>
                <w:sz w:val="1"/>
                <w:szCs w:val="1"/>
                <w:color w:val="auto"/>
              </w:rPr>
            </w:pPr>
          </w:p>
        </w:tc>
      </w:tr>
      <w:tr>
        <w:trPr>
          <w:trHeight w:val="211"/>
        </w:trPr>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(994,438)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(994,438)</w:t>
            </w:r>
          </w:p>
        </w:tc>
        <w:tc>
          <w:tcPr>
            <w:tcW w:w="0" w:type="dxa"/>
            <w:vAlign w:val="bottom"/>
          </w:tcPr>
          <w:p>
            <w:pPr>
              <w:spacing w:after="0"/>
              <w:rPr>
                <w:sz w:val="1"/>
                <w:szCs w:val="1"/>
                <w:color w:val="auto"/>
              </w:rPr>
            </w:pPr>
          </w:p>
        </w:tc>
      </w:tr>
      <w:tr>
        <w:trPr>
          <w:trHeight w:val="179"/>
        </w:trPr>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236,534,612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14,192,076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865,063,949</w:t>
            </w:r>
          </w:p>
        </w:tc>
        <w:tc>
          <w:tcPr>
            <w:tcW w:w="13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$ 1,005,103,661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3,270,600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$ 1,887,630,286</w:t>
            </w: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-1426210</wp:posOffset>
            </wp:positionV>
            <wp:extent cx="7134225" cy="135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-1054735</wp:posOffset>
            </wp:positionV>
            <wp:extent cx="7134225" cy="135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-581660</wp:posOffset>
            </wp:positionV>
            <wp:extent cx="7134225" cy="151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5176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-294640</wp:posOffset>
            </wp:positionV>
            <wp:extent cx="7134225" cy="135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-16510</wp:posOffset>
            </wp:positionV>
            <wp:extent cx="7134225" cy="168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80"/>
            <w:col w:w="7860"/>
          </w:cols>
          <w:pgMar w:left="340" w:top="1393"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2020</w:t>
      </w:r>
    </w:p>
    <w:p>
      <w:pPr>
        <w:spacing w:after="0" w:line="29" w:lineRule="exact"/>
        <w:rPr>
          <w:sz w:val="20"/>
          <w:szCs w:val="20"/>
          <w:color w:val="auto"/>
        </w:rPr>
      </w:pPr>
    </w:p>
    <w:p>
      <w:pPr>
        <w:ind w:right="260"/>
        <w:spacing w:after="0" w:line="229" w:lineRule="auto"/>
        <w:rPr>
          <w:sz w:val="20"/>
          <w:szCs w:val="20"/>
          <w:color w:val="auto"/>
        </w:rPr>
      </w:pPr>
      <w:r>
        <w:rPr>
          <w:rFonts w:ascii="Arial" w:cs="Arial" w:eastAsia="Arial" w:hAnsi="Arial"/>
          <w:sz w:val="16"/>
          <w:szCs w:val="16"/>
          <w:color w:val="auto"/>
        </w:rPr>
        <w:t>Issuance of common stock from stock plan transactions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29"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2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245,775,488</w:t>
            </w:r>
          </w:p>
        </w:tc>
        <w:tc>
          <w:tcPr>
            <w:tcW w:w="3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14,746,529</w:t>
            </w:r>
          </w:p>
        </w:tc>
        <w:tc>
          <w:tcPr>
            <w:tcW w:w="2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818,678,880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986,442,760</w:t>
            </w:r>
          </w:p>
        </w:tc>
        <w:tc>
          <w:tcPr>
            <w:tcW w:w="46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2,739,244</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$ 1,822,607,413</w:t>
            </w:r>
          </w:p>
        </w:tc>
      </w:tr>
      <w:tr>
        <w:trPr>
          <w:trHeight w:val="386"/>
        </w:trPr>
        <w:tc>
          <w:tcPr>
            <w:tcW w:w="1220" w:type="dxa"/>
            <w:vAlign w:val="bottom"/>
          </w:tcPr>
          <w:p>
            <w:pPr>
              <w:jc w:val="right"/>
              <w:ind w:right="89"/>
              <w:spacing w:after="0"/>
              <w:rPr>
                <w:sz w:val="20"/>
                <w:szCs w:val="20"/>
                <w:color w:val="auto"/>
              </w:rPr>
            </w:pPr>
            <w:r>
              <w:rPr>
                <w:rFonts w:ascii="Arial" w:cs="Arial" w:eastAsia="Arial" w:hAnsi="Arial"/>
                <w:sz w:val="14"/>
                <w:szCs w:val="14"/>
                <w:color w:val="auto"/>
              </w:rPr>
              <w:t>461,983</w:t>
            </w:r>
          </w:p>
        </w:tc>
        <w:tc>
          <w:tcPr>
            <w:tcW w:w="320" w:type="dxa"/>
            <w:vAlign w:val="bottom"/>
          </w:tcPr>
          <w:p>
            <w:pPr>
              <w:spacing w:after="0"/>
              <w:rPr>
                <w:sz w:val="24"/>
                <w:szCs w:val="24"/>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27,719</w:t>
            </w:r>
          </w:p>
        </w:tc>
        <w:tc>
          <w:tcPr>
            <w:tcW w:w="280" w:type="dxa"/>
            <w:vAlign w:val="bottom"/>
          </w:tcPr>
          <w:p>
            <w:pPr>
              <w:spacing w:after="0"/>
              <w:rPr>
                <w:sz w:val="24"/>
                <w:szCs w:val="24"/>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7,938,770</w:t>
            </w:r>
          </w:p>
        </w:tc>
        <w:tc>
          <w:tcPr>
            <w:tcW w:w="220" w:type="dxa"/>
            <w:vAlign w:val="bottom"/>
          </w:tcPr>
          <w:p>
            <w:pPr>
              <w:spacing w:after="0"/>
              <w:rPr>
                <w:sz w:val="24"/>
                <w:szCs w:val="24"/>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7,966,489</w:t>
            </w:r>
          </w:p>
        </w:tc>
      </w:tr>
      <w:tr>
        <w:trPr>
          <w:trHeight w:val="213"/>
        </w:trPr>
        <w:tc>
          <w:tcPr>
            <w:tcW w:w="1220" w:type="dxa"/>
            <w:vAlign w:val="bottom"/>
          </w:tcPr>
          <w:p>
            <w:pPr>
              <w:jc w:val="right"/>
              <w:ind w:right="49"/>
              <w:spacing w:after="0"/>
              <w:rPr>
                <w:sz w:val="20"/>
                <w:szCs w:val="20"/>
                <w:color w:val="auto"/>
              </w:rPr>
            </w:pPr>
            <w:r>
              <w:rPr>
                <w:rFonts w:ascii="Arial" w:cs="Arial" w:eastAsia="Arial" w:hAnsi="Arial"/>
                <w:sz w:val="14"/>
                <w:szCs w:val="14"/>
                <w:color w:val="auto"/>
              </w:rPr>
              <w:t>(1,175,756)</w:t>
            </w:r>
          </w:p>
        </w:tc>
        <w:tc>
          <w:tcPr>
            <w:tcW w:w="320" w:type="dxa"/>
            <w:vAlign w:val="bottom"/>
          </w:tcPr>
          <w:p>
            <w:pPr>
              <w:spacing w:after="0"/>
              <w:rPr>
                <w:sz w:val="18"/>
                <w:szCs w:val="18"/>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(70,545)</w:t>
            </w:r>
          </w:p>
        </w:tc>
        <w:tc>
          <w:tcPr>
            <w:tcW w:w="280" w:type="dxa"/>
            <w:vAlign w:val="bottom"/>
          </w:tcPr>
          <w:p>
            <w:pPr>
              <w:spacing w:after="0"/>
              <w:rPr>
                <w:sz w:val="18"/>
                <w:szCs w:val="18"/>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(3,515,510)</w:t>
            </w:r>
          </w:p>
        </w:tc>
        <w:tc>
          <w:tcPr>
            <w:tcW w:w="22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(28,074,807)</w:t>
            </w:r>
          </w:p>
        </w:tc>
        <w:tc>
          <w:tcPr>
            <w:tcW w:w="46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(31,660,862)</w:t>
            </w:r>
          </w:p>
        </w:tc>
      </w:tr>
      <w:tr>
        <w:trPr>
          <w:trHeight w:val="532"/>
        </w:trPr>
        <w:tc>
          <w:tcPr>
            <w:tcW w:w="12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7,306,543</w:t>
            </w:r>
          </w:p>
        </w:tc>
        <w:tc>
          <w:tcPr>
            <w:tcW w:w="220" w:type="dxa"/>
            <w:vAlign w:val="bottom"/>
          </w:tcPr>
          <w:p>
            <w:pPr>
              <w:spacing w:after="0"/>
              <w:rPr>
                <w:sz w:val="24"/>
                <w:szCs w:val="24"/>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7,306,543</w:t>
            </w:r>
          </w:p>
        </w:tc>
      </w:tr>
      <w:tr>
        <w:trPr>
          <w:trHeight w:val="239"/>
        </w:trPr>
        <w:tc>
          <w:tcPr>
            <w:tcW w:w="12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(29,407,702)</w:t>
            </w:r>
          </w:p>
        </w:tc>
        <w:tc>
          <w:tcPr>
            <w:tcW w:w="460" w:type="dxa"/>
            <w:vAlign w:val="bottom"/>
          </w:tcPr>
          <w:p>
            <w:pPr>
              <w:spacing w:after="0"/>
              <w:rPr>
                <w:sz w:val="20"/>
                <w:szCs w:val="20"/>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(29,407,702)</w:t>
            </w:r>
          </w:p>
        </w:tc>
      </w:tr>
      <w:tr>
        <w:trPr>
          <w:trHeight w:val="213"/>
        </w:trPr>
        <w:tc>
          <w:tcPr>
            <w:tcW w:w="12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117,092,602</w:t>
            </w:r>
          </w:p>
        </w:tc>
        <w:tc>
          <w:tcPr>
            <w:tcW w:w="46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117,092,602</w:t>
            </w:r>
          </w:p>
        </w:tc>
      </w:tr>
      <w:tr>
        <w:trPr>
          <w:trHeight w:val="211"/>
        </w:trPr>
        <w:tc>
          <w:tcPr>
            <w:tcW w:w="12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1,707,816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1,707,816</w:t>
            </w:r>
          </w:p>
        </w:tc>
      </w:tr>
      <w:tr>
        <w:trPr>
          <w:trHeight w:val="179"/>
        </w:trPr>
        <w:tc>
          <w:tcPr>
            <w:tcW w:w="12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245,061,715</w:t>
            </w:r>
          </w:p>
        </w:tc>
        <w:tc>
          <w:tcPr>
            <w:tcW w:w="3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14,703,703</w:t>
            </w:r>
          </w:p>
        </w:tc>
        <w:tc>
          <w:tcPr>
            <w:tcW w:w="2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830,408,683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1,046,052,853</w:t>
            </w:r>
          </w:p>
        </w:tc>
        <w:tc>
          <w:tcPr>
            <w:tcW w:w="4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4,447,060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$ 1,895,612,299</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-1290955</wp:posOffset>
            </wp:positionV>
            <wp:extent cx="7134225" cy="236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23622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-919480</wp:posOffset>
            </wp:positionV>
            <wp:extent cx="7134225" cy="337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33782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-429895</wp:posOffset>
            </wp:positionV>
            <wp:extent cx="7134225" cy="135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-160020</wp:posOffset>
            </wp:positionV>
            <wp:extent cx="7134225" cy="143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80"/>
            <w:col w:w="7860"/>
          </w:cols>
          <w:pgMar w:left="340" w:top="139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40" w:top="1393" w:right="339" w:bottom="1440" w:gutter="0" w:footer="0" w:header="0"/>
          <w:type w:val="continuous"/>
        </w:sectPr>
      </w:pPr>
    </w:p>
    <w:bookmarkStart w:id="6" w:name="page7"/>
    <w:bookmarkEnd w:id="6"/>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September 30, 2021 and 2020</w:t>
      </w:r>
    </w:p>
    <w:p>
      <w:pPr>
        <w:sectPr>
          <w:pgSz w:w="11900" w:h="16838" w:orient="portrait"/>
          <w:cols w:equalWidth="0" w:num="1">
            <w:col w:w="11200"/>
          </w:cols>
          <w:pgMar w:left="3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2021</w:t>
      </w:r>
    </w:p>
    <w:p>
      <w:pPr>
        <w:spacing w:after="0" w:line="29" w:lineRule="exact"/>
        <w:rPr>
          <w:sz w:val="20"/>
          <w:szCs w:val="20"/>
          <w:color w:val="auto"/>
        </w:rPr>
      </w:pPr>
    </w:p>
    <w:p>
      <w:pPr>
        <w:ind w:right="260"/>
        <w:spacing w:after="0" w:line="229" w:lineRule="auto"/>
        <w:rPr>
          <w:sz w:val="20"/>
          <w:szCs w:val="20"/>
          <w:color w:val="auto"/>
        </w:rPr>
      </w:pPr>
      <w:r>
        <w:rPr>
          <w:rFonts w:ascii="Arial" w:cs="Arial" w:eastAsia="Arial" w:hAnsi="Arial"/>
          <w:sz w:val="16"/>
          <w:szCs w:val="16"/>
          <w:color w:val="auto"/>
        </w:rPr>
        <w:t>Issuance of common stock from stock plan transactions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29"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($0.36 per share)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2021</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2020</w:t>
      </w:r>
    </w:p>
    <w:p>
      <w:pPr>
        <w:spacing w:after="0" w:line="29" w:lineRule="exact"/>
        <w:rPr>
          <w:sz w:val="20"/>
          <w:szCs w:val="20"/>
          <w:color w:val="auto"/>
        </w:rPr>
      </w:pPr>
    </w:p>
    <w:p>
      <w:pPr>
        <w:ind w:right="260"/>
        <w:spacing w:after="0" w:line="229" w:lineRule="auto"/>
        <w:rPr>
          <w:sz w:val="20"/>
          <w:szCs w:val="20"/>
          <w:color w:val="auto"/>
        </w:rPr>
      </w:pPr>
      <w:r>
        <w:rPr>
          <w:rFonts w:ascii="Arial" w:cs="Arial" w:eastAsia="Arial" w:hAnsi="Arial"/>
          <w:sz w:val="16"/>
          <w:szCs w:val="16"/>
          <w:color w:val="auto"/>
        </w:rPr>
        <w:t>Issuance of common stock from stock plan transactions</w:t>
      </w:r>
    </w:p>
    <w:p>
      <w:pPr>
        <w:spacing w:after="0" w:line="21" w:lineRule="exact"/>
        <w:rPr>
          <w:sz w:val="20"/>
          <w:szCs w:val="20"/>
          <w:color w:val="auto"/>
        </w:rPr>
      </w:pPr>
    </w:p>
    <w:p>
      <w:pPr>
        <w:ind w:right="680"/>
        <w:spacing w:after="0" w:line="229" w:lineRule="auto"/>
        <w:rPr>
          <w:sz w:val="20"/>
          <w:szCs w:val="20"/>
          <w:color w:val="auto"/>
        </w:rPr>
      </w:pPr>
      <w:r>
        <w:rPr>
          <w:rFonts w:ascii="Arial" w:cs="Arial" w:eastAsia="Arial" w:hAnsi="Arial"/>
          <w:sz w:val="16"/>
          <w:szCs w:val="16"/>
          <w:color w:val="auto"/>
        </w:rPr>
        <w:t>Issuance of common stock related to acquisitions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29"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($0.36 per share)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2020</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000" w:type="dxa"/>
            <w:vAlign w:val="bottom"/>
            <w:vMerge w:val="restart"/>
          </w:tcPr>
          <w:p>
            <w:pPr>
              <w:jc w:val="center"/>
              <w:ind w:right="189"/>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1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9"/>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8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1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1"/>
                <w:szCs w:val="11"/>
                <w:color w:val="auto"/>
              </w:rPr>
            </w:pPr>
          </w:p>
        </w:tc>
        <w:tc>
          <w:tcPr>
            <w:tcW w:w="1160" w:type="dxa"/>
            <w:vAlign w:val="bottom"/>
          </w:tcPr>
          <w:p>
            <w:pPr>
              <w:jc w:val="center"/>
              <w:ind w:right="109"/>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99"/>
              </w:rPr>
              <w:t>Stock</w:t>
            </w:r>
          </w:p>
        </w:tc>
        <w:tc>
          <w:tcPr>
            <w:tcW w:w="240" w:type="dxa"/>
            <w:vAlign w:val="bottom"/>
          </w:tcPr>
          <w:p>
            <w:pPr>
              <w:spacing w:after="0"/>
              <w:rPr>
                <w:sz w:val="11"/>
                <w:szCs w:val="11"/>
                <w:color w:val="auto"/>
              </w:rPr>
            </w:pPr>
          </w:p>
        </w:tc>
        <w:tc>
          <w:tcPr>
            <w:tcW w:w="1000" w:type="dxa"/>
            <w:vAlign w:val="bottom"/>
          </w:tcPr>
          <w:p>
            <w:pPr>
              <w:jc w:val="center"/>
              <w:ind w:right="149"/>
              <w:spacing w:after="0" w:line="133" w:lineRule="exact"/>
              <w:rPr>
                <w:sz w:val="20"/>
                <w:szCs w:val="20"/>
                <w:color w:val="auto"/>
              </w:rPr>
            </w:pPr>
            <w:r>
              <w:rPr>
                <w:rFonts w:ascii="Arial" w:cs="Arial" w:eastAsia="Arial" w:hAnsi="Arial"/>
                <w:sz w:val="14"/>
                <w:szCs w:val="14"/>
                <w:b w:val="1"/>
                <w:bCs w:val="1"/>
                <w:color w:val="auto"/>
                <w:w w:val="99"/>
              </w:rPr>
              <w:t>Stock</w:t>
            </w:r>
          </w:p>
        </w:tc>
        <w:tc>
          <w:tcPr>
            <w:tcW w:w="26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3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1"/>
                <w:szCs w:val="11"/>
                <w:color w:val="auto"/>
              </w:rPr>
            </w:pPr>
          </w:p>
        </w:tc>
        <w:tc>
          <w:tcPr>
            <w:tcW w:w="108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8"/>
        </w:trPr>
        <w:tc>
          <w:tcPr>
            <w:tcW w:w="1160" w:type="dxa"/>
            <w:vAlign w:val="bottom"/>
          </w:tcPr>
          <w:p>
            <w:pPr>
              <w:jc w:val="center"/>
              <w:ind w:right="9"/>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000" w:type="dxa"/>
            <w:vAlign w:val="bottom"/>
          </w:tcPr>
          <w:p>
            <w:pPr>
              <w:jc w:val="center"/>
              <w:ind w:right="149"/>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140" w:type="dxa"/>
            <w:vAlign w:val="bottom"/>
          </w:tcPr>
          <w:p>
            <w:pPr>
              <w:jc w:val="right"/>
              <w:ind w:right="329"/>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160" w:type="dxa"/>
            <w:vAlign w:val="bottom"/>
          </w:tcPr>
          <w:p>
            <w:pPr>
              <w:jc w:val="center"/>
              <w:ind w:right="89"/>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6"/>
                <w:szCs w:val="16"/>
                <w:color w:val="auto"/>
              </w:rPr>
            </w:pPr>
          </w:p>
        </w:tc>
        <w:tc>
          <w:tcPr>
            <w:tcW w:w="1080" w:type="dxa"/>
            <w:vAlign w:val="bottom"/>
          </w:tcPr>
          <w:p>
            <w:pPr>
              <w:jc w:val="center"/>
              <w:ind w:right="49"/>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99"/>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243,692,869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14,621,572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852,771,508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1,089,698,996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6,851,052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1,963,943,128</w:t>
            </w:r>
          </w:p>
        </w:tc>
        <w:tc>
          <w:tcPr>
            <w:tcW w:w="0" w:type="dxa"/>
            <w:vAlign w:val="bottom"/>
          </w:tcPr>
          <w:p>
            <w:pPr>
              <w:spacing w:after="0"/>
              <w:rPr>
                <w:sz w:val="1"/>
                <w:szCs w:val="1"/>
                <w:color w:val="auto"/>
              </w:rPr>
            </w:pPr>
          </w:p>
        </w:tc>
      </w:tr>
      <w:tr>
        <w:trPr>
          <w:trHeight w:val="372"/>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1,838,789</w:t>
            </w:r>
          </w:p>
        </w:tc>
        <w:tc>
          <w:tcPr>
            <w:tcW w:w="24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110,327</w:t>
            </w:r>
          </w:p>
        </w:tc>
        <w:tc>
          <w:tcPr>
            <w:tcW w:w="260" w:type="dxa"/>
            <w:vAlign w:val="bottom"/>
          </w:tcPr>
          <w:p>
            <w:pPr>
              <w:spacing w:after="0"/>
              <w:rPr>
                <w:sz w:val="24"/>
                <w:szCs w:val="24"/>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20,663,547</w:t>
            </w:r>
          </w:p>
        </w:tc>
        <w:tc>
          <w:tcPr>
            <w:tcW w:w="26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20,773,874</w:t>
            </w:r>
          </w:p>
        </w:tc>
        <w:tc>
          <w:tcPr>
            <w:tcW w:w="0" w:type="dxa"/>
            <w:vAlign w:val="bottom"/>
          </w:tcPr>
          <w:p>
            <w:pPr>
              <w:spacing w:after="0"/>
              <w:rPr>
                <w:sz w:val="1"/>
                <w:szCs w:val="1"/>
                <w:color w:val="auto"/>
              </w:rPr>
            </w:pPr>
          </w:p>
        </w:tc>
      </w:tr>
      <w:tr>
        <w:trPr>
          <w:trHeight w:val="213"/>
        </w:trPr>
        <w:tc>
          <w:tcPr>
            <w:tcW w:w="1160" w:type="dxa"/>
            <w:vAlign w:val="bottom"/>
          </w:tcPr>
          <w:p>
            <w:pPr>
              <w:jc w:val="right"/>
              <w:ind w:right="49"/>
              <w:spacing w:after="0"/>
              <w:rPr>
                <w:sz w:val="20"/>
                <w:szCs w:val="20"/>
                <w:color w:val="auto"/>
              </w:rPr>
            </w:pPr>
            <w:r>
              <w:rPr>
                <w:rFonts w:ascii="Arial" w:cs="Arial" w:eastAsia="Arial" w:hAnsi="Arial"/>
                <w:sz w:val="14"/>
                <w:szCs w:val="14"/>
                <w:color w:val="auto"/>
              </w:rPr>
              <w:t>(8,997,046)</w:t>
            </w:r>
          </w:p>
        </w:tc>
        <w:tc>
          <w:tcPr>
            <w:tcW w:w="240" w:type="dxa"/>
            <w:vAlign w:val="bottom"/>
          </w:tcPr>
          <w:p>
            <w:pPr>
              <w:spacing w:after="0"/>
              <w:rPr>
                <w:sz w:val="18"/>
                <w:szCs w:val="18"/>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(539,823)</w:t>
            </w:r>
          </w:p>
        </w:tc>
        <w:tc>
          <w:tcPr>
            <w:tcW w:w="26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4"/>
                <w:szCs w:val="14"/>
                <w:color w:val="auto"/>
              </w:rPr>
              <w:t>(28,486,027)</w:t>
            </w:r>
          </w:p>
        </w:tc>
        <w:tc>
          <w:tcPr>
            <w:tcW w:w="260" w:type="dxa"/>
            <w:vAlign w:val="bottom"/>
          </w:tcPr>
          <w:p>
            <w:pPr>
              <w:spacing w:after="0"/>
              <w:rPr>
                <w:sz w:val="18"/>
                <w:szCs w:val="18"/>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(275,169,905)</w:t>
            </w:r>
          </w:p>
        </w:tc>
        <w:tc>
          <w:tcPr>
            <w:tcW w:w="180" w:type="dxa"/>
            <w:vAlign w:val="bottom"/>
          </w:tcPr>
          <w:p>
            <w:pPr>
              <w:spacing w:after="0"/>
              <w:rPr>
                <w:sz w:val="18"/>
                <w:szCs w:val="18"/>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(304,195,755)</w:t>
            </w:r>
          </w:p>
        </w:tc>
        <w:tc>
          <w:tcPr>
            <w:tcW w:w="0" w:type="dxa"/>
            <w:vAlign w:val="bottom"/>
          </w:tcPr>
          <w:p>
            <w:pPr>
              <w:spacing w:after="0"/>
              <w:rPr>
                <w:sz w:val="1"/>
                <w:szCs w:val="1"/>
                <w:color w:val="auto"/>
              </w:rPr>
            </w:pPr>
          </w:p>
        </w:tc>
      </w:tr>
      <w:tr>
        <w:trPr>
          <w:trHeight w:val="532"/>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20,114,921</w:t>
            </w:r>
          </w:p>
        </w:tc>
        <w:tc>
          <w:tcPr>
            <w:tcW w:w="26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20,114,921</w:t>
            </w:r>
          </w:p>
        </w:tc>
        <w:tc>
          <w:tcPr>
            <w:tcW w:w="0" w:type="dxa"/>
            <w:vAlign w:val="bottom"/>
          </w:tcPr>
          <w:p>
            <w:pPr>
              <w:spacing w:after="0"/>
              <w:rPr>
                <w:sz w:val="1"/>
                <w:szCs w:val="1"/>
                <w:color w:val="auto"/>
              </w:rPr>
            </w:pPr>
          </w:p>
        </w:tc>
      </w:tr>
      <w:tr>
        <w:trPr>
          <w:trHeight w:val="239"/>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(86,043,266)</w:t>
            </w:r>
          </w:p>
        </w:tc>
        <w:tc>
          <w:tcPr>
            <w:tcW w:w="180" w:type="dxa"/>
            <w:vAlign w:val="bottom"/>
          </w:tcPr>
          <w:p>
            <w:pPr>
              <w:spacing w:after="0"/>
              <w:rPr>
                <w:sz w:val="20"/>
                <w:szCs w:val="20"/>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(86,043,266)</w:t>
            </w:r>
          </w:p>
        </w:tc>
        <w:tc>
          <w:tcPr>
            <w:tcW w:w="0" w:type="dxa"/>
            <w:vAlign w:val="bottom"/>
          </w:tcPr>
          <w:p>
            <w:pPr>
              <w:spacing w:after="0"/>
              <w:rPr>
                <w:sz w:val="1"/>
                <w:szCs w:val="1"/>
                <w:color w:val="auto"/>
              </w:rPr>
            </w:pPr>
          </w:p>
        </w:tc>
      </w:tr>
      <w:tr>
        <w:trPr>
          <w:trHeight w:val="213"/>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276,617,836</w:t>
            </w:r>
          </w:p>
        </w:tc>
        <w:tc>
          <w:tcPr>
            <w:tcW w:w="180" w:type="dxa"/>
            <w:vAlign w:val="bottom"/>
          </w:tcPr>
          <w:p>
            <w:pPr>
              <w:spacing w:after="0"/>
              <w:rPr>
                <w:sz w:val="18"/>
                <w:szCs w:val="18"/>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276,617,836</w:t>
            </w:r>
          </w:p>
        </w:tc>
        <w:tc>
          <w:tcPr>
            <w:tcW w:w="0" w:type="dxa"/>
            <w:vAlign w:val="bottom"/>
          </w:tcPr>
          <w:p>
            <w:pPr>
              <w:spacing w:after="0"/>
              <w:rPr>
                <w:sz w:val="1"/>
                <w:szCs w:val="1"/>
                <w:color w:val="auto"/>
              </w:rPr>
            </w:pPr>
          </w:p>
        </w:tc>
      </w:tr>
      <w:tr>
        <w:trPr>
          <w:trHeight w:val="211"/>
        </w:trPr>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(3,580,452)</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(3,580,452)</w:t>
            </w:r>
          </w:p>
        </w:tc>
        <w:tc>
          <w:tcPr>
            <w:tcW w:w="0" w:type="dxa"/>
            <w:vAlign w:val="bottom"/>
          </w:tcPr>
          <w:p>
            <w:pPr>
              <w:spacing w:after="0"/>
              <w:rPr>
                <w:sz w:val="1"/>
                <w:szCs w:val="1"/>
                <w:color w:val="auto"/>
              </w:rPr>
            </w:pPr>
          </w:p>
        </w:tc>
      </w:tr>
      <w:tr>
        <w:trPr>
          <w:trHeight w:val="179"/>
        </w:trPr>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236,534,612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14,192,076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865,063,949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1,005,103,661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3,270,600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1,887,630,286</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251,277,515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15,076,651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807,928,139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1,116,372,133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(1,289,103)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1,938,087,820</w:t>
            </w:r>
          </w:p>
        </w:tc>
        <w:tc>
          <w:tcPr>
            <w:tcW w:w="0" w:type="dxa"/>
            <w:vAlign w:val="bottom"/>
          </w:tcPr>
          <w:p>
            <w:pPr>
              <w:spacing w:after="0"/>
              <w:rPr>
                <w:sz w:val="1"/>
                <w:szCs w:val="1"/>
                <w:color w:val="auto"/>
              </w:rPr>
            </w:pPr>
          </w:p>
        </w:tc>
      </w:tr>
      <w:tr>
        <w:trPr>
          <w:trHeight w:val="372"/>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1,815,270</w:t>
            </w:r>
          </w:p>
        </w:tc>
        <w:tc>
          <w:tcPr>
            <w:tcW w:w="24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108,917</w:t>
            </w:r>
          </w:p>
        </w:tc>
        <w:tc>
          <w:tcPr>
            <w:tcW w:w="260" w:type="dxa"/>
            <w:vAlign w:val="bottom"/>
          </w:tcPr>
          <w:p>
            <w:pPr>
              <w:spacing w:after="0"/>
              <w:rPr>
                <w:sz w:val="24"/>
                <w:szCs w:val="24"/>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23,568,264</w:t>
            </w:r>
          </w:p>
        </w:tc>
        <w:tc>
          <w:tcPr>
            <w:tcW w:w="26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23,677,181</w:t>
            </w:r>
          </w:p>
        </w:tc>
        <w:tc>
          <w:tcPr>
            <w:tcW w:w="0" w:type="dxa"/>
            <w:vAlign w:val="bottom"/>
          </w:tcPr>
          <w:p>
            <w:pPr>
              <w:spacing w:after="0"/>
              <w:rPr>
                <w:sz w:val="1"/>
                <w:szCs w:val="1"/>
                <w:color w:val="auto"/>
              </w:rPr>
            </w:pPr>
          </w:p>
        </w:tc>
      </w:tr>
      <w:tr>
        <w:trPr>
          <w:trHeight w:val="372"/>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163,718</w:t>
            </w:r>
          </w:p>
        </w:tc>
        <w:tc>
          <w:tcPr>
            <w:tcW w:w="24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9,823</w:t>
            </w:r>
          </w:p>
        </w:tc>
        <w:tc>
          <w:tcPr>
            <w:tcW w:w="260" w:type="dxa"/>
            <w:vAlign w:val="bottom"/>
          </w:tcPr>
          <w:p>
            <w:pPr>
              <w:spacing w:after="0"/>
              <w:rPr>
                <w:sz w:val="24"/>
                <w:szCs w:val="24"/>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3,549,406</w:t>
            </w:r>
          </w:p>
        </w:tc>
        <w:tc>
          <w:tcPr>
            <w:tcW w:w="26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3,559,229</w:t>
            </w:r>
          </w:p>
        </w:tc>
        <w:tc>
          <w:tcPr>
            <w:tcW w:w="0" w:type="dxa"/>
            <w:vAlign w:val="bottom"/>
          </w:tcPr>
          <w:p>
            <w:pPr>
              <w:spacing w:after="0"/>
              <w:rPr>
                <w:sz w:val="1"/>
                <w:szCs w:val="1"/>
                <w:color w:val="auto"/>
              </w:rPr>
            </w:pPr>
          </w:p>
        </w:tc>
      </w:tr>
      <w:tr>
        <w:trPr>
          <w:trHeight w:val="213"/>
        </w:trPr>
        <w:tc>
          <w:tcPr>
            <w:tcW w:w="1160" w:type="dxa"/>
            <w:vAlign w:val="bottom"/>
          </w:tcPr>
          <w:p>
            <w:pPr>
              <w:jc w:val="right"/>
              <w:ind w:right="49"/>
              <w:spacing w:after="0"/>
              <w:rPr>
                <w:sz w:val="20"/>
                <w:szCs w:val="20"/>
                <w:color w:val="auto"/>
              </w:rPr>
            </w:pPr>
            <w:r>
              <w:rPr>
                <w:rFonts w:ascii="Arial" w:cs="Arial" w:eastAsia="Arial" w:hAnsi="Arial"/>
                <w:sz w:val="14"/>
                <w:szCs w:val="14"/>
                <w:color w:val="auto"/>
              </w:rPr>
              <w:t>(8,194,788)</w:t>
            </w:r>
          </w:p>
        </w:tc>
        <w:tc>
          <w:tcPr>
            <w:tcW w:w="240" w:type="dxa"/>
            <w:vAlign w:val="bottom"/>
          </w:tcPr>
          <w:p>
            <w:pPr>
              <w:spacing w:after="0"/>
              <w:rPr>
                <w:sz w:val="18"/>
                <w:szCs w:val="18"/>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(491,688)</w:t>
            </w:r>
          </w:p>
        </w:tc>
        <w:tc>
          <w:tcPr>
            <w:tcW w:w="26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4"/>
                <w:szCs w:val="14"/>
                <w:color w:val="auto"/>
              </w:rPr>
              <w:t>(23,730,322)</w:t>
            </w:r>
          </w:p>
        </w:tc>
        <w:tc>
          <w:tcPr>
            <w:tcW w:w="260" w:type="dxa"/>
            <w:vAlign w:val="bottom"/>
          </w:tcPr>
          <w:p>
            <w:pPr>
              <w:spacing w:after="0"/>
              <w:rPr>
                <w:sz w:val="18"/>
                <w:szCs w:val="18"/>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(186,258,436)</w:t>
            </w:r>
          </w:p>
        </w:tc>
        <w:tc>
          <w:tcPr>
            <w:tcW w:w="180" w:type="dxa"/>
            <w:vAlign w:val="bottom"/>
          </w:tcPr>
          <w:p>
            <w:pPr>
              <w:spacing w:after="0"/>
              <w:rPr>
                <w:sz w:val="18"/>
                <w:szCs w:val="18"/>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(210,480,446)</w:t>
            </w:r>
          </w:p>
        </w:tc>
        <w:tc>
          <w:tcPr>
            <w:tcW w:w="0" w:type="dxa"/>
            <w:vAlign w:val="bottom"/>
          </w:tcPr>
          <w:p>
            <w:pPr>
              <w:spacing w:after="0"/>
              <w:rPr>
                <w:sz w:val="1"/>
                <w:szCs w:val="1"/>
                <w:color w:val="auto"/>
              </w:rPr>
            </w:pPr>
          </w:p>
        </w:tc>
      </w:tr>
      <w:tr>
        <w:trPr>
          <w:trHeight w:val="532"/>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19,093,196</w:t>
            </w:r>
          </w:p>
        </w:tc>
        <w:tc>
          <w:tcPr>
            <w:tcW w:w="26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19,093,196</w:t>
            </w:r>
          </w:p>
        </w:tc>
        <w:tc>
          <w:tcPr>
            <w:tcW w:w="0" w:type="dxa"/>
            <w:vAlign w:val="bottom"/>
          </w:tcPr>
          <w:p>
            <w:pPr>
              <w:spacing w:after="0"/>
              <w:rPr>
                <w:sz w:val="1"/>
                <w:szCs w:val="1"/>
                <w:color w:val="auto"/>
              </w:rPr>
            </w:pPr>
          </w:p>
        </w:tc>
      </w:tr>
      <w:tr>
        <w:trPr>
          <w:trHeight w:val="239"/>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(88,285,214)</w:t>
            </w:r>
          </w:p>
        </w:tc>
        <w:tc>
          <w:tcPr>
            <w:tcW w:w="180" w:type="dxa"/>
            <w:vAlign w:val="bottom"/>
          </w:tcPr>
          <w:p>
            <w:pPr>
              <w:spacing w:after="0"/>
              <w:rPr>
                <w:sz w:val="20"/>
                <w:szCs w:val="20"/>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(88,285,214)</w:t>
            </w:r>
          </w:p>
        </w:tc>
        <w:tc>
          <w:tcPr>
            <w:tcW w:w="0" w:type="dxa"/>
            <w:vAlign w:val="bottom"/>
          </w:tcPr>
          <w:p>
            <w:pPr>
              <w:spacing w:after="0"/>
              <w:rPr>
                <w:sz w:val="1"/>
                <w:szCs w:val="1"/>
                <w:color w:val="auto"/>
              </w:rPr>
            </w:pPr>
          </w:p>
        </w:tc>
      </w:tr>
      <w:tr>
        <w:trPr>
          <w:trHeight w:val="213"/>
        </w:trPr>
        <w:tc>
          <w:tcPr>
            <w:tcW w:w="11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204,224,370</w:t>
            </w:r>
          </w:p>
        </w:tc>
        <w:tc>
          <w:tcPr>
            <w:tcW w:w="180" w:type="dxa"/>
            <w:vAlign w:val="bottom"/>
          </w:tcPr>
          <w:p>
            <w:pPr>
              <w:spacing w:after="0"/>
              <w:rPr>
                <w:sz w:val="18"/>
                <w:szCs w:val="18"/>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204,224,370</w:t>
            </w:r>
          </w:p>
        </w:tc>
        <w:tc>
          <w:tcPr>
            <w:tcW w:w="0" w:type="dxa"/>
            <w:vAlign w:val="bottom"/>
          </w:tcPr>
          <w:p>
            <w:pPr>
              <w:spacing w:after="0"/>
              <w:rPr>
                <w:sz w:val="1"/>
                <w:szCs w:val="1"/>
                <w:color w:val="auto"/>
              </w:rPr>
            </w:pPr>
          </w:p>
        </w:tc>
      </w:tr>
      <w:tr>
        <w:trPr>
          <w:trHeight w:val="211"/>
        </w:trPr>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5,736,163</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5,736,163</w:t>
            </w:r>
          </w:p>
        </w:tc>
        <w:tc>
          <w:tcPr>
            <w:tcW w:w="0" w:type="dxa"/>
            <w:vAlign w:val="bottom"/>
          </w:tcPr>
          <w:p>
            <w:pPr>
              <w:spacing w:after="0"/>
              <w:rPr>
                <w:sz w:val="1"/>
                <w:szCs w:val="1"/>
                <w:color w:val="auto"/>
              </w:rPr>
            </w:pPr>
          </w:p>
        </w:tc>
      </w:tr>
      <w:tr>
        <w:trPr>
          <w:trHeight w:val="179"/>
        </w:trPr>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245,061,715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14,703,703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830,408,683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1,046,052,853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4,447,060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1,895,612,299</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-3241675</wp:posOffset>
            </wp:positionV>
            <wp:extent cx="7117715" cy="135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7715" cy="135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-2870200</wp:posOffset>
            </wp:positionV>
            <wp:extent cx="7117715" cy="135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7715" cy="135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-2397125</wp:posOffset>
            </wp:positionV>
            <wp:extent cx="7117715" cy="15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7715" cy="15176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-2110105</wp:posOffset>
            </wp:positionV>
            <wp:extent cx="7117715" cy="135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7715" cy="135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-1831340</wp:posOffset>
            </wp:positionV>
            <wp:extent cx="7117715" cy="168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7715" cy="16891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-1527810</wp:posOffset>
            </wp:positionV>
            <wp:extent cx="7117715" cy="236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7715" cy="23622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-1054735</wp:posOffset>
            </wp:positionV>
            <wp:extent cx="7117715"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7715" cy="135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-581660</wp:posOffset>
            </wp:positionV>
            <wp:extent cx="7117715" cy="151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7715" cy="15176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-294640</wp:posOffset>
            </wp:positionV>
            <wp:extent cx="7117715" cy="13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7715" cy="135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80"/>
            <w:col w:w="7840"/>
          </w:cols>
          <w:pgMar w:left="36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bookmarkStart w:id="7" w:name="page8"/>
    <w:bookmarkEnd w:id="7"/>
    <w:p>
      <w:pPr>
        <w:jc w:val="center"/>
        <w:ind w:right="80"/>
        <w:spacing w:after="0" w:line="389"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Nine Months Ended September 30, 2021 and 2020</w:t>
      </w: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r>
      <w:tr>
        <w:trPr>
          <w:trHeight w:val="205"/>
        </w:trPr>
        <w:tc>
          <w:tcPr>
            <w:tcW w:w="7300" w:type="dxa"/>
            <w:vAlign w:val="bottom"/>
          </w:tcPr>
          <w:p>
            <w:pPr>
              <w:ind w:left="20"/>
              <w:spacing w:after="0" w:line="205" w:lineRule="exact"/>
              <w:rPr>
                <w:sz w:val="20"/>
                <w:szCs w:val="20"/>
                <w:color w:val="auto"/>
              </w:rPr>
            </w:pPr>
            <w:r>
              <w:rPr>
                <w:rFonts w:ascii="Arial" w:cs="Arial" w:eastAsia="Arial" w:hAnsi="Arial"/>
                <w:sz w:val="18"/>
                <w:szCs w:val="18"/>
                <w:color w:val="auto"/>
              </w:rPr>
              <w:t>CASH FLOWS FROM OPERATING ACTIVITIES:</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276,617,836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204,224,370</w:t>
            </w:r>
          </w:p>
        </w:tc>
      </w:tr>
      <w:tr>
        <w:trPr>
          <w:trHeight w:val="225"/>
        </w:trPr>
        <w:tc>
          <w:tcPr>
            <w:tcW w:w="730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7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75,105,881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78,489,026</w:t>
            </w:r>
          </w:p>
        </w:tc>
      </w:tr>
      <w:tr>
        <w:trPr>
          <w:trHeight w:val="225"/>
        </w:trPr>
        <w:tc>
          <w:tcPr>
            <w:tcW w:w="7300" w:type="dxa"/>
            <w:vAlign w:val="bottom"/>
          </w:tcPr>
          <w:p>
            <w:pPr>
              <w:ind w:left="54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(459,528)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(281,542)</w:t>
            </w:r>
          </w:p>
        </w:tc>
      </w:tr>
      <w:tr>
        <w:trPr>
          <w:trHeight w:val="227"/>
        </w:trPr>
        <w:tc>
          <w:tcPr>
            <w:tcW w:w="7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disposal of assets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146,195</w:t>
            </w:r>
          </w:p>
        </w:tc>
      </w:tr>
      <w:tr>
        <w:trPr>
          <w:trHeight w:val="225"/>
        </w:trPr>
        <w:tc>
          <w:tcPr>
            <w:tcW w:w="7300" w:type="dxa"/>
            <w:vAlign w:val="bottom"/>
          </w:tcPr>
          <w:p>
            <w:pPr>
              <w:ind w:left="540"/>
              <w:spacing w:after="0"/>
              <w:rPr>
                <w:sz w:val="20"/>
                <w:szCs w:val="20"/>
                <w:color w:val="auto"/>
              </w:rPr>
            </w:pPr>
            <w:r>
              <w:rPr>
                <w:rFonts w:ascii="Arial" w:cs="Arial" w:eastAsia="Arial" w:hAnsi="Arial"/>
                <w:sz w:val="18"/>
                <w:szCs w:val="18"/>
                <w:color w:val="auto"/>
              </w:rPr>
              <w:t>(Gain) on sale of investments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(969,971)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(1,504,757)</w:t>
            </w:r>
          </w:p>
        </w:tc>
      </w:tr>
      <w:tr>
        <w:trPr>
          <w:trHeight w:val="227"/>
        </w:trPr>
        <w:tc>
          <w:tcPr>
            <w:tcW w:w="7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sale of investments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143,370</w:t>
            </w:r>
          </w:p>
        </w:tc>
      </w:tr>
      <w:tr>
        <w:trPr>
          <w:trHeight w:val="225"/>
        </w:trPr>
        <w:tc>
          <w:tcPr>
            <w:tcW w:w="7300" w:type="dxa"/>
            <w:vAlign w:val="bottom"/>
          </w:tcPr>
          <w:p>
            <w:pPr>
              <w:ind w:left="54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(20,269,706)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(9,559,993)</w:t>
            </w:r>
          </w:p>
        </w:tc>
      </w:tr>
      <w:tr>
        <w:trPr>
          <w:trHeight w:val="186"/>
        </w:trPr>
        <w:tc>
          <w:tcPr>
            <w:tcW w:w="7300" w:type="dxa"/>
            <w:vAlign w:val="bottom"/>
            <w:shd w:val="clear" w:color="auto" w:fill="CCEEFF"/>
          </w:tcPr>
          <w:p>
            <w:pPr>
              <w:ind w:left="540"/>
              <w:spacing w:after="0" w:line="18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4"/>
        </w:trPr>
        <w:tc>
          <w:tcPr>
            <w:tcW w:w="7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purchases and restricted stock</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20,114,921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23,266,906</w:t>
            </w:r>
          </w:p>
        </w:tc>
      </w:tr>
      <w:tr>
        <w:trPr>
          <w:trHeight w:val="225"/>
        </w:trPr>
        <w:tc>
          <w:tcPr>
            <w:tcW w:w="7300" w:type="dxa"/>
            <w:vAlign w:val="bottom"/>
          </w:tcPr>
          <w:p>
            <w:pPr>
              <w:ind w:left="540"/>
              <w:spacing w:after="0"/>
              <w:rPr>
                <w:sz w:val="20"/>
                <w:szCs w:val="20"/>
                <w:color w:val="auto"/>
              </w:rPr>
            </w:pPr>
            <w:r>
              <w:rPr>
                <w:rFonts w:ascii="Arial" w:cs="Arial" w:eastAsia="Arial" w:hAnsi="Arial"/>
                <w:sz w:val="18"/>
                <w:szCs w:val="18"/>
                <w:color w:val="auto"/>
              </w:rPr>
              <w:t>Change in operating assets and liabilities: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43,704,625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(32,832,997)</w:t>
            </w:r>
          </w:p>
        </w:tc>
      </w:tr>
      <w:tr>
        <w:trPr>
          <w:trHeight w:val="225"/>
        </w:trPr>
        <w:tc>
          <w:tcPr>
            <w:tcW w:w="730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(66,308,038)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15,659,539</w:t>
            </w:r>
          </w:p>
        </w:tc>
      </w:tr>
      <w:tr>
        <w:trPr>
          <w:trHeight w:val="227"/>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(45,504,501)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8,934,297</w:t>
            </w:r>
          </w:p>
        </w:tc>
      </w:tr>
      <w:tr>
        <w:trPr>
          <w:trHeight w:val="225"/>
        </w:trPr>
        <w:tc>
          <w:tcPr>
            <w:tcW w:w="730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15,748,219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(7,389,582)</w:t>
            </w:r>
          </w:p>
        </w:tc>
      </w:tr>
      <w:tr>
        <w:trPr>
          <w:trHeight w:val="226"/>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1,195,477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49,749,418</w:t>
            </w:r>
          </w:p>
        </w:tc>
      </w:tr>
      <w:tr>
        <w:trPr>
          <w:trHeight w:val="219"/>
        </w:trPr>
        <w:tc>
          <w:tcPr>
            <w:tcW w:w="7300" w:type="dxa"/>
            <w:vAlign w:val="bottom"/>
            <w:tcBorders>
              <w:bottom w:val="single" w:sz="8" w:color="CCEEFF"/>
            </w:tcBorders>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299,380,991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329,044,250</w:t>
            </w:r>
          </w:p>
        </w:tc>
      </w:tr>
      <w:tr>
        <w:trPr>
          <w:trHeight w:val="153"/>
        </w:trPr>
        <w:tc>
          <w:tcPr>
            <w:tcW w:w="7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CASH FLOWS (USED FOR) FROM INVESTING ACTIVITIES: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7300" w:type="dxa"/>
            <w:vAlign w:val="bottom"/>
          </w:tcPr>
          <w:p>
            <w:pPr>
              <w:ind w:left="320"/>
              <w:spacing w:after="0"/>
              <w:rPr>
                <w:sz w:val="20"/>
                <w:szCs w:val="20"/>
                <w:color w:val="auto"/>
              </w:rPr>
            </w:pPr>
            <w:r>
              <w:rPr>
                <w:rFonts w:ascii="Arial" w:cs="Arial" w:eastAsia="Arial" w:hAnsi="Arial"/>
                <w:sz w:val="18"/>
                <w:szCs w:val="18"/>
                <w:color w:val="auto"/>
              </w:rPr>
              <w:t>Sales proceeds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34,250,068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15,559,590</w:t>
            </w:r>
          </w:p>
        </w:tc>
      </w:tr>
      <w:tr>
        <w:trPr>
          <w:trHeight w:val="227"/>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Maturities and calls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26,110,000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117,172,368</w:t>
            </w:r>
          </w:p>
        </w:tc>
      </w:tr>
      <w:tr>
        <w:trPr>
          <w:trHeight w:val="225"/>
        </w:trPr>
        <w:tc>
          <w:tcPr>
            <w:tcW w:w="7300" w:type="dxa"/>
            <w:vAlign w:val="bottom"/>
          </w:tcPr>
          <w:p>
            <w:pPr>
              <w:ind w:left="320"/>
              <w:spacing w:after="0"/>
              <w:rPr>
                <w:sz w:val="20"/>
                <w:szCs w:val="20"/>
                <w:color w:val="auto"/>
              </w:rPr>
            </w:pPr>
            <w:r>
              <w:rPr>
                <w:rFonts w:ascii="Arial" w:cs="Arial" w:eastAsia="Arial" w:hAnsi="Arial"/>
                <w:sz w:val="18"/>
                <w:szCs w:val="18"/>
                <w:color w:val="auto"/>
              </w:rPr>
              <w:t>Purchases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(86,228,584)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(59,933,780)</w:t>
            </w:r>
          </w:p>
        </w:tc>
      </w:tr>
      <w:tr>
        <w:trPr>
          <w:trHeight w:val="22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and equipment additions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(44,357,786)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(37,048,073)</w:t>
            </w:r>
          </w:p>
        </w:tc>
      </w:tr>
      <w:tr>
        <w:trPr>
          <w:trHeight w:val="225"/>
        </w:trPr>
        <w:tc>
          <w:tcPr>
            <w:tcW w:w="7300" w:type="dxa"/>
            <w:vAlign w:val="bottom"/>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2,550,805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331,465</w:t>
            </w:r>
          </w:p>
        </w:tc>
      </w:tr>
      <w:tr>
        <w:trPr>
          <w:trHeight w:val="22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businesses, net of cash acquired</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(12,023,440)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(8,043,217)</w:t>
            </w:r>
          </w:p>
        </w:tc>
      </w:tr>
      <w:tr>
        <w:trPr>
          <w:trHeight w:val="225"/>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in other assets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(2,763,847)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(3,326,783)</w:t>
            </w:r>
          </w:p>
        </w:tc>
      </w:tr>
      <w:tr>
        <w:trPr>
          <w:trHeight w:val="219"/>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provided by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(82,462,784)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24,711,570</w:t>
            </w:r>
          </w:p>
        </w:tc>
      </w:tr>
      <w:tr>
        <w:trPr>
          <w:trHeight w:val="140"/>
        </w:trPr>
        <w:tc>
          <w:tcPr>
            <w:tcW w:w="7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2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7300" w:type="dxa"/>
            <w:vAlign w:val="bottom"/>
          </w:tcPr>
          <w:p>
            <w:pPr>
              <w:ind w:left="220"/>
              <w:spacing w:after="0"/>
              <w:rPr>
                <w:sz w:val="20"/>
                <w:szCs w:val="20"/>
                <w:color w:val="auto"/>
              </w:rPr>
            </w:pPr>
            <w:r>
              <w:rPr>
                <w:rFonts w:ascii="Arial" w:cs="Arial" w:eastAsia="Arial" w:hAnsi="Arial"/>
                <w:sz w:val="18"/>
                <w:szCs w:val="18"/>
                <w:color w:val="auto"/>
              </w:rPr>
              <w:t>Proceeds from borrowings on Credit Agreement</w:t>
            </w:r>
          </w:p>
        </w:tc>
        <w:tc>
          <w:tcPr>
            <w:tcW w:w="4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75,000,000</w:t>
            </w:r>
          </w:p>
        </w:tc>
      </w:tr>
      <w:tr>
        <w:trPr>
          <w:trHeight w:val="22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borrowings on Credit Agreement</w:t>
            </w:r>
          </w:p>
        </w:tc>
        <w:tc>
          <w:tcPr>
            <w:tcW w:w="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r>
      <w:tr>
        <w:trPr>
          <w:trHeight w:val="225"/>
        </w:trPr>
        <w:tc>
          <w:tcPr>
            <w:tcW w:w="7300" w:type="dxa"/>
            <w:vAlign w:val="bottom"/>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20,773,874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23,677,181</w:t>
            </w:r>
          </w:p>
        </w:tc>
      </w:tr>
      <w:tr>
        <w:trPr>
          <w:trHeight w:val="22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paid</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(86,902,257)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(87,774,635)</w:t>
            </w:r>
          </w:p>
        </w:tc>
      </w:tr>
      <w:tr>
        <w:trPr>
          <w:trHeight w:val="225"/>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Repurchases of common stock</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(304,195,755)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(210,480,446)</w:t>
            </w:r>
          </w:p>
        </w:tc>
      </w:tr>
      <w:tr>
        <w:trPr>
          <w:trHeight w:val="219"/>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(370,324,138)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(249,577,900)</w:t>
            </w:r>
          </w:p>
        </w:tc>
      </w:tr>
      <w:tr>
        <w:trPr>
          <w:trHeight w:val="127"/>
        </w:trPr>
        <w:tc>
          <w:tcPr>
            <w:tcW w:w="7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2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(153,405,931)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104,177,920</w:t>
            </w:r>
          </w:p>
        </w:tc>
      </w:tr>
      <w:tr>
        <w:trPr>
          <w:trHeight w:val="146"/>
        </w:trPr>
        <w:tc>
          <w:tcPr>
            <w:tcW w:w="7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219"/>
        </w:trPr>
        <w:tc>
          <w:tcPr>
            <w:tcW w:w="73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CASH AND CASH EQUIVALENTS,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423,371,036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296,321,622</w:t>
            </w:r>
          </w:p>
        </w:tc>
      </w:tr>
      <w:tr>
        <w:trPr>
          <w:trHeight w:val="127"/>
        </w:trPr>
        <w:tc>
          <w:tcPr>
            <w:tcW w:w="7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269,965,105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400,499,542</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59055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400" w:top="7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hanging="414"/>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45"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2020 annual report on Form 10-K. In the opinion of management, the accompanying unaudited condensed consolidated financial statements contain all adjustments, consisting of only a normal and recurring nature, necessary to present fairly the financial position of the Company as of September 30, 2021, and the results of operations and cash flows for the interim periods presented.</w:t>
      </w:r>
    </w:p>
    <w:p>
      <w:pPr>
        <w:spacing w:after="0" w:line="237" w:lineRule="exact"/>
        <w:rPr>
          <w:sz w:val="20"/>
          <w:szCs w:val="20"/>
          <w:color w:val="auto"/>
        </w:rPr>
      </w:pPr>
    </w:p>
    <w:p>
      <w:pPr>
        <w:ind w:left="420" w:hanging="414"/>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45" w:lineRule="exact"/>
        <w:rPr>
          <w:sz w:val="20"/>
          <w:szCs w:val="20"/>
          <w:color w:val="auto"/>
        </w:rPr>
      </w:pPr>
    </w:p>
    <w:p>
      <w:pPr>
        <w:jc w:val="both"/>
        <w:ind w:left="640"/>
        <w:spacing w:after="0" w:line="239" w:lineRule="auto"/>
        <w:rPr>
          <w:rFonts w:ascii="Arial" w:cs="Arial" w:eastAsia="Arial" w:hAnsi="Arial"/>
          <w:sz w:val="18"/>
          <w:szCs w:val="18"/>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$3.7 million as part of the acquisition of Vaporsens, Inc. ("Vaporsens") in the second quarter of 2020; and $0.9 million as a part of the acquisition of Argil, Inc. ("Argil") in the fourth quarter of 2020. During the third quarter of 2021, the Company made adjustments as part of the open measurement periods for Argil and for Air-Craftglass Production BV ("Air-Craftglass"), which was acquired in the third quarter of 2020. The Company reduced Goodwill recorded for Argil by $0.1 million and recorded an additional $0.2 million for Air-Craftglass during the third quarter of 2021. The Company also recorded $2.8 million in Goodwill as part of the acquisition of Guardian Optical Technologies ("Guardian") in the first quarter of 2021. See </w:t>
      </w:r>
      <w:hyperlink w:anchor="page21">
        <w:r>
          <w:rPr>
            <w:rFonts w:ascii="Arial" w:cs="Arial" w:eastAsia="Arial" w:hAnsi="Arial"/>
            <w:sz w:val="18"/>
            <w:szCs w:val="18"/>
            <w:u w:val="single" w:color="auto"/>
            <w:color w:val="0000FF"/>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on these transactions. The carrying value of Goodwill as of both September 30, 2021 and December 31, 2020 was $314.8 million and $311.9 million, respectively, as set forth in the table below:</w:t>
      </w:r>
    </w:p>
    <w:p>
      <w:pPr>
        <w:spacing w:after="0" w:line="269" w:lineRule="exact"/>
        <w:rPr>
          <w:sz w:val="20"/>
          <w:szCs w:val="20"/>
          <w:color w:val="auto"/>
        </w:rPr>
      </w:pPr>
    </w:p>
    <w:tbl>
      <w:tblPr>
        <w:tblLayout w:type="fixed"/>
        <w:tblInd w:w="840" w:type="dxa"/>
        <w:tblCellMar>
          <w:top w:w="0" w:type="dxa"/>
          <w:left w:w="0" w:type="dxa"/>
          <w:bottom w:w="0" w:type="dxa"/>
          <w:right w:w="0" w:type="dxa"/>
        </w:tblCellMar>
      </w:tblPr>
      <w:tr>
        <w:trPr>
          <w:trHeight w:val="186"/>
        </w:trPr>
        <w:tc>
          <w:tcPr>
            <w:tcW w:w="75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Carrying Amount</w:t>
            </w:r>
          </w:p>
        </w:tc>
      </w:tr>
      <w:tr>
        <w:trPr>
          <w:trHeight w:val="219"/>
        </w:trPr>
        <w:tc>
          <w:tcPr>
            <w:tcW w:w="758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311,922,787</w:t>
            </w:r>
          </w:p>
        </w:tc>
      </w:tr>
      <w:tr>
        <w:trPr>
          <w:trHeight w:val="227"/>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2,848,364</w:t>
            </w:r>
          </w:p>
        </w:tc>
      </w:tr>
      <w:tr>
        <w:trPr>
          <w:trHeight w:val="225"/>
        </w:trPr>
        <w:tc>
          <w:tcPr>
            <w:tcW w:w="7580" w:type="dxa"/>
            <w:vAlign w:val="bottom"/>
          </w:tcPr>
          <w:p>
            <w:pPr>
              <w:spacing w:after="0"/>
              <w:rPr>
                <w:sz w:val="20"/>
                <w:szCs w:val="20"/>
                <w:color w:val="auto"/>
              </w:rPr>
            </w:pPr>
            <w:r>
              <w:rPr>
                <w:rFonts w:ascii="Arial" w:cs="Arial" w:eastAsia="Arial" w:hAnsi="Arial"/>
                <w:sz w:val="18"/>
                <w:szCs w:val="18"/>
                <w:color w:val="auto"/>
              </w:rPr>
              <w:t>Divestitures</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(Net Measurement Period Adjustments)</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34,503</w:t>
            </w:r>
          </w:p>
        </w:tc>
      </w:tr>
      <w:tr>
        <w:trPr>
          <w:trHeight w:val="245"/>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314,805,654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COVID-19, the recent microchip shortage, supply chain constraints, and labor shortages were again considered in the most recently completed quarter, but did not indicate the need for interim impairment testing.</w:t>
      </w:r>
    </w:p>
    <w:p>
      <w:pPr>
        <w:spacing w:after="0" w:line="237" w:lineRule="exact"/>
        <w:rPr>
          <w:sz w:val="20"/>
          <w:szCs w:val="20"/>
          <w:color w:val="auto"/>
        </w:rPr>
      </w:pPr>
    </w:p>
    <w:p>
      <w:pPr>
        <w:jc w:val="both"/>
        <w:ind w:left="640"/>
        <w:spacing w:after="0" w:line="249" w:lineRule="auto"/>
        <w:rPr>
          <w:rFonts w:ascii="Arial" w:cs="Arial" w:eastAsia="Arial" w:hAnsi="Arial"/>
          <w:sz w:val="18"/>
          <w:szCs w:val="18"/>
          <w:color w:val="auto"/>
        </w:rPr>
      </w:pPr>
      <w:r>
        <w:rPr>
          <w:rFonts w:ascii="Arial" w:cs="Arial" w:eastAsia="Arial" w:hAnsi="Arial"/>
          <w:sz w:val="18"/>
          <w:szCs w:val="18"/>
          <w:color w:val="auto"/>
        </w:rPr>
        <w:t xml:space="preserve">The Company also acquired In-Process Research &amp; Development ("I P R &amp; D") as part of the acquisition of: Vaporsens; Air-Craftglass; and Argil, each of which has been previously disclosed. The Company also acquired I P R &amp; D as part of the acquisition of Guardian in the first quarter of 2021. See </w:t>
      </w:r>
      <w:hyperlink w:anchor="page21">
        <w:r>
          <w:rPr>
            <w:rFonts w:ascii="Arial" w:cs="Arial" w:eastAsia="Arial" w:hAnsi="Arial"/>
            <w:sz w:val="18"/>
            <w:szCs w:val="18"/>
            <w:u w:val="single" w:color="auto"/>
            <w:color w:val="0000FF"/>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on the Guardian transaction.</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Other Intangible Assets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54"/>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39,124,090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(25,858,926)</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13,265,164</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346,654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(62,740)</w:t>
            </w: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283,914</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67"/>
        </w:trPr>
        <w:tc>
          <w:tcPr>
            <w:tcW w:w="4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6"/>
        </w:trPr>
        <w:tc>
          <w:tcPr>
            <w:tcW w:w="4060" w:type="dxa"/>
            <w:vAlign w:val="bottom"/>
          </w:tcPr>
          <w:p>
            <w:pPr>
              <w:ind w:left="240"/>
              <w:spacing w:after="0" w:line="22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(120,000,000)</w:t>
            </w: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60,000,000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(34,400,000)</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5"/>
        </w:trPr>
        <w:tc>
          <w:tcPr>
            <w:tcW w:w="406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96,000,000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Vaporsens In-Process R&amp;D</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5"/>
        </w:trPr>
        <w:tc>
          <w:tcPr>
            <w:tcW w:w="4060" w:type="dxa"/>
            <w:vAlign w:val="bottom"/>
          </w:tcPr>
          <w:p>
            <w:pPr>
              <w:ind w:left="240"/>
              <w:spacing w:after="0"/>
              <w:rPr>
                <w:sz w:val="20"/>
                <w:szCs w:val="20"/>
                <w:color w:val="auto"/>
              </w:rPr>
            </w:pPr>
            <w:r>
              <w:rPr>
                <w:rFonts w:ascii="Arial" w:cs="Arial" w:eastAsia="Arial" w:hAnsi="Arial"/>
                <w:sz w:val="18"/>
                <w:szCs w:val="18"/>
                <w:color w:val="auto"/>
              </w:rPr>
              <w:t>Argil In-Process R&amp;D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6,278,132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Air-Craftglass In-Process R&amp;D</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8,485,407</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8,485,407</w:t>
            </w:r>
          </w:p>
        </w:tc>
        <w:tc>
          <w:tcPr>
            <w:tcW w:w="40" w:type="dxa"/>
            <w:vAlign w:val="bottom"/>
            <w:tcBorders>
              <w:bottom w:val="single" w:sz="8" w:color="auto"/>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4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397,563,539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(154,400,000)</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243,163,539</w:t>
            </w:r>
          </w:p>
        </w:tc>
        <w:tc>
          <w:tcPr>
            <w:tcW w:w="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437,034,283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(180,321,666)</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256,712,617</w:t>
            </w:r>
          </w:p>
        </w:tc>
        <w:tc>
          <w:tcPr>
            <w:tcW w:w="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4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6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Other Intangible Assets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4"/>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38,625,292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(24,528,853)</w:t>
            </w:r>
          </w:p>
        </w:tc>
        <w:tc>
          <w:tcPr>
            <w:tcW w:w="30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14,096,439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300,985</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(38,856)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262,129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67"/>
        </w:trPr>
        <w:tc>
          <w:tcPr>
            <w:tcW w:w="4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6"/>
        </w:trPr>
        <w:tc>
          <w:tcPr>
            <w:tcW w:w="4060" w:type="dxa"/>
            <w:vAlign w:val="bottom"/>
          </w:tcPr>
          <w:p>
            <w:pPr>
              <w:ind w:left="240"/>
              <w:spacing w:after="0" w:line="22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180,000,000</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(108,750,000)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71,250,000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(31,175,000)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5"/>
        </w:trPr>
        <w:tc>
          <w:tcPr>
            <w:tcW w:w="406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96,000,000</w:t>
            </w:r>
          </w:p>
        </w:tc>
        <w:tc>
          <w:tcPr>
            <w:tcW w:w="20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Vaporsens In-Process R&amp;D</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5"/>
        </w:trPr>
        <w:tc>
          <w:tcPr>
            <w:tcW w:w="4060" w:type="dxa"/>
            <w:vAlign w:val="bottom"/>
          </w:tcPr>
          <w:p>
            <w:pPr>
              <w:ind w:left="200"/>
              <w:spacing w:after="0"/>
              <w:rPr>
                <w:sz w:val="20"/>
                <w:szCs w:val="20"/>
                <w:color w:val="auto"/>
              </w:rPr>
            </w:pPr>
            <w:r>
              <w:rPr>
                <w:rFonts w:ascii="Arial" w:cs="Arial" w:eastAsia="Arial" w:hAnsi="Arial"/>
                <w:sz w:val="18"/>
                <w:szCs w:val="18"/>
                <w:color w:val="auto"/>
              </w:rPr>
              <w:t>Argil In-Process R&amp;D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6,278,132</w:t>
            </w:r>
          </w:p>
        </w:tc>
        <w:tc>
          <w:tcPr>
            <w:tcW w:w="20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Air-Craftglass In-Process R&amp;D</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1,394,995</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389,673,127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(139,925,000)</w:t>
            </w:r>
          </w:p>
        </w:tc>
        <w:tc>
          <w:tcPr>
            <w:tcW w:w="300" w:type="dxa"/>
            <w:vAlign w:val="bottom"/>
            <w:gridSpan w:val="2"/>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249,748,127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428,599,404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(164,492,709)</w:t>
            </w:r>
          </w:p>
        </w:tc>
        <w:tc>
          <w:tcPr>
            <w:tcW w:w="300" w:type="dxa"/>
            <w:vAlign w:val="bottom"/>
            <w:gridSpan w:val="2"/>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264,106,695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Amortization expense on patents and intangible assets was approximately $5.5 million and $16.7 million during the three and nine months ended September 30, 2021, respectively, compared to approximately $5.6 million and $16.8 million for the same periods ended September 30, 2020, respectively.</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Excluding the impact of any future acquisitions, the Company estimates amortization expense for each of the years ending December 31, 2021 and 2022 to be approximately $22 million annually, for the year ending December 31, 2023 to be approximately $20 million, for the year ending December 31, 2024 to be approximately $16 million, and for the year ending December 31, 2025 to be approximately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35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hanging="414"/>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34"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25"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40"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230" w:lineRule="exact"/>
        <w:rPr>
          <w:sz w:val="20"/>
          <w:szCs w:val="20"/>
          <w:color w:val="auto"/>
        </w:rPr>
      </w:pPr>
    </w:p>
    <w:p>
      <w:pPr>
        <w:jc w:val="both"/>
        <w:ind w:left="640"/>
        <w:spacing w:after="0" w:line="266" w:lineRule="auto"/>
        <w:rPr>
          <w:sz w:val="20"/>
          <w:szCs w:val="20"/>
          <w:color w:val="auto"/>
        </w:rPr>
      </w:pPr>
      <w:r>
        <w:rPr>
          <w:rFonts w:ascii="Arial" w:cs="Arial" w:eastAsia="Arial" w:hAnsi="Arial"/>
          <w:sz w:val="17"/>
          <w:szCs w:val="17"/>
          <w:color w:val="auto"/>
        </w:rPr>
        <w:t xml:space="preserve">The Company also periodically makes technology investments in certain non-consolidated third-parties. These equity investments are accounted for in accordance with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Equity investments that do not have readily determinable fair values, and where the Company has not identified any observable events that would cause adjustment of the valuation to date, are then held at cost. These technology investments totaled approximately $14.0 million and $4.0 million as of September 30, 2021 and December 31, 2020, respectively. These investments are classified within Long-Term Investments in the consolidated balance sheets.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Assets or liabilities that have recurring fair value measurements are shown below as of September 30, 2021 and December 31, 2020:</w:t>
      </w:r>
    </w:p>
    <w:p>
      <w:pPr>
        <w:spacing w:after="0" w:line="200" w:lineRule="exact"/>
        <w:rPr>
          <w:sz w:val="20"/>
          <w:szCs w:val="20"/>
          <w:color w:val="auto"/>
        </w:rPr>
      </w:pPr>
    </w:p>
    <w:p>
      <w:pPr>
        <w:spacing w:after="0" w:line="3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2021:</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0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tcPr>
          <w:p>
            <w:pPr>
              <w:jc w:val="center"/>
              <w:ind w:right="156"/>
              <w:spacing w:after="0" w:line="140"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Total as of</w:t>
            </w:r>
          </w:p>
        </w:tc>
        <w:tc>
          <w:tcPr>
            <w:tcW w:w="160" w:type="dxa"/>
            <w:vAlign w:val="bottom"/>
          </w:tcPr>
          <w:p>
            <w:pPr>
              <w:spacing w:after="0"/>
              <w:rPr>
                <w:sz w:val="11"/>
                <w:szCs w:val="11"/>
                <w:color w:val="auto"/>
              </w:rPr>
            </w:pPr>
          </w:p>
        </w:tc>
        <w:tc>
          <w:tcPr>
            <w:tcW w:w="15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1"/>
                <w:szCs w:val="11"/>
                <w:color w:val="auto"/>
              </w:rPr>
            </w:pPr>
          </w:p>
        </w:tc>
        <w:tc>
          <w:tcPr>
            <w:tcW w:w="16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6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Identical Assets</w:t>
            </w:r>
          </w:p>
        </w:tc>
        <w:tc>
          <w:tcPr>
            <w:tcW w:w="180" w:type="dxa"/>
            <w:vAlign w:val="bottom"/>
          </w:tcPr>
          <w:p>
            <w:pPr>
              <w:spacing w:after="0"/>
              <w:rPr>
                <w:sz w:val="15"/>
                <w:szCs w:val="15"/>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5"/>
                <w:szCs w:val="15"/>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Cash &amp;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269,965,105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269,965,105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1,765,030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2,032,660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2,032,660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1,334,868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1,803,989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1,803,989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27,739,691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27,739,691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2,073,655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32,845,042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32,845,042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39,596,133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39,596,133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88,368,667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88,368,667</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467,524,840</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275,607,779</w:t>
            </w:r>
          </w:p>
        </w:tc>
        <w:tc>
          <w:tcPr>
            <w:tcW w:w="1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191,917,061</w:t>
            </w:r>
          </w:p>
        </w:tc>
        <w:tc>
          <w:tcPr>
            <w:tcW w:w="1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6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tcPr>
          <w:p>
            <w:pPr>
              <w:jc w:val="center"/>
              <w:ind w:right="156"/>
              <w:spacing w:after="0" w:line="140"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 as of</w:t>
            </w:r>
          </w:p>
        </w:tc>
        <w:tc>
          <w:tcPr>
            <w:tcW w:w="160" w:type="dxa"/>
            <w:vAlign w:val="bottom"/>
          </w:tcPr>
          <w:p>
            <w:pPr>
              <w:spacing w:after="0"/>
              <w:rPr>
                <w:sz w:val="11"/>
                <w:szCs w:val="11"/>
                <w:color w:val="auto"/>
              </w:rPr>
            </w:pPr>
          </w:p>
        </w:tc>
        <w:tc>
          <w:tcPr>
            <w:tcW w:w="15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1"/>
                <w:szCs w:val="11"/>
                <w:color w:val="auto"/>
              </w:rPr>
            </w:pPr>
          </w:p>
        </w:tc>
        <w:tc>
          <w:tcPr>
            <w:tcW w:w="15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6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tcPr>
          <w:p>
            <w:pPr>
              <w:spacing w:after="0"/>
              <w:rPr>
                <w:sz w:val="15"/>
                <w:szCs w:val="15"/>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5"/>
                <w:szCs w:val="15"/>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Cash &amp;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423,371,036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423,371,036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1,516,693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7,155,600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7,155,600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6,678,450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10,284,765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10,284,765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1,528,861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37,924,537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3,645,520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3,645,520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9,024,035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107,407,831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107,407,831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608,537,328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430,062,110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178,475,218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market value of investment securities are shown as of September 30, 2021 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79"/>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353"/>
              <w:spacing w:after="0"/>
              <w:rPr>
                <w:sz w:val="20"/>
                <w:szCs w:val="20"/>
                <w:color w:val="auto"/>
              </w:rPr>
            </w:pPr>
            <w:r>
              <w:rPr>
                <w:rFonts w:ascii="Arial" w:cs="Arial" w:eastAsia="Arial" w:hAnsi="Arial"/>
                <w:sz w:val="14"/>
                <w:szCs w:val="14"/>
                <w:b w:val="1"/>
                <w:bCs w:val="1"/>
                <w:color w:val="auto"/>
              </w:rPr>
              <w:t>Market Value</w:t>
            </w:r>
          </w:p>
        </w:tc>
      </w:tr>
      <w:tr>
        <w:trPr>
          <w:trHeight w:val="206"/>
        </w:trPr>
        <w:tc>
          <w:tcPr>
            <w:tcW w:w="33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Short-Term Investments:</w:t>
            </w: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1,750,589</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14,441</w:t>
            </w:r>
          </w:p>
        </w:tc>
        <w:tc>
          <w:tcPr>
            <w:tcW w:w="12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1,765,030</w:t>
            </w:r>
          </w:p>
        </w:tc>
      </w:tr>
      <w:tr>
        <w:trPr>
          <w:trHeight w:val="227"/>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2,032,660</w:t>
            </w: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1,334,020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1,334,868</w:t>
            </w:r>
          </w:p>
        </w:tc>
      </w:tr>
      <w:tr>
        <w:trPr>
          <w:trHeight w:val="227"/>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1,803,989</w:t>
            </w: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7"/>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Backed Securities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28,223,803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27,739,691</w:t>
            </w: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2,002,082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2,073,655</w:t>
            </w:r>
          </w:p>
        </w:tc>
      </w:tr>
      <w:tr>
        <w:trPr>
          <w:trHeight w:val="227"/>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32,791,105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32,845,042</w:t>
            </w:r>
          </w:p>
        </w:tc>
      </w:tr>
      <w:tr>
        <w:trPr>
          <w:trHeight w:val="225"/>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39,704,080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(117,073)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39,596,133</w:t>
            </w:r>
          </w:p>
        </w:tc>
      </w:tr>
      <w:tr>
        <w:trPr>
          <w:trHeight w:val="226"/>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84,489,341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4,009,321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88,368,667</w:t>
            </w:r>
          </w:p>
        </w:tc>
      </w:tr>
      <w:tr>
        <w:trPr>
          <w:trHeight w:val="220"/>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194,091,465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4,526,340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(1,058,070)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197,559,735</w:t>
            </w: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356" w:right="339" w:bottom="1440" w:gutter="0" w:footer="0" w:header="0"/>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Unrealized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9"/>
        </w:trPr>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13"/>
              <w:spacing w:after="0"/>
              <w:rPr>
                <w:sz w:val="20"/>
                <w:szCs w:val="20"/>
                <w:color w:val="auto"/>
              </w:rPr>
            </w:pPr>
            <w:r>
              <w:rPr>
                <w:rFonts w:ascii="Arial" w:cs="Arial" w:eastAsia="Arial" w:hAnsi="Arial"/>
                <w:sz w:val="14"/>
                <w:szCs w:val="14"/>
                <w:b w:val="1"/>
                <w:bCs w:val="1"/>
                <w:color w:val="auto"/>
              </w:rPr>
              <w:t>Market Value</w:t>
            </w:r>
          </w:p>
        </w:tc>
      </w:tr>
      <w:tr>
        <w:trPr>
          <w:trHeight w:val="206"/>
        </w:trPr>
        <w:tc>
          <w:tcPr>
            <w:tcW w:w="37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Short-Term Investments:</w:t>
            </w: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25"/>
        </w:trPr>
        <w:tc>
          <w:tcPr>
            <w:tcW w:w="37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1,502,187</w:t>
            </w:r>
          </w:p>
        </w:tc>
        <w:tc>
          <w:tcPr>
            <w:tcW w:w="12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14,506</w:t>
            </w:r>
          </w:p>
        </w:tc>
        <w:tc>
          <w:tcPr>
            <w:tcW w:w="12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1,516,693</w:t>
            </w:r>
          </w:p>
        </w:tc>
      </w:tr>
      <w:tr>
        <w:trPr>
          <w:trHeight w:val="227"/>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7,084,638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7,155,600</w:t>
            </w:r>
          </w:p>
        </w:tc>
      </w:tr>
      <w:tr>
        <w:trPr>
          <w:trHeight w:val="225"/>
        </w:trPr>
        <w:tc>
          <w:tcPr>
            <w:tcW w:w="378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6,635,132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6,678,450</w:t>
            </w:r>
          </w:p>
        </w:tc>
      </w:tr>
      <w:tr>
        <w:trPr>
          <w:trHeight w:val="227"/>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10,160,376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10,284,765</w:t>
            </w:r>
          </w:p>
        </w:tc>
      </w:tr>
      <w:tr>
        <w:trPr>
          <w:trHeight w:val="225"/>
        </w:trPr>
        <w:tc>
          <w:tcPr>
            <w:tcW w:w="378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1,528,861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1,528,861</w:t>
            </w:r>
          </w:p>
        </w:tc>
      </w:tr>
      <w:tr>
        <w:trPr>
          <w:trHeight w:val="227"/>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378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37,681,113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800,802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37,924,537</w:t>
            </w:r>
          </w:p>
        </w:tc>
      </w:tr>
      <w:tr>
        <w:trPr>
          <w:trHeight w:val="227"/>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3,503,898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3,645,520</w:t>
            </w:r>
          </w:p>
        </w:tc>
      </w:tr>
      <w:tr>
        <w:trPr>
          <w:trHeight w:val="225"/>
        </w:trPr>
        <w:tc>
          <w:tcPr>
            <w:tcW w:w="37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8,595,020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9,024,035</w:t>
            </w:r>
          </w:p>
        </w:tc>
      </w:tr>
      <w:tr>
        <w:trPr>
          <w:trHeight w:val="226"/>
        </w:trPr>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100,776,325</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6,635,428</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107,407,831</w:t>
            </w:r>
          </w:p>
        </w:tc>
      </w:tr>
      <w:tr>
        <w:trPr>
          <w:trHeight w:val="220"/>
        </w:trPr>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177,467,550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8,260,042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185,166,292</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September 30, 2021,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60" w:type="dxa"/>
            <w:vAlign w:val="bottom"/>
          </w:tcPr>
          <w:p>
            <w:pPr>
              <w:spacing w:after="0"/>
              <w:rPr>
                <w:sz w:val="14"/>
                <w:szCs w:val="14"/>
                <w:color w:val="auto"/>
              </w:rPr>
            </w:pPr>
          </w:p>
        </w:tc>
        <w:tc>
          <w:tcPr>
            <w:tcW w:w="1800" w:type="dxa"/>
            <w:vAlign w:val="bottom"/>
          </w:tcPr>
          <w:p>
            <w:pPr>
              <w:jc w:val="right"/>
              <w:ind w:right="98"/>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Pr>
          <w:p>
            <w:pPr>
              <w:jc w:val="right"/>
              <w:ind w:right="47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9"/>
        </w:trPr>
        <w:tc>
          <w:tcPr>
            <w:tcW w:w="56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496,385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63,013,355</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7,864,526</w:t>
            </w: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360"/>
              <w:spacing w:after="0" w:line="206" w:lineRule="exact"/>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70,877,881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2020,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60" w:type="dxa"/>
            <w:vAlign w:val="bottom"/>
          </w:tcPr>
          <w:p>
            <w:pPr>
              <w:spacing w:after="0"/>
              <w:rPr>
                <w:sz w:val="14"/>
                <w:szCs w:val="14"/>
                <w:color w:val="auto"/>
              </w:rPr>
            </w:pPr>
          </w:p>
        </w:tc>
        <w:tc>
          <w:tcPr>
            <w:tcW w:w="1800" w:type="dxa"/>
            <w:vAlign w:val="bottom"/>
          </w:tcPr>
          <w:p>
            <w:pPr>
              <w:jc w:val="right"/>
              <w:ind w:right="98"/>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Pr>
          <w:p>
            <w:pPr>
              <w:jc w:val="right"/>
              <w:ind w:right="47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9"/>
        </w:trPr>
        <w:tc>
          <w:tcPr>
            <w:tcW w:w="56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Loss duration of less than one year</w:t>
            </w: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12,317,187</w:t>
            </w: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Loss duration of greater than one year</w:t>
            </w:r>
          </w:p>
        </w:tc>
        <w:tc>
          <w:tcPr>
            <w:tcW w:w="7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680" w:type="dxa"/>
            <w:vAlign w:val="bottom"/>
            <w:tcBorders>
              <w:top w:val="single" w:sz="8" w:color="CCEEFF"/>
              <w:bottom w:val="single" w:sz="8" w:color="CCEEFF"/>
            </w:tcBorders>
            <w:shd w:val="clear" w:color="auto" w:fill="CCEEFF"/>
          </w:tcPr>
          <w:p>
            <w:pPr>
              <w:ind w:left="360"/>
              <w:spacing w:after="0" w:line="206" w:lineRule="exact"/>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12,317,187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any amortized cost basis has been recovered.</w:t>
      </w:r>
    </w:p>
    <w:p>
      <w:pPr>
        <w:sectPr>
          <w:pgSz w:w="11900" w:h="16838" w:orient="portrait"/>
          <w:cols w:equalWidth="0" w:num="1">
            <w:col w:w="10600"/>
          </w:cols>
          <w:pgMar w:left="960" w:top="356"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Fixed income securities as of September 30, 2021 have contractual maturities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6239510" cy="143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9510" cy="14351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within one year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between one and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6239510" cy="143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9510"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Due over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27" w:hanging="1027"/>
        <w:spacing w:after="0"/>
        <w:tabs>
          <w:tab w:leader="none" w:pos="1027" w:val="left"/>
        </w:tabs>
        <w:numPr>
          <w:ilvl w:val="0"/>
          <w:numId w:val="7"/>
        </w:numPr>
        <w:rPr>
          <w:rFonts w:ascii="Arial" w:cs="Arial" w:eastAsia="Arial" w:hAnsi="Arial"/>
          <w:sz w:val="17"/>
          <w:szCs w:val="17"/>
          <w:color w:val="auto"/>
        </w:rPr>
      </w:pPr>
      <w:r>
        <w:rPr>
          <w:rFonts w:ascii="Arial" w:cs="Arial" w:eastAsia="Arial" w:hAnsi="Arial"/>
          <w:sz w:val="17"/>
          <w:szCs w:val="17"/>
          <w:color w:val="auto"/>
        </w:rPr>
        <w:t>5,132,558</w:t>
      </w:r>
    </w:p>
    <w:p>
      <w:pPr>
        <w:spacing w:after="0" w:line="30" w:lineRule="exact"/>
        <w:rPr>
          <w:rFonts w:ascii="Arial" w:cs="Arial" w:eastAsia="Arial" w:hAnsi="Arial"/>
          <w:sz w:val="17"/>
          <w:szCs w:val="17"/>
          <w:color w:val="auto"/>
        </w:rPr>
      </w:pPr>
    </w:p>
    <w:p>
      <w:pPr>
        <w:ind w:left="927"/>
        <w:spacing w:after="0"/>
        <w:rPr>
          <w:rFonts w:ascii="Arial" w:cs="Arial" w:eastAsia="Arial" w:hAnsi="Arial"/>
          <w:sz w:val="17"/>
          <w:szCs w:val="17"/>
          <w:color w:val="auto"/>
        </w:rPr>
      </w:pPr>
      <w:r>
        <w:rPr>
          <w:rFonts w:ascii="Arial" w:cs="Arial" w:eastAsia="Arial" w:hAnsi="Arial"/>
          <w:sz w:val="17"/>
          <w:szCs w:val="17"/>
          <w:color w:val="auto"/>
        </w:rPr>
        <w:t>61,209,692</w:t>
      </w:r>
    </w:p>
    <w:p>
      <w:pPr>
        <w:spacing w:after="0" w:line="31"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129,413,495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wp:posOffset>
            </wp:positionV>
            <wp:extent cx="121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12" w:lineRule="exact"/>
        <w:rPr>
          <w:sz w:val="20"/>
          <w:szCs w:val="20"/>
          <w:color w:val="auto"/>
        </w:rPr>
      </w:pPr>
    </w:p>
    <w:p>
      <w:pPr>
        <w:ind w:left="827" w:hanging="827"/>
        <w:spacing w:after="0"/>
        <w:tabs>
          <w:tab w:leader="none" w:pos="827" w:val="left"/>
        </w:tabs>
        <w:numPr>
          <w:ilvl w:val="0"/>
          <w:numId w:val="8"/>
        </w:numPr>
        <w:rPr>
          <w:rFonts w:ascii="Arial" w:cs="Arial" w:eastAsia="Arial" w:hAnsi="Arial"/>
          <w:sz w:val="17"/>
          <w:szCs w:val="17"/>
          <w:color w:val="auto"/>
        </w:rPr>
      </w:pPr>
      <w:r>
        <w:rPr>
          <w:rFonts w:ascii="Arial" w:cs="Arial" w:eastAsia="Arial" w:hAnsi="Arial"/>
          <w:sz w:val="17"/>
          <w:szCs w:val="17"/>
          <w:color w:val="auto"/>
        </w:rPr>
        <w:t>195,755,745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1216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160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36830</wp:posOffset>
            </wp:positionV>
            <wp:extent cx="12160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13" w:space="720"/>
            <w:col w:w="2667"/>
          </w:cols>
          <w:pgMar w:left="960" w:top="3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4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356" w:right="339" w:bottom="1440" w:gutter="0" w:footer="0" w:header="0"/>
          <w:type w:val="continuous"/>
        </w:sectPr>
      </w:pPr>
    </w:p>
    <w:bookmarkStart w:id="13" w:name="page14"/>
    <w:bookmarkEnd w:id="13"/>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4)</w:t>
        <w:tab/>
        <w:t>Inventories</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52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2020</w:t>
            </w:r>
          </w:p>
        </w:tc>
      </w:tr>
      <w:tr>
        <w:trPr>
          <w:trHeight w:val="219"/>
        </w:trPr>
        <w:tc>
          <w:tcPr>
            <w:tcW w:w="61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209,029,089</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151,688,455</w:t>
            </w: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33,882,944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32,791,675</w:t>
            </w:r>
          </w:p>
        </w:tc>
      </w:tr>
      <w:tr>
        <w:trPr>
          <w:trHeight w:val="227"/>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49,687,848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41,811,713</w:t>
            </w:r>
          </w:p>
        </w:tc>
      </w:tr>
      <w:tr>
        <w:trPr>
          <w:trHeight w:val="219"/>
        </w:trPr>
        <w:tc>
          <w:tcPr>
            <w:tcW w:w="6180" w:type="dxa"/>
            <w:vAlign w:val="bottom"/>
          </w:tcPr>
          <w:p>
            <w:pPr>
              <w:ind w:left="20"/>
              <w:spacing w:after="0" w:line="205" w:lineRule="exact"/>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292,599,881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226,291,843</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420" w:hanging="414"/>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45" w:lineRule="exact"/>
        <w:rPr>
          <w:sz w:val="20"/>
          <w:szCs w:val="20"/>
          <w:color w:val="auto"/>
        </w:rPr>
      </w:pPr>
    </w:p>
    <w:p>
      <w:pPr>
        <w:jc w:val="both"/>
        <w:ind w:left="640"/>
        <w:spacing w:after="0" w:line="265" w:lineRule="auto"/>
        <w:rPr>
          <w:sz w:val="20"/>
          <w:szCs w:val="20"/>
          <w:color w:val="auto"/>
        </w:rPr>
      </w:pPr>
      <w:r>
        <w:rPr>
          <w:rFonts w:ascii="Arial" w:cs="Arial" w:eastAsia="Arial" w:hAnsi="Arial"/>
          <w:sz w:val="17"/>
          <w:szCs w:val="17"/>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w:t>
      </w:r>
    </w:p>
    <w:p>
      <w:pPr>
        <w:spacing w:after="0" w:line="6"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420" w:type="dxa"/>
            <w:vAlign w:val="bottom"/>
          </w:tcPr>
          <w:p>
            <w:pPr>
              <w:spacing w:after="0"/>
              <w:rPr>
                <w:sz w:val="20"/>
                <w:szCs w:val="20"/>
                <w:color w:val="auto"/>
              </w:rPr>
            </w:pPr>
            <w:r>
              <w:rPr>
                <w:rFonts w:ascii="Arial" w:cs="Arial" w:eastAsia="Arial" w:hAnsi="Arial"/>
                <w:sz w:val="18"/>
                <w:szCs w:val="18"/>
                <w:color w:val="auto"/>
                <w:w w:val="97"/>
              </w:rPr>
              <w:t>three</w:t>
            </w:r>
          </w:p>
        </w:tc>
        <w:tc>
          <w:tcPr>
            <w:tcW w:w="980" w:type="dxa"/>
            <w:vAlign w:val="bottom"/>
          </w:tcPr>
          <w:p>
            <w:pPr>
              <w:ind w:left="460"/>
              <w:spacing w:after="0"/>
              <w:rPr>
                <w:sz w:val="20"/>
                <w:szCs w:val="20"/>
                <w:color w:val="auto"/>
              </w:rPr>
            </w:pPr>
            <w:r>
              <w:rPr>
                <w:rFonts w:ascii="Arial" w:cs="Arial" w:eastAsia="Arial" w:hAnsi="Arial"/>
                <w:sz w:val="18"/>
                <w:szCs w:val="18"/>
                <w:color w:val="auto"/>
              </w:rPr>
              <w:t>and</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nine</w:t>
            </w:r>
          </w:p>
        </w:tc>
        <w:tc>
          <w:tcPr>
            <w:tcW w:w="1140" w:type="dxa"/>
            <w:vAlign w:val="bottom"/>
          </w:tcPr>
          <w:p>
            <w:pPr>
              <w:ind w:left="180"/>
              <w:spacing w:after="0"/>
              <w:rPr>
                <w:sz w:val="20"/>
                <w:szCs w:val="20"/>
                <w:color w:val="auto"/>
              </w:rPr>
            </w:pPr>
            <w:r>
              <w:rPr>
                <w:rFonts w:ascii="Arial" w:cs="Arial" w:eastAsia="Arial" w:hAnsi="Arial"/>
                <w:sz w:val="18"/>
                <w:szCs w:val="18"/>
                <w:color w:val="auto"/>
              </w:rPr>
              <w:t>months</w:t>
            </w:r>
          </w:p>
        </w:tc>
        <w:tc>
          <w:tcPr>
            <w:tcW w:w="1040" w:type="dxa"/>
            <w:vAlign w:val="bottom"/>
          </w:tcPr>
          <w:p>
            <w:pPr>
              <w:ind w:left="80"/>
              <w:spacing w:after="0"/>
              <w:rPr>
                <w:sz w:val="20"/>
                <w:szCs w:val="20"/>
                <w:color w:val="auto"/>
              </w:rPr>
            </w:pPr>
            <w:r>
              <w:rPr>
                <w:rFonts w:ascii="Arial" w:cs="Arial" w:eastAsia="Arial" w:hAnsi="Arial"/>
                <w:sz w:val="18"/>
                <w:szCs w:val="18"/>
                <w:color w:val="auto"/>
              </w:rPr>
              <w:t>ended</w:t>
            </w:r>
          </w:p>
        </w:tc>
        <w:tc>
          <w:tcPr>
            <w:tcW w:w="1340" w:type="dxa"/>
            <w:vAlign w:val="bottom"/>
            <w:gridSpan w:val="2"/>
          </w:tcPr>
          <w:p>
            <w:pPr>
              <w:spacing w:after="0"/>
              <w:rPr>
                <w:sz w:val="20"/>
                <w:szCs w:val="20"/>
                <w:color w:val="auto"/>
              </w:rPr>
            </w:pPr>
            <w:r>
              <w:rPr>
                <w:rFonts w:ascii="Arial" w:cs="Arial" w:eastAsia="Arial" w:hAnsi="Arial"/>
                <w:sz w:val="18"/>
                <w:szCs w:val="18"/>
                <w:color w:val="auto"/>
              </w:rPr>
              <w:t>September</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30,</w:t>
            </w:r>
          </w:p>
        </w:tc>
        <w:tc>
          <w:tcPr>
            <w:tcW w:w="1120" w:type="dxa"/>
            <w:vAlign w:val="bottom"/>
          </w:tcPr>
          <w:p>
            <w:pPr>
              <w:jc w:val="right"/>
              <w:ind w:right="353"/>
              <w:spacing w:after="0"/>
              <w:rPr>
                <w:sz w:val="20"/>
                <w:szCs w:val="20"/>
                <w:color w:val="auto"/>
              </w:rPr>
            </w:pPr>
            <w:r>
              <w:rPr>
                <w:rFonts w:ascii="Arial" w:cs="Arial" w:eastAsia="Arial" w:hAnsi="Arial"/>
                <w:sz w:val="18"/>
                <w:szCs w:val="18"/>
                <w:color w:val="auto"/>
              </w:rPr>
              <w:t>2021</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and</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September</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90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14"/>
        </w:trPr>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5"/>
          </w:tcPr>
          <w:p>
            <w:pPr>
              <w:jc w:val="right"/>
              <w:ind w:right="113"/>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5"/>
          </w:tcPr>
          <w:p>
            <w:pPr>
              <w:jc w:val="right"/>
              <w:ind w:right="255"/>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13"/>
        </w:trPr>
        <w:tc>
          <w:tcPr>
            <w:tcW w:w="22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5"/>
        </w:trPr>
        <w:tc>
          <w:tcPr>
            <w:tcW w:w="140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76,660,548</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117,092,602</w:t>
            </w: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276,617,836</w:t>
            </w:r>
          </w:p>
        </w:tc>
        <w:tc>
          <w:tcPr>
            <w:tcW w:w="1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204,224,370</w:t>
            </w:r>
          </w:p>
        </w:tc>
      </w:tr>
      <w:tr>
        <w:trPr>
          <w:trHeight w:val="186"/>
        </w:trPr>
        <w:tc>
          <w:tcPr>
            <w:tcW w:w="420" w:type="dxa"/>
            <w:vAlign w:val="bottom"/>
            <w:shd w:val="clear" w:color="auto" w:fill="CCEEFF"/>
          </w:tcPr>
          <w:p>
            <w:pPr>
              <w:spacing w:after="0"/>
              <w:rPr>
                <w:sz w:val="16"/>
                <w:szCs w:val="16"/>
                <w:color w:val="auto"/>
              </w:rPr>
            </w:pPr>
          </w:p>
        </w:tc>
        <w:tc>
          <w:tcPr>
            <w:tcW w:w="4020" w:type="dxa"/>
            <w:vAlign w:val="bottom"/>
            <w:gridSpan w:val="4"/>
            <w:shd w:val="clear" w:color="auto" w:fill="CCEEFF"/>
          </w:tcPr>
          <w:p>
            <w:pPr>
              <w:ind w:left="20"/>
              <w:spacing w:after="0" w:line="186" w:lineRule="exact"/>
              <w:rPr>
                <w:sz w:val="20"/>
                <w:szCs w:val="20"/>
                <w:color w:val="auto"/>
              </w:rPr>
            </w:pPr>
            <w:r>
              <w:rPr>
                <w:rFonts w:ascii="Arial" w:cs="Arial" w:eastAsia="Arial" w:hAnsi="Arial"/>
                <w:sz w:val="18"/>
                <w:szCs w:val="18"/>
                <w:color w:val="auto"/>
              </w:rPr>
              <w:t>Less: Dividends and undistributed earnings</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4"/>
        </w:trPr>
        <w:tc>
          <w:tcPr>
            <w:tcW w:w="42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jc w:val="center"/>
              <w:ind w:right="131"/>
              <w:spacing w:after="0"/>
              <w:rPr>
                <w:sz w:val="20"/>
                <w:szCs w:val="20"/>
                <w:color w:val="auto"/>
              </w:rPr>
            </w:pPr>
            <w:r>
              <w:rPr>
                <w:rFonts w:ascii="Arial" w:cs="Arial" w:eastAsia="Arial" w:hAnsi="Arial"/>
                <w:sz w:val="18"/>
                <w:szCs w:val="18"/>
                <w:color w:val="auto"/>
                <w:w w:val="98"/>
              </w:rPr>
              <w:t>allocated to participating securities</w:t>
            </w:r>
          </w:p>
        </w:tc>
        <w:tc>
          <w:tcPr>
            <w:tcW w:w="1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1,240,581</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1,697,281</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4,240,503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2,906,048</w:t>
            </w:r>
          </w:p>
        </w:tc>
      </w:tr>
      <w:tr>
        <w:trPr>
          <w:trHeight w:val="219"/>
        </w:trPr>
        <w:tc>
          <w:tcPr>
            <w:tcW w:w="4440" w:type="dxa"/>
            <w:vAlign w:val="bottom"/>
            <w:gridSpan w:val="5"/>
          </w:tcPr>
          <w:p>
            <w:pPr>
              <w:ind w:left="240"/>
              <w:spacing w:after="0" w:line="205" w:lineRule="exact"/>
              <w:rPr>
                <w:sz w:val="20"/>
                <w:szCs w:val="20"/>
                <w:color w:val="auto"/>
              </w:rPr>
            </w:pPr>
            <w:r>
              <w:rPr>
                <w:rFonts w:ascii="Arial" w:cs="Arial" w:eastAsia="Arial" w:hAnsi="Arial"/>
                <w:sz w:val="18"/>
                <w:szCs w:val="18"/>
                <w:color w:val="auto"/>
              </w:rPr>
              <w:t>Net Income available to common shareholders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75,419,967</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115,395,321</w:t>
            </w: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272,377,333</w:t>
            </w:r>
          </w:p>
        </w:tc>
        <w:tc>
          <w:tcPr>
            <w:tcW w:w="1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201,318,322</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3"/>
        </w:trPr>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5"/>
        </w:trPr>
        <w:tc>
          <w:tcPr>
            <w:tcW w:w="4440" w:type="dxa"/>
            <w:vAlign w:val="bottom"/>
            <w:gridSpan w:val="5"/>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234,005,573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241,898,117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236,628,999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243,240,699</w:t>
            </w:r>
          </w:p>
        </w:tc>
      </w:tr>
      <w:tr>
        <w:trPr>
          <w:trHeight w:val="227"/>
        </w:trPr>
        <w:tc>
          <w:tcPr>
            <w:tcW w:w="34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66"/>
        </w:trPr>
        <w:tc>
          <w:tcPr>
            <w:tcW w:w="2260" w:type="dxa"/>
            <w:vAlign w:val="bottom"/>
            <w:gridSpan w:val="3"/>
          </w:tcPr>
          <w:p>
            <w:pPr>
              <w:spacing w:after="0"/>
              <w:rPr>
                <w:sz w:val="23"/>
                <w:szCs w:val="23"/>
                <w:color w:val="auto"/>
              </w:rPr>
            </w:pPr>
          </w:p>
        </w:tc>
        <w:tc>
          <w:tcPr>
            <w:tcW w:w="1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13"/>
        </w:trPr>
        <w:tc>
          <w:tcPr>
            <w:tcW w:w="22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5"/>
        </w:trPr>
        <w:tc>
          <w:tcPr>
            <w:tcW w:w="4440" w:type="dxa"/>
            <w:vAlign w:val="bottom"/>
            <w:gridSpan w:val="5"/>
          </w:tcPr>
          <w:p>
            <w:pPr>
              <w:ind w:left="240"/>
              <w:spacing w:after="0"/>
              <w:rPr>
                <w:sz w:val="20"/>
                <w:szCs w:val="20"/>
                <w:color w:val="auto"/>
              </w:rPr>
            </w:pPr>
            <w:r>
              <w:rPr>
                <w:rFonts w:ascii="Arial" w:cs="Arial" w:eastAsia="Arial" w:hAnsi="Arial"/>
                <w:sz w:val="18"/>
                <w:szCs w:val="18"/>
                <w:color w:val="auto"/>
              </w:rPr>
              <w:t>Allocation of Net Income used in basic computation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75,419,967</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115,395,321</w:t>
            </w: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272,377,333</w:t>
            </w:r>
          </w:p>
        </w:tc>
        <w:tc>
          <w:tcPr>
            <w:tcW w:w="1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201,318,322</w:t>
            </w:r>
          </w:p>
        </w:tc>
      </w:tr>
      <w:tr>
        <w:trPr>
          <w:trHeight w:val="227"/>
        </w:trPr>
        <w:tc>
          <w:tcPr>
            <w:tcW w:w="3400" w:type="dxa"/>
            <w:vAlign w:val="bottom"/>
            <w:gridSpan w:val="4"/>
            <w:shd w:val="clear" w:color="auto" w:fill="CCEEFF"/>
          </w:tcPr>
          <w:p>
            <w:pPr>
              <w:jc w:val="center"/>
              <w:ind w:left="153"/>
              <w:spacing w:after="0"/>
              <w:rPr>
                <w:sz w:val="20"/>
                <w:szCs w:val="20"/>
                <w:color w:val="auto"/>
              </w:rPr>
            </w:pPr>
            <w:r>
              <w:rPr>
                <w:rFonts w:ascii="Arial" w:cs="Arial" w:eastAsia="Arial" w:hAnsi="Arial"/>
                <w:sz w:val="18"/>
                <w:szCs w:val="18"/>
                <w:color w:val="auto"/>
                <w:w w:val="98"/>
              </w:rPr>
              <w:t>Reallocation of undistributed earnings</w:t>
            </w:r>
          </w:p>
        </w:tc>
        <w:tc>
          <w:tcPr>
            <w:tcW w:w="10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r>
      <w:tr>
        <w:trPr>
          <w:trHeight w:val="165"/>
        </w:trPr>
        <w:tc>
          <w:tcPr>
            <w:tcW w:w="4440" w:type="dxa"/>
            <w:vAlign w:val="bottom"/>
            <w:gridSpan w:val="5"/>
          </w:tcPr>
          <w:p>
            <w:pPr>
              <w:ind w:left="240"/>
              <w:spacing w:after="0" w:line="165" w:lineRule="exact"/>
              <w:rPr>
                <w:sz w:val="20"/>
                <w:szCs w:val="20"/>
                <w:color w:val="auto"/>
              </w:rPr>
            </w:pPr>
            <w:r>
              <w:rPr>
                <w:rFonts w:ascii="Arial" w:cs="Arial" w:eastAsia="Arial" w:hAnsi="Arial"/>
                <w:sz w:val="18"/>
                <w:szCs w:val="18"/>
                <w:color w:val="auto"/>
              </w:rPr>
              <w:t>Net Income available to common shareholders -</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3"/>
        </w:trPr>
        <w:tc>
          <w:tcPr>
            <w:tcW w:w="140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75,422,910</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115,400,063</w:t>
            </w: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272,390,622</w:t>
            </w:r>
          </w:p>
        </w:tc>
        <w:tc>
          <w:tcPr>
            <w:tcW w:w="14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201,325,053</w:t>
            </w:r>
          </w:p>
        </w:tc>
      </w:tr>
      <w:tr>
        <w:trPr>
          <w:trHeight w:val="267"/>
        </w:trPr>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bl>
    <w:p>
      <w:pPr>
        <w:spacing w:after="0" w:line="12" w:lineRule="exact"/>
        <w:rPr>
          <w:sz w:val="20"/>
          <w:szCs w:val="20"/>
          <w:color w:val="auto"/>
        </w:rPr>
      </w:pPr>
    </w:p>
    <w:p>
      <w:pPr>
        <w:sectPr>
          <w:pgSz w:w="11900" w:h="16889" w:orient="portrait"/>
          <w:cols w:equalWidth="0" w:num="1">
            <w:col w:w="11240"/>
          </w:cols>
          <w:pgMar w:left="320" w:top="356" w:right="339" w:bottom="0" w:gutter="0" w:footer="0" w:header="0"/>
        </w:sectPr>
      </w:pPr>
    </w:p>
    <w:p>
      <w:pPr>
        <w:ind w:left="880"/>
        <w:spacing w:after="0"/>
        <w:rPr>
          <w:sz w:val="20"/>
          <w:szCs w:val="20"/>
          <w:color w:val="auto"/>
        </w:rPr>
      </w:pPr>
      <w:r>
        <w:rPr>
          <w:rFonts w:ascii="Arial" w:cs="Arial" w:eastAsia="Arial" w:hAnsi="Arial"/>
          <w:sz w:val="18"/>
          <w:szCs w:val="18"/>
          <w:color w:val="auto"/>
        </w:rPr>
        <w:t>Number of shares used in basic computation</w:t>
      </w:r>
    </w:p>
    <w:p>
      <w:pPr>
        <w:spacing w:after="0" w:line="19" w:lineRule="exact"/>
        <w:rPr>
          <w:sz w:val="20"/>
          <w:szCs w:val="20"/>
          <w:color w:val="auto"/>
        </w:rPr>
      </w:pPr>
    </w:p>
    <w:p>
      <w:pPr>
        <w:ind w:left="980"/>
        <w:spacing w:after="0" w:line="223" w:lineRule="auto"/>
        <w:rPr>
          <w:sz w:val="20"/>
          <w:szCs w:val="20"/>
          <w:color w:val="auto"/>
        </w:rPr>
      </w:pPr>
      <w:r>
        <w:rPr>
          <w:rFonts w:ascii="Arial" w:cs="Arial" w:eastAsia="Arial" w:hAnsi="Arial"/>
          <w:sz w:val="18"/>
          <w:szCs w:val="18"/>
          <w:color w:val="auto"/>
        </w:rPr>
        <w:t>Additional weighted average dilutive common stock equivalents</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Diluted weighted average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620" w:type="dxa"/>
            <w:vAlign w:val="bottom"/>
          </w:tcPr>
          <w:p>
            <w:pPr>
              <w:jc w:val="right"/>
              <w:ind w:right="191"/>
              <w:spacing w:after="0"/>
              <w:rPr>
                <w:sz w:val="20"/>
                <w:szCs w:val="20"/>
                <w:color w:val="auto"/>
              </w:rPr>
            </w:pPr>
            <w:r>
              <w:rPr>
                <w:rFonts w:ascii="Arial" w:cs="Arial" w:eastAsia="Arial" w:hAnsi="Arial"/>
                <w:sz w:val="18"/>
                <w:szCs w:val="18"/>
                <w:color w:val="auto"/>
              </w:rPr>
              <w:t>234,005,573</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241,898,117</w:t>
            </w:r>
          </w:p>
        </w:tc>
        <w:tc>
          <w:tcPr>
            <w:tcW w:w="1600" w:type="dxa"/>
            <w:vAlign w:val="bottom"/>
          </w:tcPr>
          <w:p>
            <w:pPr>
              <w:jc w:val="right"/>
              <w:ind w:right="211"/>
              <w:spacing w:after="0"/>
              <w:rPr>
                <w:sz w:val="20"/>
                <w:szCs w:val="20"/>
                <w:color w:val="auto"/>
              </w:rPr>
            </w:pPr>
            <w:r>
              <w:rPr>
                <w:rFonts w:ascii="Arial" w:cs="Arial" w:eastAsia="Arial" w:hAnsi="Arial"/>
                <w:sz w:val="18"/>
                <w:szCs w:val="18"/>
                <w:color w:val="auto"/>
              </w:rPr>
              <w:t>236,628,999</w:t>
            </w:r>
          </w:p>
        </w:tc>
        <w:tc>
          <w:tcPr>
            <w:tcW w:w="1360" w:type="dxa"/>
            <w:vAlign w:val="bottom"/>
          </w:tcPr>
          <w:p>
            <w:pPr>
              <w:jc w:val="right"/>
              <w:spacing w:after="0"/>
              <w:rPr>
                <w:sz w:val="20"/>
                <w:szCs w:val="20"/>
                <w:color w:val="auto"/>
              </w:rPr>
            </w:pPr>
            <w:r>
              <w:rPr>
                <w:rFonts w:ascii="Arial" w:cs="Arial" w:eastAsia="Arial" w:hAnsi="Arial"/>
                <w:sz w:val="18"/>
                <w:szCs w:val="18"/>
                <w:color w:val="auto"/>
              </w:rPr>
              <w:t>243,240,699</w:t>
            </w:r>
          </w:p>
        </w:tc>
      </w:tr>
      <w:tr>
        <w:trPr>
          <w:trHeight w:val="399"/>
        </w:trPr>
        <w:tc>
          <w:tcPr>
            <w:tcW w:w="16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897,636</w:t>
            </w:r>
          </w:p>
        </w:tc>
        <w:tc>
          <w:tcPr>
            <w:tcW w:w="15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918,950</w:t>
            </w:r>
          </w:p>
        </w:tc>
        <w:tc>
          <w:tcPr>
            <w:tcW w:w="16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1,108,216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1,026,916</w:t>
            </w:r>
          </w:p>
        </w:tc>
      </w:tr>
      <w:tr>
        <w:trPr>
          <w:trHeight w:val="219"/>
        </w:trPr>
        <w:tc>
          <w:tcPr>
            <w:tcW w:w="16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234,903,209</w:t>
            </w:r>
          </w:p>
        </w:tc>
        <w:tc>
          <w:tcPr>
            <w:tcW w:w="15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242,817,067</w:t>
            </w:r>
          </w:p>
        </w:tc>
        <w:tc>
          <w:tcPr>
            <w:tcW w:w="16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237,737,215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244,267,615</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-438150</wp:posOffset>
            </wp:positionV>
            <wp:extent cx="6729095" cy="253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29095" cy="253365"/>
                    </a:xfrm>
                    <a:prstGeom prst="rect">
                      <a:avLst/>
                    </a:prstGeom>
                    <a:noFill/>
                  </pic:spPr>
                </pic:pic>
              </a:graphicData>
            </a:graphic>
          </wp:anchor>
        </w:drawing>
      </w:r>
    </w:p>
    <w:p>
      <w:pPr>
        <w:spacing w:after="0" w:line="20" w:lineRule="exact"/>
        <w:rPr>
          <w:sz w:val="20"/>
          <w:szCs w:val="20"/>
          <w:color w:val="auto"/>
        </w:rPr>
      </w:pPr>
    </w:p>
    <w:p>
      <w:pPr>
        <w:sectPr>
          <w:pgSz w:w="11900" w:h="16889" w:orient="portrait"/>
          <w:cols w:equalWidth="0" w:num="2">
            <w:col w:w="5000" w:space="80"/>
            <w:col w:w="6160"/>
          </w:cols>
          <w:pgMar w:left="320" w:top="356" w:right="339" w:bottom="0" w:gutter="0" w:footer="0" w:header="0"/>
          <w:type w:val="continuous"/>
        </w:sectPr>
      </w:pPr>
    </w:p>
    <w:tbl>
      <w:tblPr>
        <w:tblLayout w:type="fixed"/>
        <w:tblInd w:w="640" w:type="dxa"/>
        <w:tblCellMar>
          <w:top w:w="0" w:type="dxa"/>
          <w:left w:w="0" w:type="dxa"/>
          <w:bottom w:w="0" w:type="dxa"/>
          <w:right w:w="0" w:type="dxa"/>
        </w:tblCellMar>
      </w:tblPr>
      <w:tr>
        <w:trPr>
          <w:trHeight w:val="219"/>
        </w:trPr>
        <w:tc>
          <w:tcPr>
            <w:tcW w:w="4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426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5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0.32</w:t>
            </w:r>
          </w:p>
        </w:tc>
        <w:tc>
          <w:tcPr>
            <w:tcW w:w="4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0.48</w:t>
            </w:r>
          </w:p>
        </w:tc>
        <w:tc>
          <w:tcPr>
            <w:tcW w:w="56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5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67"/>
        </w:trPr>
        <w:tc>
          <w:tcPr>
            <w:tcW w:w="4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185"/>
        </w:trPr>
        <w:tc>
          <w:tcPr>
            <w:tcW w:w="4260" w:type="dxa"/>
            <w:vAlign w:val="bottom"/>
          </w:tcPr>
          <w:p>
            <w:pPr>
              <w:ind w:left="20"/>
              <w:spacing w:after="0" w:line="185" w:lineRule="exact"/>
              <w:rPr>
                <w:sz w:val="20"/>
                <w:szCs w:val="20"/>
                <w:color w:val="auto"/>
              </w:rPr>
            </w:pPr>
            <w:r>
              <w:rPr>
                <w:rFonts w:ascii="Arial" w:cs="Arial" w:eastAsia="Arial" w:hAnsi="Arial"/>
                <w:sz w:val="18"/>
                <w:szCs w:val="18"/>
                <w:color w:val="auto"/>
              </w:rPr>
              <w:t>Shares related to stock plans not included in diluted</w:t>
            </w: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3"/>
        </w:trPr>
        <w:tc>
          <w:tcPr>
            <w:tcW w:w="4260" w:type="dxa"/>
            <w:vAlign w:val="bottom"/>
          </w:tcPr>
          <w:p>
            <w:pPr>
              <w:ind w:left="20"/>
              <w:spacing w:after="0" w:line="173" w:lineRule="exact"/>
              <w:rPr>
                <w:sz w:val="20"/>
                <w:szCs w:val="20"/>
                <w:color w:val="auto"/>
              </w:rPr>
            </w:pPr>
            <w:r>
              <w:rPr>
                <w:rFonts w:ascii="Arial" w:cs="Arial" w:eastAsia="Arial" w:hAnsi="Arial"/>
                <w:sz w:val="18"/>
                <w:szCs w:val="18"/>
                <w:color w:val="auto"/>
              </w:rPr>
              <w:t>average common shares outstanding because their</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8"/>
                <w:szCs w:val="18"/>
                <w:color w:val="auto"/>
              </w:rPr>
              <w:t>effect would be anti-dilutive</w:t>
            </w:r>
          </w:p>
        </w:tc>
        <w:tc>
          <w:tcPr>
            <w:tcW w:w="5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987,757</w:t>
            </w:r>
          </w:p>
        </w:tc>
        <w:tc>
          <w:tcPr>
            <w:tcW w:w="48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412,775</w:t>
            </w:r>
          </w:p>
        </w:tc>
        <w:tc>
          <w:tcPr>
            <w:tcW w:w="5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180,669</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412,775</w:t>
            </w:r>
          </w:p>
        </w:tc>
      </w:tr>
    </w:tbl>
    <w:p>
      <w:pPr>
        <w:spacing w:after="0" w:line="333" w:lineRule="exact"/>
        <w:rPr>
          <w:sz w:val="20"/>
          <w:szCs w:val="20"/>
          <w:color w:val="auto"/>
        </w:rPr>
      </w:pPr>
    </w:p>
    <w:p>
      <w:pPr>
        <w:ind w:left="420" w:hanging="414"/>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39"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As of September 30, 2021,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40"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44"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2020, for additional information related to the Prior Plans.</w:t>
      </w:r>
    </w:p>
    <w:p>
      <w:pPr>
        <w:spacing w:after="0" w:line="124"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The Company recognized total compensation expense for share-based payments of $7,492,763 for the three months ended September 30, 2021, and total compensation expense for share-based payments of</w:t>
      </w:r>
    </w:p>
    <w:p>
      <w:pPr>
        <w:sectPr>
          <w:pgSz w:w="11900" w:h="16889" w:orient="portrait"/>
          <w:cols w:equalWidth="0" w:num="1">
            <w:col w:w="11240"/>
          </w:cols>
          <w:pgMar w:left="320" w:top="356" w:right="339" w:bottom="0" w:gutter="0" w:footer="0" w:header="0"/>
          <w:type w:val="continuous"/>
        </w:sectPr>
      </w:pPr>
    </w:p>
    <w:bookmarkStart w:id="14" w:name="page15"/>
    <w:bookmarkEnd w:id="14"/>
    <w:p>
      <w:pPr>
        <w:ind w:left="99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20"/>
          </w:cols>
          <w:pgMar w:left="1440" w:top="697" w:right="339" w:bottom="1440" w:gutter="0" w:footer="0" w:header="0"/>
        </w:sectPr>
      </w:pPr>
    </w:p>
    <w:bookmarkStart w:id="15" w:name="page16"/>
    <w:bookmarkEnd w:id="15"/>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$20,114,921 for the nine months ended September 30, 2021. The Company recognized compensation expense for share-based payments for the three months ended September 30, 2020 of $6,904,725 and $22,865,087 for the nine months ended September 30, 2020, which included approximately $4,173,710 in severance expense that was recognized during the second quarter of 2020. A portion of the compensation cost for share based payment awards is capitalized as part of inventory.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Omnibus Incentive Plan</w:t>
      </w:r>
    </w:p>
    <w:p>
      <w:pPr>
        <w:spacing w:after="0" w:line="2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purpose of the 2019 Omnibus Incentive Plan is to attract and retain employees, officers, and directors of the Company and its subsidiaries and to motivate and provide such persons incentives and rewards for performance. Pursuant to the terms of the Plan, each type of award counts against the available shares based on a predetermined conversion rate (shown in the table below). As of September 30, 2021, 6,156,962 share awards have been granted under the Plan, resulting in 15,031,810 shares, of 45,000,000 total shares available, to be issued under the Plan. The shares issued are presented net of shares from canceled/expired options and shares.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920" w:type="dxa"/>
            <w:vAlign w:val="bottom"/>
          </w:tcPr>
          <w:p>
            <w:pPr>
              <w:spacing w:after="0"/>
              <w:rPr>
                <w:sz w:val="13"/>
                <w:szCs w:val="13"/>
                <w:color w:val="auto"/>
              </w:rPr>
            </w:pPr>
          </w:p>
        </w:tc>
        <w:tc>
          <w:tcPr>
            <w:tcW w:w="194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Shares Granted</w:t>
            </w:r>
          </w:p>
        </w:tc>
        <w:tc>
          <w:tcPr>
            <w:tcW w:w="120" w:type="dxa"/>
            <w:vAlign w:val="bottom"/>
          </w:tcPr>
          <w:p>
            <w:pPr>
              <w:spacing w:after="0"/>
              <w:rPr>
                <w:sz w:val="13"/>
                <w:szCs w:val="13"/>
                <w:color w:val="auto"/>
              </w:rPr>
            </w:pPr>
          </w:p>
        </w:tc>
        <w:tc>
          <w:tcPr>
            <w:tcW w:w="1940" w:type="dxa"/>
            <w:vAlign w:val="bottom"/>
            <w:tcBorders>
              <w:top w:val="single" w:sz="8" w:color="auto"/>
            </w:tcBorders>
            <w:vMerge w:val="restart"/>
          </w:tcPr>
          <w:p>
            <w:pPr>
              <w:jc w:val="right"/>
              <w:ind w:right="32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vMerge w:val="restart"/>
          </w:tcPr>
          <w:p>
            <w:pPr>
              <w:spacing w:after="0"/>
              <w:rPr>
                <w:sz w:val="13"/>
                <w:szCs w:val="13"/>
                <w:color w:val="auto"/>
              </w:rPr>
            </w:pPr>
          </w:p>
        </w:tc>
        <w:tc>
          <w:tcPr>
            <w:tcW w:w="1960" w:type="dxa"/>
            <w:vAlign w:val="bottom"/>
            <w:tcBorders>
              <w:top w:val="single" w:sz="8" w:color="auto"/>
            </w:tcBorders>
          </w:tcPr>
          <w:p>
            <w:pPr>
              <w:jc w:val="right"/>
              <w:ind w:right="78"/>
              <w:spacing w:after="0" w:line="159" w:lineRule="exact"/>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73"/>
        </w:trPr>
        <w:tc>
          <w:tcPr>
            <w:tcW w:w="392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9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3,256,685</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3,256,685</w:t>
            </w:r>
          </w:p>
        </w:tc>
        <w:tc>
          <w:tcPr>
            <w:tcW w:w="0" w:type="dxa"/>
            <w:vAlign w:val="bottom"/>
          </w:tcPr>
          <w:p>
            <w:pPr>
              <w:spacing w:after="0"/>
              <w:rPr>
                <w:sz w:val="1"/>
                <w:szCs w:val="1"/>
                <w:color w:val="auto"/>
              </w:rPr>
            </w:pPr>
          </w:p>
        </w:tc>
      </w:tr>
      <w:tr>
        <w:trPr>
          <w:trHeight w:val="22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 Performance Shares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2,900,277</w:t>
            </w:r>
          </w:p>
        </w:tc>
        <w:tc>
          <w:tcPr>
            <w:tcW w:w="2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11,775,125</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6,156,962</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15,031,810</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Options</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September 30, 2021, there was $9,556,647 of unearned compensation cost associated with stock options granted under the 2019 Omnibus Incentive Plan and the Employee Stock Option Plan, which is expected to be recognized over the remaining vesting periods.</w:t>
      </w:r>
    </w:p>
    <w:p>
      <w:pPr>
        <w:spacing w:after="0" w:line="14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334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18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 September 30,</w:t>
            </w:r>
          </w:p>
        </w:tc>
      </w:tr>
      <w:tr>
        <w:trPr>
          <w:trHeight w:val="179"/>
        </w:trPr>
        <w:tc>
          <w:tcPr>
            <w:tcW w:w="364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19"/>
        </w:trPr>
        <w:tc>
          <w:tcPr>
            <w:tcW w:w="364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r>
      <w:tr>
        <w:trPr>
          <w:trHeight w:val="226"/>
        </w:trPr>
        <w:tc>
          <w:tcPr>
            <w:tcW w:w="36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27.47 %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27.72 %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27.67 %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27.38 %</w:t>
            </w:r>
          </w:p>
        </w:tc>
      </w:tr>
      <w:tr>
        <w:trPr>
          <w:trHeight w:val="226"/>
        </w:trPr>
        <w:tc>
          <w:tcPr>
            <w:tcW w:w="36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0.31 %</w:t>
            </w:r>
          </w:p>
        </w:tc>
      </w:tr>
      <w:tr>
        <w:trPr>
          <w:trHeight w:val="226"/>
        </w:trPr>
        <w:tc>
          <w:tcPr>
            <w:tcW w:w="36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bl>
    <w:p>
      <w:pPr>
        <w:spacing w:after="0" w:line="83"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Company’s estimated cash dividend yield over the expected term of option grant.</w:t>
      </w:r>
    </w:p>
    <w:p>
      <w:pPr>
        <w:ind w:left="320" w:right="420" w:hanging="315"/>
        <w:spacing w:after="0" w:line="237" w:lineRule="auto"/>
        <w:tabs>
          <w:tab w:leader="none" w:pos="317" w:val="left"/>
        </w:tabs>
        <w:numPr>
          <w:ilvl w:val="0"/>
          <w:numId w:val="11"/>
        </w:numPr>
        <w:rPr>
          <w:rFonts w:ascii="Arial" w:cs="Arial" w:eastAsia="Arial" w:hAnsi="Arial"/>
          <w:sz w:val="9"/>
          <w:szCs w:val="9"/>
          <w:color w:val="auto"/>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9"/>
          <w:szCs w:val="9"/>
          <w:color w:val="auto"/>
        </w:rPr>
      </w:pPr>
    </w:p>
    <w:p>
      <w:pPr>
        <w:ind w:left="320" w:hanging="315"/>
        <w:spacing w:after="0" w:line="237" w:lineRule="auto"/>
        <w:tabs>
          <w:tab w:leader="none" w:pos="32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U.S. Treasury yield over the expected term of the option grant.</w:t>
      </w:r>
    </w:p>
    <w:p>
      <w:pPr>
        <w:ind w:left="320" w:right="20" w:hanging="315"/>
        <w:spacing w:after="0" w:line="251" w:lineRule="auto"/>
        <w:tabs>
          <w:tab w:leader="none" w:pos="317"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Shares</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September 30, 2021, the Company had unearned stock-based compensation of $48,175,427 associated with the restricted stock grants issued under the 2019 Omnibus Plan and the prior plan. The unearned stock-based compensation related to these grants is being amortized</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35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to compensation expense over the applicable restriction periods. Amortization expense from restricted stock in the three months ended September 30, 2021 was $5,215,981 and amortization expense from restricted stock grants in the nine months ended September 30, 2021 was $13,978,358. Amortization expense from restricted stock grants for the three months ended September 30, 2020 was $4,366,025 and amortization expense from restricted stock grants in the nine months ended September 30, 2020 was $16,271,774, which included $4,148,477 of severance related expense for the second quarter of 2020.</w:t>
      </w:r>
    </w:p>
    <w:p>
      <w:pPr>
        <w:spacing w:after="0" w:line="200" w:lineRule="exact"/>
        <w:rPr>
          <w:sz w:val="20"/>
          <w:szCs w:val="20"/>
          <w:color w:val="auto"/>
        </w:rPr>
      </w:pP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Performance Shares</w:t>
      </w:r>
    </w:p>
    <w:p>
      <w:pPr>
        <w:spacing w:after="0" w:line="245"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38"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As of September 30, 2021, the Company had unearned stock-based compensation of $7,967,733 associated with these performance share grants. The unearned stock-based compensation related to these grants is being amortized to compensation expense over the applicable performance periods. Amortization expense from performance share grants in the three and nine months ended September 30, 2021 was $581,830 and $1,387,584, respectively. Amortization expense from performance share grants in the three and nine months ended September 30, 2020 was $1,403,799 and $2,361,359, respectively.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Employee Stock Purchase Plan</w:t>
      </w:r>
    </w:p>
    <w:p>
      <w:pPr>
        <w:spacing w:after="0" w:line="267"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 xml:space="preserve">The Company has an employee stock purchase plan covering 2,000,000 shares of common stock.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15% discounted value is recognized as compensation expense. As of September 30, 2021, the Company has issued 1,463,744 shares under this plan.</w:t>
      </w:r>
    </w:p>
    <w:p>
      <w:pPr>
        <w:spacing w:after="0" w:line="200" w:lineRule="exact"/>
        <w:rPr>
          <w:sz w:val="20"/>
          <w:szCs w:val="20"/>
          <w:color w:val="auto"/>
        </w:rPr>
      </w:pPr>
    </w:p>
    <w:p>
      <w:pPr>
        <w:spacing w:after="0" w:line="274" w:lineRule="exact"/>
        <w:rPr>
          <w:sz w:val="20"/>
          <w:szCs w:val="20"/>
          <w:color w:val="auto"/>
        </w:rPr>
      </w:pPr>
    </w:p>
    <w:p>
      <w:pPr>
        <w:ind w:left="420" w:hanging="414"/>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45"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pacing w:after="0" w:line="233"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by component (all amounts shown are net of tax):</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56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5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06"/>
        </w:trPr>
        <w:tc>
          <w:tcPr>
            <w:tcW w:w="52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5"/>
        </w:trPr>
        <w:tc>
          <w:tcPr>
            <w:tcW w:w="52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879,832</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(2,940,052)</w:t>
            </w:r>
          </w:p>
        </w:tc>
        <w:tc>
          <w:tcPr>
            <w:tcW w:w="180" w:type="dxa"/>
            <w:vAlign w:val="bottom"/>
          </w:tcPr>
          <w:p>
            <w:pPr>
              <w:spacing w:after="0"/>
              <w:rPr>
                <w:sz w:val="19"/>
                <w:szCs w:val="19"/>
                <w:color w:val="auto"/>
              </w:rPr>
            </w:pPr>
          </w:p>
        </w:tc>
        <w:tc>
          <w:tcPr>
            <w:tcW w:w="240" w:type="dxa"/>
            <w:vAlign w:val="bottom"/>
          </w:tcPr>
          <w:p>
            <w:pPr>
              <w:jc w:val="right"/>
              <w:ind w:right="37"/>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769,045</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(2,384,589)</w:t>
            </w:r>
          </w:p>
        </w:tc>
      </w:tr>
      <w:tr>
        <w:trPr>
          <w:trHeight w:val="226"/>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(349,165)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1,823,667</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(238,378)</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13"/>
              <w:spacing w:after="0"/>
              <w:rPr>
                <w:sz w:val="20"/>
                <w:szCs w:val="20"/>
                <w:color w:val="auto"/>
              </w:rPr>
            </w:pPr>
            <w:r>
              <w:rPr>
                <w:rFonts w:ascii="Arial" w:cs="Arial" w:eastAsia="Arial" w:hAnsi="Arial"/>
                <w:sz w:val="18"/>
                <w:szCs w:val="18"/>
                <w:color w:val="auto"/>
                <w:w w:val="97"/>
              </w:rPr>
              <w:t>1,268,204</w:t>
            </w:r>
          </w:p>
        </w:tc>
      </w:tr>
      <w:tr>
        <w:trPr>
          <w:trHeight w:val="219"/>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(349,165)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1,823,667</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(238,378)</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7"/>
              </w:rPr>
              <w:t>1,268,204</w:t>
            </w:r>
          </w:p>
        </w:tc>
      </w:tr>
      <w:tr>
        <w:trPr>
          <w:trHeight w:val="21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530,667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(1,116,385)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530,667</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(1,116,385)</w:t>
            </w:r>
          </w:p>
        </w:tc>
      </w:tr>
      <w:tr>
        <w:trPr>
          <w:trHeight w:val="127"/>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 securities: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52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3,385,206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5,679,296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6,082,007</w:t>
            </w:r>
          </w:p>
        </w:tc>
        <w:tc>
          <w:tcPr>
            <w:tcW w:w="240" w:type="dxa"/>
            <w:vAlign w:val="bottom"/>
          </w:tcPr>
          <w:p>
            <w:pPr>
              <w:spacing w:after="0"/>
              <w:rPr>
                <w:sz w:val="19"/>
                <w:szCs w:val="19"/>
                <w:color w:val="auto"/>
              </w:rPr>
            </w:pPr>
          </w:p>
        </w:tc>
        <w:tc>
          <w:tcPr>
            <w:tcW w:w="1040" w:type="dxa"/>
            <w:vAlign w:val="bottom"/>
          </w:tcPr>
          <w:p>
            <w:pPr>
              <w:jc w:val="center"/>
              <w:ind w:left="13"/>
              <w:spacing w:after="0"/>
              <w:rPr>
                <w:sz w:val="20"/>
                <w:szCs w:val="20"/>
                <w:color w:val="auto"/>
              </w:rPr>
            </w:pPr>
            <w:r>
              <w:rPr>
                <w:rFonts w:ascii="Arial" w:cs="Arial" w:eastAsia="Arial" w:hAnsi="Arial"/>
                <w:sz w:val="18"/>
                <w:szCs w:val="18"/>
                <w:color w:val="auto"/>
                <w:w w:val="97"/>
              </w:rPr>
              <w:t>1,095,486</w:t>
            </w:r>
          </w:p>
        </w:tc>
      </w:tr>
      <w:tr>
        <w:trPr>
          <w:trHeight w:val="227"/>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208,503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(2,727,750)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7"/>
              </w:rPr>
              <w:t>5,543,455</w:t>
            </w:r>
          </w:p>
        </w:tc>
      </w:tr>
      <w:tr>
        <w:trPr>
          <w:trHeight w:val="185"/>
        </w:trPr>
        <w:tc>
          <w:tcPr>
            <w:tcW w:w="5220" w:type="dxa"/>
            <w:vAlign w:val="bottom"/>
          </w:tcPr>
          <w:p>
            <w:pPr>
              <w:ind w:left="240"/>
              <w:spacing w:after="0" w:line="185" w:lineRule="exact"/>
              <w:rPr>
                <w:sz w:val="20"/>
                <w:szCs w:val="20"/>
                <w:color w:val="auto"/>
              </w:rPr>
            </w:pPr>
            <w:r>
              <w:rPr>
                <w:rFonts w:ascii="Arial" w:cs="Arial" w:eastAsia="Arial" w:hAnsi="Arial"/>
                <w:sz w:val="18"/>
                <w:szCs w:val="18"/>
                <w:color w:val="auto"/>
              </w:rPr>
              <w:t>Amounts reclassified from accumulated other comprehensive</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3"/>
        </w:trPr>
        <w:tc>
          <w:tcPr>
            <w:tcW w:w="5220" w:type="dxa"/>
            <w:vAlign w:val="bottom"/>
          </w:tcPr>
          <w:p>
            <w:pPr>
              <w:ind w:left="240"/>
              <w:spacing w:after="0"/>
              <w:rPr>
                <w:sz w:val="20"/>
                <w:szCs w:val="20"/>
                <w:color w:val="auto"/>
              </w:rPr>
            </w:pPr>
            <w:r>
              <w:rPr>
                <w:rFonts w:ascii="Arial" w:cs="Arial" w:eastAsia="Arial" w:hAnsi="Arial"/>
                <w:sz w:val="18"/>
                <w:szCs w:val="18"/>
                <w:color w:val="auto"/>
              </w:rPr>
              <w:t>income</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(324,354)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(614,324)</w:t>
            </w:r>
          </w:p>
        </w:tc>
        <w:tc>
          <w:tcPr>
            <w:tcW w:w="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(1,075,496)</w:t>
            </w:r>
          </w:p>
        </w:tc>
      </w:tr>
      <w:tr>
        <w:trPr>
          <w:trHeight w:val="219"/>
        </w:trPr>
        <w:tc>
          <w:tcPr>
            <w:tcW w:w="52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(645,273)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(115,851)</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(3,342,074)</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center"/>
              <w:ind w:left="13"/>
              <w:spacing w:after="0"/>
              <w:rPr>
                <w:sz w:val="20"/>
                <w:szCs w:val="20"/>
                <w:color w:val="auto"/>
              </w:rPr>
            </w:pPr>
            <w:r>
              <w:rPr>
                <w:rFonts w:ascii="Arial" w:cs="Arial" w:eastAsia="Arial" w:hAnsi="Arial"/>
                <w:sz w:val="18"/>
                <w:szCs w:val="18"/>
                <w:color w:val="auto"/>
                <w:w w:val="97"/>
              </w:rPr>
              <w:t>4,467,959</w:t>
            </w:r>
          </w:p>
        </w:tc>
      </w:tr>
      <w:tr>
        <w:trPr>
          <w:trHeight w:val="219"/>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2,739,933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5,563,445</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2,739,933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7"/>
              </w:rPr>
              <w:t>5,563,445</w:t>
            </w:r>
          </w:p>
        </w:tc>
      </w:tr>
      <w:tr>
        <w:trPr>
          <w:trHeight w:val="87"/>
        </w:trPr>
        <w:tc>
          <w:tcPr>
            <w:tcW w:w="5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r>
      <w:tr>
        <w:trPr>
          <w:trHeight w:val="226"/>
        </w:trPr>
        <w:tc>
          <w:tcPr>
            <w:tcW w:w="5220" w:type="dxa"/>
            <w:vAlign w:val="bottom"/>
          </w:tcPr>
          <w:p>
            <w:pPr>
              <w:ind w:left="20"/>
              <w:spacing w:after="0"/>
              <w:rPr>
                <w:sz w:val="20"/>
                <w:szCs w:val="20"/>
                <w:color w:val="auto"/>
              </w:rPr>
            </w:pPr>
            <w:r>
              <w:rPr>
                <w:rFonts w:ascii="Arial" w:cs="Arial" w:eastAsia="Arial" w:hAnsi="Arial"/>
                <w:sz w:val="18"/>
                <w:szCs w:val="18"/>
                <w:color w:val="auto"/>
              </w:rPr>
              <w:t>Accumulated other comprehensive income,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3,270,600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4,447,060</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3,270,600</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7"/>
              </w:rPr>
              <w:t>4,447,060</w:t>
            </w: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640" w:right="100"/>
        <w:spacing w:after="0" w:line="252" w:lineRule="auto"/>
        <w:rPr>
          <w:sz w:val="20"/>
          <w:szCs w:val="20"/>
          <w:color w:val="auto"/>
        </w:rPr>
      </w:pPr>
      <w:r>
        <w:rPr>
          <w:rFonts w:ascii="Arial" w:cs="Arial" w:eastAsia="Arial" w:hAnsi="Arial"/>
          <w:sz w:val="18"/>
          <w:szCs w:val="18"/>
          <w:color w:val="auto"/>
        </w:rPr>
        <w:t>The following table presents details of reclassifications out of accumulated other comprehensive income for the three and nine months ended September 30, 2021 and 2020:</w:t>
      </w:r>
    </w:p>
    <w:tbl>
      <w:tblPr>
        <w:tblLayout w:type="fixed"/>
        <w:tblInd w:w="640" w:type="dxa"/>
        <w:tblCellMar>
          <w:top w:w="0" w:type="dxa"/>
          <w:left w:w="0" w:type="dxa"/>
          <w:bottom w:w="0" w:type="dxa"/>
          <w:right w:w="0" w:type="dxa"/>
        </w:tblCellMar>
      </w:tblPr>
      <w:tr>
        <w:trPr>
          <w:trHeight w:val="178"/>
        </w:trPr>
        <w:tc>
          <w:tcPr>
            <w:tcW w:w="364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Details about Accumulated Other</w:t>
            </w:r>
          </w:p>
        </w:tc>
        <w:tc>
          <w:tcPr>
            <w:tcW w:w="200" w:type="dxa"/>
            <w:vAlign w:val="bottom"/>
          </w:tcPr>
          <w:p>
            <w:pPr>
              <w:spacing w:after="0"/>
              <w:rPr>
                <w:sz w:val="15"/>
                <w:szCs w:val="15"/>
                <w:color w:val="auto"/>
              </w:rPr>
            </w:pPr>
          </w:p>
        </w:tc>
        <w:tc>
          <w:tcPr>
            <w:tcW w:w="4120" w:type="dxa"/>
            <w:vAlign w:val="bottom"/>
            <w:gridSpan w:val="10"/>
            <w:vMerge w:val="restart"/>
          </w:tcPr>
          <w:p>
            <w:pPr>
              <w:jc w:val="center"/>
              <w:ind w:right="102"/>
              <w:spacing w:after="0"/>
              <w:rPr>
                <w:sz w:val="20"/>
                <w:szCs w:val="20"/>
                <w:color w:val="auto"/>
              </w:rPr>
            </w:pPr>
            <w:r>
              <w:rPr>
                <w:rFonts w:ascii="Arial" w:cs="Arial" w:eastAsia="Arial" w:hAnsi="Arial"/>
                <w:sz w:val="16"/>
                <w:szCs w:val="16"/>
                <w:b w:val="1"/>
                <w:bCs w:val="1"/>
                <w:color w:val="auto"/>
                <w:w w:val="99"/>
              </w:rPr>
              <w:t>Amounts Reclassified from Other Comprehensive</w:t>
            </w:r>
          </w:p>
        </w:tc>
        <w:tc>
          <w:tcPr>
            <w:tcW w:w="100" w:type="dxa"/>
            <w:vAlign w:val="bottom"/>
          </w:tcPr>
          <w:p>
            <w:pPr>
              <w:spacing w:after="0"/>
              <w:rPr>
                <w:sz w:val="15"/>
                <w:szCs w:val="15"/>
                <w:color w:val="auto"/>
              </w:rPr>
            </w:pPr>
          </w:p>
        </w:tc>
        <w:tc>
          <w:tcPr>
            <w:tcW w:w="238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60"/>
        </w:trPr>
        <w:tc>
          <w:tcPr>
            <w:tcW w:w="36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120" w:type="dxa"/>
            <w:vAlign w:val="bottom"/>
            <w:gridSpan w:val="10"/>
            <w:vMerge w:val="continue"/>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Consolidated Statements of</w:t>
            </w:r>
          </w:p>
        </w:tc>
        <w:tc>
          <w:tcPr>
            <w:tcW w:w="0" w:type="dxa"/>
            <w:vAlign w:val="bottom"/>
          </w:tcPr>
          <w:p>
            <w:pPr>
              <w:spacing w:after="0"/>
              <w:rPr>
                <w:sz w:val="1"/>
                <w:szCs w:val="1"/>
                <w:color w:val="auto"/>
              </w:rPr>
            </w:pPr>
          </w:p>
        </w:tc>
      </w:tr>
      <w:tr>
        <w:trPr>
          <w:trHeight w:val="213"/>
        </w:trPr>
        <w:tc>
          <w:tcPr>
            <w:tcW w:w="3640" w:type="dxa"/>
            <w:vAlign w:val="bottom"/>
            <w:gridSpan w:val="2"/>
          </w:tcPr>
          <w:p>
            <w:pPr>
              <w:ind w:left="360"/>
              <w:spacing w:after="0"/>
              <w:rPr>
                <w:sz w:val="20"/>
                <w:szCs w:val="20"/>
                <w:color w:val="auto"/>
              </w:rPr>
            </w:pPr>
            <w:r>
              <w:rPr>
                <w:rFonts w:ascii="Arial" w:cs="Arial" w:eastAsia="Arial" w:hAnsi="Arial"/>
                <w:sz w:val="16"/>
                <w:szCs w:val="16"/>
                <w:b w:val="1"/>
                <w:bCs w:val="1"/>
                <w:color w:val="auto"/>
              </w:rPr>
              <w:t>Comprehensive Income Components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left="502"/>
              <w:spacing w:after="0"/>
              <w:rPr>
                <w:sz w:val="20"/>
                <w:szCs w:val="20"/>
                <w:color w:val="auto"/>
              </w:rPr>
            </w:pPr>
            <w:r>
              <w:rPr>
                <w:rFonts w:ascii="Arial" w:cs="Arial" w:eastAsia="Arial" w:hAnsi="Arial"/>
                <w:sz w:val="16"/>
                <w:szCs w:val="16"/>
                <w:b w:val="1"/>
                <w:bCs w:val="1"/>
                <w:color w:val="auto"/>
                <w:w w:val="99"/>
              </w:rPr>
              <w:t>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9"/>
              </w:rPr>
              <w:t>Income</w:t>
            </w:r>
          </w:p>
        </w:tc>
        <w:tc>
          <w:tcPr>
            <w:tcW w:w="0" w:type="dxa"/>
            <w:vAlign w:val="bottom"/>
          </w:tcPr>
          <w:p>
            <w:pPr>
              <w:spacing w:after="0"/>
              <w:rPr>
                <w:sz w:val="1"/>
                <w:szCs w:val="1"/>
                <w:color w:val="auto"/>
              </w:rPr>
            </w:pPr>
          </w:p>
        </w:tc>
      </w:tr>
      <w:tr>
        <w:trPr>
          <w:trHeight w:val="140"/>
        </w:trPr>
        <w:tc>
          <w:tcPr>
            <w:tcW w:w="3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ind w:left="140"/>
              <w:spacing w:after="0" w:line="140" w:lineRule="exact"/>
              <w:rPr>
                <w:sz w:val="20"/>
                <w:szCs w:val="20"/>
                <w:color w:val="auto"/>
              </w:rPr>
            </w:pPr>
            <w:r>
              <w:rPr>
                <w:rFonts w:ascii="Arial" w:cs="Arial" w:eastAsia="Arial" w:hAnsi="Arial"/>
                <w:sz w:val="14"/>
                <w:szCs w:val="14"/>
                <w:b w:val="1"/>
                <w:bCs w:val="1"/>
                <w:color w:val="auto"/>
              </w:rPr>
              <w:t>Three Months Ended</w:t>
            </w:r>
          </w:p>
        </w:tc>
        <w:tc>
          <w:tcPr>
            <w:tcW w:w="2160" w:type="dxa"/>
            <w:vAlign w:val="bottom"/>
            <w:tcBorders>
              <w:top w:val="single" w:sz="8" w:color="auto"/>
            </w:tcBorders>
            <w:gridSpan w:val="5"/>
            <w:vMerge w:val="restart"/>
          </w:tcPr>
          <w:p>
            <w:pPr>
              <w:ind w:left="40"/>
              <w:spacing w:after="0"/>
              <w:rPr>
                <w:sz w:val="20"/>
                <w:szCs w:val="20"/>
                <w:color w:val="auto"/>
              </w:rPr>
            </w:pPr>
            <w:r>
              <w:rPr>
                <w:rFonts w:ascii="Arial" w:cs="Arial" w:eastAsia="Arial" w:hAnsi="Arial"/>
                <w:sz w:val="14"/>
                <w:szCs w:val="14"/>
                <w:b w:val="1"/>
                <w:bCs w:val="1"/>
                <w:color w:val="auto"/>
              </w:rPr>
              <w:t>Nine Months Ended September</w:t>
            </w:r>
          </w:p>
        </w:tc>
        <w:tc>
          <w:tcPr>
            <w:tcW w:w="100" w:type="dxa"/>
            <w:vAlign w:val="bottom"/>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1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6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8"/>
                <w:szCs w:val="18"/>
                <w:color w:val="auto"/>
              </w:rPr>
              <w:t>Unrealized gains on available-for-sale debt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640" w:type="dxa"/>
            <w:vAlign w:val="bottom"/>
            <w:gridSpan w:val="2"/>
          </w:tcPr>
          <w:p>
            <w:pPr>
              <w:ind w:left="240"/>
              <w:spacing w:after="0" w:line="185" w:lineRule="exact"/>
              <w:rPr>
                <w:sz w:val="20"/>
                <w:szCs w:val="20"/>
                <w:color w:val="auto"/>
              </w:rPr>
            </w:pPr>
            <w:r>
              <w:rPr>
                <w:rFonts w:ascii="Arial" w:cs="Arial" w:eastAsia="Arial" w:hAnsi="Arial"/>
                <w:sz w:val="18"/>
                <w:szCs w:val="18"/>
                <w:color w:val="auto"/>
              </w:rPr>
              <w:t>Realized gain on sale</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of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120"/>
              <w:spacing w:after="0"/>
              <w:rPr>
                <w:sz w:val="20"/>
                <w:szCs w:val="20"/>
                <w:color w:val="auto"/>
              </w:rPr>
            </w:pPr>
            <w:r>
              <w:rPr>
                <w:rFonts w:ascii="Arial" w:cs="Arial" w:eastAsia="Arial" w:hAnsi="Arial"/>
                <w:sz w:val="16"/>
                <w:szCs w:val="16"/>
                <w:color w:val="auto"/>
              </w:rPr>
              <w:t>410,575</w:t>
            </w: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ind w:left="80"/>
              <w:spacing w:after="0"/>
              <w:rPr>
                <w:sz w:val="20"/>
                <w:szCs w:val="20"/>
                <w:color w:val="auto"/>
              </w:rPr>
            </w:pPr>
            <w:r>
              <w:rPr>
                <w:rFonts w:ascii="Arial" w:cs="Arial" w:eastAsia="Arial" w:hAnsi="Arial"/>
                <w:sz w:val="16"/>
                <w:szCs w:val="16"/>
                <w:color w:val="auto"/>
              </w:rPr>
              <w:t>777,625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1,361,387</w:t>
            </w:r>
          </w:p>
        </w:tc>
        <w:tc>
          <w:tcPr>
            <w:tcW w:w="10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0" w:type="dxa"/>
            <w:vAlign w:val="bottom"/>
          </w:tcPr>
          <w:p>
            <w:pPr>
              <w:spacing w:after="0"/>
              <w:rPr>
                <w:sz w:val="1"/>
                <w:szCs w:val="1"/>
                <w:color w:val="auto"/>
              </w:rPr>
            </w:pPr>
          </w:p>
        </w:tc>
      </w:tr>
      <w:tr>
        <w:trPr>
          <w:trHeight w:val="226"/>
        </w:trPr>
        <w:tc>
          <w:tcPr>
            <w:tcW w:w="3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(163,301)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(285,891)</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07"/>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120"/>
              <w:spacing w:after="0"/>
              <w:rPr>
                <w:sz w:val="20"/>
                <w:szCs w:val="20"/>
                <w:color w:val="auto"/>
              </w:rPr>
            </w:pPr>
            <w:r>
              <w:rPr>
                <w:rFonts w:ascii="Arial" w:cs="Arial" w:eastAsia="Arial" w:hAnsi="Arial"/>
                <w:sz w:val="16"/>
                <w:szCs w:val="16"/>
                <w:color w:val="auto"/>
              </w:rPr>
              <w:t>324,354</w:t>
            </w: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ind w:left="80"/>
              <w:spacing w:after="0"/>
              <w:rPr>
                <w:sz w:val="20"/>
                <w:szCs w:val="20"/>
                <w:color w:val="auto"/>
              </w:rPr>
            </w:pPr>
            <w:r>
              <w:rPr>
                <w:rFonts w:ascii="Arial" w:cs="Arial" w:eastAsia="Arial" w:hAnsi="Arial"/>
                <w:sz w:val="16"/>
                <w:szCs w:val="16"/>
                <w:color w:val="auto"/>
              </w:rPr>
              <w:t>614,324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1,075,496</w:t>
            </w:r>
          </w:p>
        </w:tc>
        <w:tc>
          <w:tcPr>
            <w:tcW w:w="100" w:type="dxa"/>
            <w:vAlign w:val="bottom"/>
          </w:tcPr>
          <w:p>
            <w:pPr>
              <w:spacing w:after="0"/>
              <w:rPr>
                <w:sz w:val="17"/>
                <w:szCs w:val="17"/>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420" w:hanging="414"/>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45"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On October 15, 2018, the Company entered into a Credit Agreement (“Credit Agreement”) with PNC as the administrative agent and sole lender.</w:t>
      </w:r>
    </w:p>
    <w:p>
      <w:pPr>
        <w:spacing w:after="0" w:line="230" w:lineRule="exact"/>
        <w:rPr>
          <w:sz w:val="20"/>
          <w:szCs w:val="20"/>
          <w:color w:val="auto"/>
        </w:rPr>
      </w:pPr>
    </w:p>
    <w:p>
      <w:pPr>
        <w:jc w:val="both"/>
        <w:ind w:left="640"/>
        <w:spacing w:after="0" w:line="264" w:lineRule="auto"/>
        <w:rPr>
          <w:sz w:val="20"/>
          <w:szCs w:val="20"/>
          <w:color w:val="auto"/>
        </w:rPr>
      </w:pPr>
      <w:r>
        <w:rPr>
          <w:rFonts w:ascii="Arial" w:cs="Arial" w:eastAsia="Arial" w:hAnsi="Arial"/>
          <w:sz w:val="17"/>
          <w:szCs w:val="17"/>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 As of September 30, 2021, there was no outstanding balance on the Revolver. The Revolver expires on October 15, 2023.</w:t>
      </w:r>
    </w:p>
    <w:p>
      <w:pPr>
        <w:spacing w:after="0" w:line="200" w:lineRule="exact"/>
        <w:rPr>
          <w:sz w:val="20"/>
          <w:szCs w:val="20"/>
          <w:color w:val="auto"/>
        </w:rPr>
      </w:pPr>
    </w:p>
    <w:p>
      <w:pPr>
        <w:spacing w:after="0" w:line="36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40"/>
        <w:spacing w:after="0" w:line="252"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2021, the Company is in compliance with its covenants under the Credit Agreement.</w:t>
      </w:r>
    </w:p>
    <w:p>
      <w:pPr>
        <w:spacing w:after="0" w:line="200" w:lineRule="exact"/>
        <w:rPr>
          <w:sz w:val="20"/>
          <w:szCs w:val="20"/>
          <w:color w:val="auto"/>
        </w:rPr>
      </w:pPr>
    </w:p>
    <w:p>
      <w:pPr>
        <w:spacing w:after="0" w:line="284" w:lineRule="exact"/>
        <w:rPr>
          <w:sz w:val="20"/>
          <w:szCs w:val="20"/>
          <w:color w:val="auto"/>
        </w:rPr>
      </w:pPr>
    </w:p>
    <w:p>
      <w:pPr>
        <w:ind w:left="420" w:hanging="414"/>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w:t>
      </w:r>
    </w:p>
    <w:p>
      <w:pPr>
        <w:spacing w:after="0" w:line="245"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The decrease in common stock during the nine months ended September 30, 2021, was primarily due to the repurchases of 9.0 million shares, partially offset by the issuance of 1.8 million shares of the Company’s common stock, net of cancellations, under the Company’s stock-based compensation plans. The total net decrease was 7.2 million shares.</w:t>
      </w:r>
    </w:p>
    <w:p>
      <w:pPr>
        <w:spacing w:after="0" w:line="233"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The Company recorded a cash dividend of $0.120 per share during the third quarter of 2021 as compared to a cash dividend of $0.120 per share during the third quarter of 2020. The third quarter 2021 dividend of $28.4 million was declared on August 4, 2021, and was paid on October 21, 2021.</w:t>
      </w:r>
    </w:p>
    <w:p>
      <w:pPr>
        <w:spacing w:after="0" w:line="200" w:lineRule="exact"/>
        <w:rPr>
          <w:sz w:val="20"/>
          <w:szCs w:val="20"/>
          <w:color w:val="auto"/>
        </w:rPr>
      </w:pPr>
    </w:p>
    <w:p>
      <w:pPr>
        <w:spacing w:after="0" w:line="273" w:lineRule="exact"/>
        <w:rPr>
          <w:sz w:val="20"/>
          <w:szCs w:val="20"/>
          <w:color w:val="auto"/>
        </w:rPr>
      </w:pPr>
    </w:p>
    <w:p>
      <w:pPr>
        <w:ind w:left="520" w:hanging="514"/>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2"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34" w:lineRule="exact"/>
        <w:rPr>
          <w:sz w:val="20"/>
          <w:szCs w:val="20"/>
          <w:color w:val="auto"/>
        </w:rPr>
      </w:pPr>
    </w:p>
    <w:p>
      <w:pPr>
        <w:ind w:left="840" w:hanging="515"/>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45" w:lineRule="exact"/>
        <w:rPr>
          <w:sz w:val="20"/>
          <w:szCs w:val="20"/>
          <w:color w:val="auto"/>
        </w:rPr>
      </w:pPr>
    </w:p>
    <w:p>
      <w:pPr>
        <w:jc w:val="both"/>
        <w:ind w:left="640"/>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and laminate products for the aerospace industry and fire protection products for the commercial construction industry. In 2020, the Company acquired Vaporsens, which specializes in nanofiber chemical sensing. These three non-automotive segments are combined into the "Other" segment as shown below. In first quarter of 2021, the Company acquired Guardian, which is combined in the Automotive Segment below. Further information in regards to the Guardian transaction is included in </w:t>
      </w:r>
      <w:hyperlink w:anchor="page21">
        <w:r>
          <w:rPr>
            <w:rFonts w:ascii="Arial" w:cs="Arial" w:eastAsia="Arial" w:hAnsi="Arial"/>
            <w:sz w:val="17"/>
            <w:szCs w:val="17"/>
            <w:u w:val="single" w:color="auto"/>
            <w:color w:val="0000FF"/>
          </w:rPr>
          <w:t>Note 15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financial statements.</w:t>
      </w:r>
    </w:p>
    <w:p>
      <w:pPr>
        <w:spacing w:after="0" w:line="1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16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3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06"/>
        </w:trPr>
        <w:tc>
          <w:tcPr>
            <w:tcW w:w="33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5"/>
        </w:trPr>
        <w:tc>
          <w:tcPr>
            <w:tcW w:w="334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391,338,185</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464,673,587</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1,287,578,273</w:t>
            </w:r>
          </w:p>
        </w:tc>
        <w:tc>
          <w:tcPr>
            <w:tcW w:w="3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1,126,597,020</w:t>
            </w:r>
          </w:p>
        </w:tc>
      </w:tr>
      <w:tr>
        <w:trPr>
          <w:trHeight w:val="226"/>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8,260,559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9,964,997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23,750,336</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31,728,846</w:t>
            </w:r>
          </w:p>
        </w:tc>
      </w:tr>
      <w:tr>
        <w:trPr>
          <w:trHeight w:val="220"/>
        </w:trPr>
        <w:tc>
          <w:tcPr>
            <w:tcW w:w="334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399,598,744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474,638,584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1,311,328,609</w:t>
            </w:r>
          </w:p>
        </w:tc>
        <w:tc>
          <w:tcPr>
            <w:tcW w:w="3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1,158,325,866</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3"/>
        </w:trPr>
        <w:tc>
          <w:tcPr>
            <w:tcW w:w="334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25"/>
        </w:trPr>
        <w:tc>
          <w:tcPr>
            <w:tcW w:w="334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89,121,170</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138,428,628</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325,579,533</w:t>
            </w:r>
          </w:p>
        </w:tc>
        <w:tc>
          <w:tcPr>
            <w:tcW w:w="3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233,149,936</w:t>
            </w:r>
          </w:p>
        </w:tc>
      </w:tr>
      <w:tr>
        <w:trPr>
          <w:trHeight w:val="226"/>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(3,756,270)</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3,991,864</w:t>
            </w:r>
          </w:p>
        </w:tc>
      </w:tr>
      <w:tr>
        <w:trPr>
          <w:trHeight w:val="220"/>
        </w:trPr>
        <w:tc>
          <w:tcPr>
            <w:tcW w:w="334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88,164,940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138,852,889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321,823,263</w:t>
            </w:r>
          </w:p>
        </w:tc>
        <w:tc>
          <w:tcPr>
            <w:tcW w:w="3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237,141,800</w:t>
            </w: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(12)</w:t>
        <w:tab/>
        <w:t>Income Taxes</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The effective tax rate was 15.4% in the nine months ended September 30, 2021, compared to an effective tax rate of 17.1% for the same period in 2020. Generally, effective tax rates for these periods differ from statutory federal income tax rates, due to provisions for state and local income taxes, permanent tax differences, and the foreign-derived intangible income tax deduction and research and development tax credits.</w:t>
      </w:r>
    </w:p>
    <w:p>
      <w:pPr>
        <w:spacing w:after="0" w:line="235" w:lineRule="exact"/>
        <w:rPr>
          <w:sz w:val="20"/>
          <w:szCs w:val="20"/>
          <w:color w:val="auto"/>
        </w:rPr>
      </w:pPr>
    </w:p>
    <w:p>
      <w:pPr>
        <w:ind w:left="520" w:hanging="514"/>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Company’s Automotive revenue and Other Products revenue disaggregated by geographical location for</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Automotive Products for the three and nine month periods ended September 30,2021 and September 30, 2020:</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8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8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2020</w:t>
            </w: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5"/>
        </w:trPr>
        <w:tc>
          <w:tcPr>
            <w:tcW w:w="3000" w:type="dxa"/>
            <w:vAlign w:val="bottom"/>
          </w:tcPr>
          <w:p>
            <w:pPr>
              <w:ind w:left="120"/>
              <w:spacing w:after="0"/>
              <w:rPr>
                <w:sz w:val="20"/>
                <w:szCs w:val="20"/>
                <w:color w:val="auto"/>
              </w:rPr>
            </w:pPr>
            <w:r>
              <w:rPr>
                <w:rFonts w:ascii="Arial" w:cs="Arial" w:eastAsia="Arial" w:hAnsi="Arial"/>
                <w:sz w:val="18"/>
                <w:szCs w:val="18"/>
                <w:color w:val="auto"/>
              </w:rPr>
              <w:t>U.S.</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128,570,314</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156,521,110</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410,852,689</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347,952,489</w:t>
            </w:r>
          </w:p>
        </w:tc>
      </w:tr>
      <w:tr>
        <w:trPr>
          <w:trHeight w:val="227"/>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55,162,289</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56,514,969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183,513,145</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153,166,702</w:t>
            </w:r>
          </w:p>
        </w:tc>
      </w:tr>
      <w:tr>
        <w:trPr>
          <w:trHeight w:val="225"/>
        </w:trPr>
        <w:tc>
          <w:tcPr>
            <w:tcW w:w="3000" w:type="dxa"/>
            <w:vAlign w:val="bottom"/>
          </w:tcPr>
          <w:p>
            <w:pPr>
              <w:ind w:left="120"/>
              <w:spacing w:after="0"/>
              <w:rPr>
                <w:sz w:val="20"/>
                <w:szCs w:val="20"/>
                <w:color w:val="auto"/>
              </w:rPr>
            </w:pPr>
            <w:r>
              <w:rPr>
                <w:rFonts w:ascii="Arial" w:cs="Arial" w:eastAsia="Arial" w:hAnsi="Arial"/>
                <w:sz w:val="18"/>
                <w:szCs w:val="18"/>
                <w:color w:val="auto"/>
              </w:rPr>
              <w:t>Japan</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53,750,242</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64,353,263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161,814,352</w:t>
            </w:r>
          </w:p>
        </w:tc>
        <w:tc>
          <w:tcPr>
            <w:tcW w:w="300" w:type="dxa"/>
            <w:vAlign w:val="bottom"/>
          </w:tcPr>
          <w:p>
            <w:pPr>
              <w:spacing w:after="0"/>
              <w:rPr>
                <w:sz w:val="19"/>
                <w:szCs w:val="19"/>
                <w:color w:val="auto"/>
              </w:rPr>
            </w:pPr>
          </w:p>
        </w:tc>
        <w:tc>
          <w:tcPr>
            <w:tcW w:w="1400" w:type="dxa"/>
            <w:vAlign w:val="bottom"/>
          </w:tcPr>
          <w:p>
            <w:pPr>
              <w:ind w:left="400"/>
              <w:spacing w:after="0"/>
              <w:rPr>
                <w:sz w:val="20"/>
                <w:szCs w:val="20"/>
                <w:color w:val="auto"/>
              </w:rPr>
            </w:pPr>
            <w:r>
              <w:rPr>
                <w:rFonts w:ascii="Arial" w:cs="Arial" w:eastAsia="Arial" w:hAnsi="Arial"/>
                <w:sz w:val="18"/>
                <w:szCs w:val="18"/>
                <w:color w:val="auto"/>
                <w:w w:val="97"/>
              </w:rPr>
              <w:t>152,824,143</w:t>
            </w:r>
          </w:p>
        </w:tc>
      </w:tr>
      <w:tr>
        <w:trPr>
          <w:trHeight w:val="227"/>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Mexico</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25,239,690</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33,342,171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85,574,821</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92,882,253</w:t>
            </w:r>
          </w:p>
        </w:tc>
      </w:tr>
      <w:tr>
        <w:trPr>
          <w:trHeight w:val="225"/>
        </w:trPr>
        <w:tc>
          <w:tcPr>
            <w:tcW w:w="3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128,615,650</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153,942,074</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445,823,266</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379,771,433</w:t>
            </w:r>
          </w:p>
        </w:tc>
      </w:tr>
      <w:tr>
        <w:trPr>
          <w:trHeight w:val="22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391,338,185</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464,673,587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1,287,578,273</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1,126,597,020</w:t>
            </w:r>
          </w:p>
        </w:tc>
      </w:tr>
      <w:tr>
        <w:trPr>
          <w:trHeight w:val="225"/>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8,260,559</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9,964,997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23,750,336</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31,728,846</w:t>
            </w:r>
          </w:p>
        </w:tc>
      </w:tr>
      <w:tr>
        <w:trPr>
          <w:trHeight w:val="24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399,598,744</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474,638,584</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1,311,328,609</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1,158,325,866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a pandemic; global supply chain constraints;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35" w:lineRule="exact"/>
        <w:rPr>
          <w:sz w:val="20"/>
          <w:szCs w:val="20"/>
          <w:color w:val="auto"/>
        </w:rPr>
      </w:pPr>
    </w:p>
    <w:p>
      <w:pPr>
        <w:ind w:left="640" w:right="540"/>
        <w:spacing w:after="0" w:line="252"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nine month periods ended September 30, 2021 and September 30, 2020:</w:t>
      </w:r>
    </w:p>
    <w:p>
      <w:pPr>
        <w:spacing w:after="0" w:line="18"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88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Nine Months Ended September 30,</w:t>
            </w:r>
          </w:p>
        </w:tc>
      </w:tr>
      <w:tr>
        <w:trPr>
          <w:trHeight w:val="22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382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360,415,449</w:t>
            </w:r>
          </w:p>
        </w:tc>
        <w:tc>
          <w:tcPr>
            <w:tcW w:w="3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427,426,159</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1,185,997,034</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1,039,112,012</w:t>
            </w:r>
          </w:p>
        </w:tc>
      </w:tr>
      <w:tr>
        <w:trPr>
          <w:trHeight w:val="226"/>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30,922,736</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37,247,428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101,581,239</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87,485,008</w:t>
            </w:r>
          </w:p>
        </w:tc>
      </w:tr>
      <w:tr>
        <w:trPr>
          <w:trHeight w:val="220"/>
        </w:trPr>
        <w:tc>
          <w:tcPr>
            <w:tcW w:w="382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391,338,185</w:t>
            </w:r>
          </w:p>
        </w:tc>
        <w:tc>
          <w:tcPr>
            <w:tcW w:w="3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464,673,587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1,287,578,273</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1,126,597,020</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3"/>
        </w:trPr>
        <w:tc>
          <w:tcPr>
            <w:tcW w:w="3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7"/>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5,886,227</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18,010,048</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17,384,594</w:t>
            </w:r>
          </w:p>
        </w:tc>
      </w:tr>
      <w:tr>
        <w:trPr>
          <w:trHeight w:val="225"/>
        </w:trPr>
        <w:tc>
          <w:tcPr>
            <w:tcW w:w="3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Aerospace Products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2,374,332</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3,586,694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5,740,288</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14,344,252</w:t>
            </w:r>
          </w:p>
        </w:tc>
      </w:tr>
      <w:tr>
        <w:trPr>
          <w:trHeight w:val="245"/>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8,260,559</w:t>
            </w:r>
          </w:p>
        </w:tc>
        <w:tc>
          <w:tcPr>
            <w:tcW w:w="3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9,964,997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23,750,336</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31,728,846</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50800</wp:posOffset>
            </wp:positionV>
            <wp:extent cx="6416675" cy="143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6675" cy="143510"/>
                    </a:xfrm>
                    <a:prstGeom prst="rect">
                      <a:avLst/>
                    </a:prstGeom>
                    <a:noFill/>
                  </pic:spPr>
                </pic:pic>
              </a:graphicData>
            </a:graphic>
          </wp:anchor>
        </w:drawing>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 w:hanging="514"/>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Leases</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The Company has operating leases for corporate offices, warehouses, vehicles, and other equipment, which are included within "Plant and Equipment - Net" section of the Condensed Consolidated Balance Sheets. The leases have remaining lease terms of 1 year to 5 years. The weighted average remaining lease term for operating leases as of September 30, 2021 was 2 years, with a weighted average discount rate of 1.1%.</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minimum lease payments for operating leases as of September 30, 2021 were as follows:</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-101600</wp:posOffset>
            </wp:positionV>
            <wp:extent cx="6661785" cy="126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1785" cy="12636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nine months ended September 30, 2021)</w:t>
            </w:r>
          </w:p>
        </w:tc>
        <w:tc>
          <w:tcPr>
            <w:tcW w:w="7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388,416</w:t>
            </w:r>
          </w:p>
        </w:tc>
        <w:tc>
          <w:tcPr>
            <w:tcW w:w="400" w:type="dxa"/>
            <w:vAlign w:val="bottom"/>
          </w:tcPr>
          <w:p>
            <w:pPr>
              <w:spacing w:after="0"/>
              <w:rPr>
                <w:sz w:val="19"/>
                <w:szCs w:val="19"/>
                <w:color w:val="auto"/>
              </w:rPr>
            </w:pPr>
          </w:p>
        </w:tc>
      </w:tr>
      <w:tr>
        <w:trPr>
          <w:trHeight w:val="225"/>
        </w:trPr>
        <w:tc>
          <w:tcPr>
            <w:tcW w:w="8000" w:type="dxa"/>
            <w:vAlign w:val="bottom"/>
            <w:gridSpan w:val="2"/>
          </w:tcPr>
          <w:p>
            <w:pPr>
              <w:ind w:left="260"/>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1,072,816</w:t>
            </w:r>
          </w:p>
        </w:tc>
        <w:tc>
          <w:tcPr>
            <w:tcW w:w="40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548,316</w:t>
            </w:r>
          </w:p>
        </w:tc>
        <w:tc>
          <w:tcPr>
            <w:tcW w:w="400" w:type="dxa"/>
            <w:vAlign w:val="bottom"/>
          </w:tcPr>
          <w:p>
            <w:pPr>
              <w:spacing w:after="0"/>
              <w:rPr>
                <w:sz w:val="19"/>
                <w:szCs w:val="19"/>
                <w:color w:val="auto"/>
              </w:rPr>
            </w:pPr>
          </w:p>
        </w:tc>
      </w:tr>
      <w:tr>
        <w:trPr>
          <w:trHeight w:val="225"/>
        </w:trPr>
        <w:tc>
          <w:tcPr>
            <w:tcW w:w="8000" w:type="dxa"/>
            <w:vAlign w:val="bottom"/>
            <w:gridSpan w:val="2"/>
          </w:tcPr>
          <w:p>
            <w:pPr>
              <w:ind w:left="26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48,833</w:t>
            </w:r>
          </w:p>
        </w:tc>
        <w:tc>
          <w:tcPr>
            <w:tcW w:w="40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400" w:type="dxa"/>
            <w:vAlign w:val="bottom"/>
          </w:tcPr>
          <w:p>
            <w:pPr>
              <w:spacing w:after="0"/>
              <w:rPr>
                <w:sz w:val="19"/>
                <w:szCs w:val="19"/>
                <w:color w:val="auto"/>
              </w:rPr>
            </w:pPr>
          </w:p>
        </w:tc>
      </w:tr>
      <w:tr>
        <w:trPr>
          <w:trHeight w:val="225"/>
        </w:trPr>
        <w:tc>
          <w:tcPr>
            <w:tcW w:w="240" w:type="dxa"/>
            <w:vAlign w:val="bottom"/>
          </w:tcPr>
          <w:p>
            <w:pPr>
              <w:spacing w:after="0"/>
              <w:rPr>
                <w:sz w:val="19"/>
                <w:szCs w:val="19"/>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9"/>
                <w:szCs w:val="19"/>
                <w:color w:val="auto"/>
              </w:rPr>
            </w:pPr>
          </w:p>
        </w:tc>
      </w:tr>
      <w:tr>
        <w:trPr>
          <w:trHeight w:val="220"/>
        </w:trPr>
        <w:tc>
          <w:tcPr>
            <w:tcW w:w="240" w:type="dxa"/>
            <w:vAlign w:val="bottom"/>
          </w:tcPr>
          <w:p>
            <w:pPr>
              <w:spacing w:after="0"/>
              <w:rPr>
                <w:sz w:val="19"/>
                <w:szCs w:val="19"/>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2,064,795</w:t>
            </w:r>
          </w:p>
        </w:tc>
        <w:tc>
          <w:tcPr>
            <w:tcW w:w="400" w:type="dxa"/>
            <w:vAlign w:val="bottom"/>
          </w:tcPr>
          <w:p>
            <w:pPr>
              <w:spacing w:after="0"/>
              <w:rPr>
                <w:sz w:val="19"/>
                <w:szCs w:val="19"/>
                <w:color w:val="auto"/>
              </w:rPr>
            </w:pPr>
          </w:p>
        </w:tc>
      </w:tr>
      <w:tr>
        <w:trPr>
          <w:trHeight w:val="225"/>
        </w:trPr>
        <w:tc>
          <w:tcPr>
            <w:tcW w:w="240" w:type="dxa"/>
            <w:vAlign w:val="bottom"/>
          </w:tcPr>
          <w:p>
            <w:pPr>
              <w:spacing w:after="0"/>
              <w:rPr>
                <w:sz w:val="19"/>
                <w:szCs w:val="19"/>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7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(10,858)</w:t>
            </w:r>
          </w:p>
        </w:tc>
        <w:tc>
          <w:tcPr>
            <w:tcW w:w="400" w:type="dxa"/>
            <w:vAlign w:val="bottom"/>
          </w:tcPr>
          <w:p>
            <w:pPr>
              <w:spacing w:after="0"/>
              <w:rPr>
                <w:sz w:val="19"/>
                <w:szCs w:val="19"/>
                <w:color w:val="auto"/>
              </w:rPr>
            </w:pPr>
          </w:p>
        </w:tc>
      </w:tr>
      <w:tr>
        <w:trPr>
          <w:trHeight w:val="219"/>
        </w:trPr>
        <w:tc>
          <w:tcPr>
            <w:tcW w:w="240" w:type="dxa"/>
            <w:vAlign w:val="bottom"/>
          </w:tcPr>
          <w:p>
            <w:pPr>
              <w:spacing w:after="0"/>
              <w:rPr>
                <w:sz w:val="19"/>
                <w:szCs w:val="19"/>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2,053,937</w:t>
            </w:r>
          </w:p>
        </w:tc>
        <w:tc>
          <w:tcPr>
            <w:tcW w:w="400" w:type="dxa"/>
            <w:vAlign w:val="bottom"/>
          </w:tcPr>
          <w:p>
            <w:pPr>
              <w:spacing w:after="0"/>
              <w:rPr>
                <w:sz w:val="19"/>
                <w:szCs w:val="19"/>
                <w:color w:val="auto"/>
              </w:rPr>
            </w:pPr>
          </w:p>
        </w:tc>
      </w:tr>
      <w:tr>
        <w:trPr>
          <w:trHeight w:val="353"/>
        </w:trPr>
        <w:tc>
          <w:tcPr>
            <w:tcW w:w="800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6"/>
        </w:trPr>
        <w:tc>
          <w:tcPr>
            <w:tcW w:w="8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September 30, 2021</w:t>
            </w:r>
          </w:p>
        </w:tc>
        <w:tc>
          <w:tcPr>
            <w:tcW w:w="7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r>
      <w:tr>
        <w:trPr>
          <w:trHeight w:val="246"/>
        </w:trPr>
        <w:tc>
          <w:tcPr>
            <w:tcW w:w="24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2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380" w:type="dxa"/>
            <w:vAlign w:val="bottom"/>
            <w:gridSpan w:val="2"/>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1,247,544</w:t>
            </w:r>
          </w:p>
        </w:tc>
      </w:tr>
      <w:tr>
        <w:trPr>
          <w:trHeight w:val="225"/>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7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806,393</w:t>
            </w:r>
          </w:p>
        </w:tc>
      </w:tr>
      <w:tr>
        <w:trPr>
          <w:trHeight w:val="219"/>
        </w:trPr>
        <w:tc>
          <w:tcPr>
            <w:tcW w:w="240" w:type="dxa"/>
            <w:vAlign w:val="bottom"/>
            <w:shd w:val="clear" w:color="auto" w:fill="CCEEFF"/>
          </w:tcPr>
          <w:p>
            <w:pPr>
              <w:spacing w:after="0"/>
              <w:rPr>
                <w:sz w:val="19"/>
                <w:szCs w:val="19"/>
                <w:color w:val="auto"/>
              </w:rPr>
            </w:pPr>
          </w:p>
        </w:tc>
        <w:tc>
          <w:tcPr>
            <w:tcW w:w="7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2,053,937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hanging="494"/>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6"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On September 18, 2020, the Company acquired the stock of Air-Craftglass, a Belgian company specializing in research and development of laminate products for the aviation industry, for an initial payment of $1.1 million. The Company funded the acquisition with a cash payment from cash on hand. The transaction also included contingent consideration based on future revenues of Air-Craftglass. The valuation process was completed during the third quarter of 2021.</w:t>
      </w:r>
    </w:p>
    <w:p>
      <w:pPr>
        <w:spacing w:after="0" w:line="235"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 xml:space="preserve">Air-Craftglass is now a 100% owned subsidiary of the Company, and is classified within the “Other” segment. The assets acquired and liabilities assumed as a part of this stock purchase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of the business of Air-Craftglass which were included in the Company’s condensed consolidated statements of income and comprehensive income for the year to date period ended September 30, 2021.</w:t>
      </w:r>
    </w:p>
    <w:p>
      <w:pPr>
        <w:spacing w:after="0" w:line="234"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On December 14, 2020, the Company acquired the stock of Argil for $3.7 million, which was in addition to the previous $4.2 million cash equity investment by the Company in Argil. The Company funded the acquisition with a cash payment from cash on hand. Argil specializes in electrochromic technology and research and development, which the Company anticipates using to complement and expand its product offerings and leverage for manufacturing efficiencies. The Company is still in the process of verifying data and finalizing information related to the valuation and recording of identifiable intangible assets, deferred taxes, net working capital, and the resulting effects on the amount of recorded goodwill. The Company</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 w:name="page22"/>
    <w:bookmarkEnd w:id="2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expects to finalize these matters within the measurement period, which will remain open through the fourth quarter of 2021.</w:t>
      </w:r>
    </w:p>
    <w:p>
      <w:pPr>
        <w:spacing w:after="0" w:line="24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Argil is now 100% owned and merged with the Company, and has been classified within the “Automotive” segment. The assets acquired and liabilities assumed as part of this stock purchase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of the business of Argil which were included in the Company’s condensed consolidated statements of income and comprehensive income for the year to date period ended September 30, 2021.</w:t>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March 3, 2021 the Company acquired Guardian for approximately $12.0 million. Guardian is an Israeli research and development company that specializes in in-cabin sensing technologies for the automotive industry. The Company funded the acquisition with a cash payment from cash on hand. The Company is still in the process of verifying data and finalizing information related to the valuation and recording of identifiable intangible assets, deferred taxes, net working capital, and the resulting effects on the amount of recorded goodwill. The Company expects to finalize these matters within the measurement period, which is currently expected to remain open through the fourth quarter of 2021.</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Guardian is now a 100% owned subsidiary of the Company as Gentex Technologies (Israel), LTD, and is classified within the Automotive segment. The Company accounted for the acquisition under the provisions of FASB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There were no revenues of the business of Guardian which were included in the Company’s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income and comprehensive income for the year to date period ended September 30, 2021.</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table summarizes the fair values of the assets acquired, and the liabilities assumed, as of the acquisition date of March 3,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Fair Value</w:t>
            </w: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Personal Property</w:t>
            </w:r>
          </w:p>
        </w:tc>
        <w:tc>
          <w:tcPr>
            <w:tcW w:w="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R&amp;D</w:t>
            </w:r>
          </w:p>
        </w:tc>
        <w:tc>
          <w:tcPr>
            <w:tcW w:w="4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6,795,461</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1,301,542</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4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1,049,073</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2,848,364</w:t>
            </w:r>
          </w:p>
        </w:tc>
      </w:tr>
      <w:tr>
        <w:trPr>
          <w:trHeight w:val="24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Assets Acquired</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12,041,440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Through September 30, 2021, the Company has incurred acquisition-related costs of approximately $375,000, which has been expensed as incurred in the "Selling, general &amp; administrative" section of its Condensed Consolidated Income Statement.</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35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8"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THIRD QUARTER 2021 VERSUS THIRD QUARTER 2020</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third quarter of 2021 decreased by $75.0 million or 16% when compared with the third quarter of 2020.</w:t>
      </w:r>
    </w:p>
    <w:p>
      <w:pPr>
        <w:spacing w:after="0" w:line="157" w:lineRule="exact"/>
        <w:rPr>
          <w:sz w:val="20"/>
          <w:szCs w:val="20"/>
          <w:color w:val="auto"/>
        </w:rPr>
      </w:pPr>
    </w:p>
    <w:p>
      <w:pPr>
        <w:jc w:val="both"/>
        <w:ind w:left="640"/>
        <w:spacing w:after="0" w:line="225" w:lineRule="auto"/>
        <w:rPr>
          <w:sz w:val="20"/>
          <w:szCs w:val="20"/>
          <w:color w:val="auto"/>
        </w:rPr>
      </w:pPr>
      <w:r>
        <w:rPr>
          <w:rFonts w:ascii="Arial" w:cs="Arial" w:eastAsia="Arial" w:hAnsi="Arial"/>
          <w:sz w:val="18"/>
          <w:szCs w:val="18"/>
          <w:color w:val="auto"/>
        </w:rPr>
        <w:t>Automotive net sales for the third quarter of 2021 were $391.3 million, compared with automotive net sales of $464.7 million in the third quarter of 2020. Auto-dimming mirror unit shipments by the Company decreased 7% during the quarter, compared to the third quarter of 2020.</w:t>
      </w:r>
    </w:p>
    <w:p>
      <w:pPr>
        <w:spacing w:after="0" w:line="229" w:lineRule="exact"/>
        <w:rPr>
          <w:sz w:val="20"/>
          <w:szCs w:val="20"/>
          <w:color w:val="auto"/>
        </w:rPr>
      </w:pPr>
    </w:p>
    <w:p>
      <w:pPr>
        <w:ind w:left="640" w:right="280"/>
        <w:spacing w:after="0" w:line="252"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nine months ended September 30, 2021, and 2020 </w:t>
      </w:r>
      <w:r>
        <w:rPr>
          <w:rFonts w:ascii="Arial" w:cs="Arial" w:eastAsia="Arial" w:hAnsi="Arial"/>
          <w:sz w:val="18"/>
          <w:szCs w:val="18"/>
          <w:i w:val="1"/>
          <w:iCs w:val="1"/>
          <w:color w:val="auto"/>
        </w:rPr>
        <w:t>(in thousands).</w:t>
      </w:r>
    </w:p>
    <w:p>
      <w:pPr>
        <w:spacing w:after="0" w:line="18"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32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9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Nine Months Ended September 30,</w:t>
            </w:r>
          </w:p>
        </w:tc>
      </w:tr>
      <w:tr>
        <w:trPr>
          <w:trHeight w:val="179"/>
        </w:trPr>
        <w:tc>
          <w:tcPr>
            <w:tcW w:w="38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5"/>
              </w:rPr>
              <w:t>(15)%</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5,843</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5,040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16%</w:t>
            </w:r>
          </w:p>
        </w:tc>
      </w:tr>
      <w:tr>
        <w:trPr>
          <w:trHeight w:val="22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8"/>
                <w:szCs w:val="18"/>
                <w:color w:val="auto"/>
                <w:w w:val="99"/>
              </w:rPr>
              <w:t>(4)%</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4,345</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3,093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40%</w:t>
            </w:r>
          </w:p>
        </w:tc>
      </w:tr>
      <w:tr>
        <w:trPr>
          <w:trHeight w:val="220"/>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North American Mirror Units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5"/>
              </w:rPr>
              <w:t>(11)%</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10,188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8,133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r>
      <w:tr>
        <w:trPr>
          <w:trHeight w:val="266"/>
        </w:trPr>
        <w:tc>
          <w:tcPr>
            <w:tcW w:w="3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9"/>
              </w:rPr>
              <w:t>(6)%</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15,219</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12,889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18%</w:t>
            </w:r>
          </w:p>
        </w:tc>
      </w:tr>
      <w:tr>
        <w:trPr>
          <w:trHeight w:val="22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8"/>
                <w:szCs w:val="18"/>
                <w:color w:val="auto"/>
                <w:w w:val="99"/>
              </w:rPr>
              <w:t>(3)%</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6,605</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5,191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27%</w:t>
            </w:r>
          </w:p>
        </w:tc>
      </w:tr>
      <w:tr>
        <w:trPr>
          <w:trHeight w:val="220"/>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 Mirror Units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9"/>
              </w:rPr>
              <w:t>(5)%</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21,823</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18,080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r>
      <w:tr>
        <w:trPr>
          <w:trHeight w:val="266"/>
        </w:trPr>
        <w:tc>
          <w:tcPr>
            <w:tcW w:w="3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9"/>
              </w:rPr>
              <w:t>(9)%</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21,062</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17,928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17%</w:t>
            </w:r>
          </w:p>
        </w:tc>
      </w:tr>
      <w:tr>
        <w:trPr>
          <w:trHeight w:val="22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8"/>
                <w:szCs w:val="18"/>
                <w:color w:val="auto"/>
                <w:w w:val="99"/>
              </w:rPr>
              <w:t>(3)%</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10,949</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8,285</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32%</w:t>
            </w:r>
          </w:p>
        </w:tc>
      </w:tr>
      <w:tr>
        <w:trPr>
          <w:trHeight w:val="245"/>
        </w:trPr>
        <w:tc>
          <w:tcPr>
            <w:tcW w:w="3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Auto-Dimming Mirror Units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ind w:right="53"/>
              <w:spacing w:after="0"/>
              <w:rPr>
                <w:sz w:val="20"/>
                <w:szCs w:val="20"/>
                <w:color w:val="auto"/>
              </w:rPr>
            </w:pPr>
            <w:r>
              <w:rPr>
                <w:rFonts w:ascii="Arial" w:cs="Arial" w:eastAsia="Arial" w:hAnsi="Arial"/>
                <w:sz w:val="18"/>
                <w:szCs w:val="18"/>
                <w:color w:val="auto"/>
                <w:w w:val="99"/>
              </w:rPr>
              <w:t>(7)%</w:t>
            </w:r>
          </w:p>
        </w:tc>
        <w:tc>
          <w:tcPr>
            <w:tcW w:w="10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32,011</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26,213</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63"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Other net sales were $8.3 million in the third quarter of 2021, a decrease of 17%, compared to $10.0 million in the third quarter of 2020. This decrease is in large part attributable to a 34% quarter over quarter decline in variable dimmable aircraft windows sales, which decreased to $2.4 million in the third quarter of 2021 from $3.6 million in the third quarter of 2020. Fire protection sales decreased by 8% in the third quarter of 2021 to $5.9 million, compared to $6.4 million in the third quarter of 2020.</w:t>
      </w:r>
    </w:p>
    <w:p>
      <w:pPr>
        <w:spacing w:after="0" w:line="203" w:lineRule="exact"/>
        <w:rPr>
          <w:sz w:val="20"/>
          <w:szCs w:val="20"/>
          <w:color w:val="auto"/>
        </w:rPr>
      </w:pPr>
    </w:p>
    <w:p>
      <w:pPr>
        <w:jc w:val="both"/>
        <w:ind w:left="640"/>
        <w:spacing w:after="0" w:line="222"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64.7% in the third quarter of 2021 versus 60.3%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2020. Compared to the third quarter of 2020, gross margin was primarily impacted by the lower sales levels stemming from the 23% quarter over quarter decline in light vehicle production the Company's primary regions. Gross margin was also negatively impacted by customer price reductions and increases in freight and other supply chain related costs. On a quarter over quarter basis, the fixed overhead leverage had a negative impact of approximately 250 - 300 basis points on the gross margin. Customer price reductions and increases in freight and other supply chain costs each had a negative impact of approximately 150 - 200 basis points. These impacts were partially offset by price reductions on raw materials and product mix, which each had a positive impact of approximately 150 - 200 basis points on gross margin on a quarter over quarter basis.</w:t>
      </w:r>
    </w:p>
    <w:p>
      <w:pPr>
        <w:spacing w:after="0" w:line="210"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 R &amp; D") expenses for the third quarter of 2021 increased by $1.9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when compared with the third quarter of 2020.</w:t>
      </w:r>
    </w:p>
    <w:p>
      <w:pPr>
        <w:spacing w:after="0"/>
        <w:rPr>
          <w:sz w:val="20"/>
          <w:szCs w:val="20"/>
          <w:color w:val="auto"/>
        </w:rPr>
      </w:pPr>
      <w:r>
        <w:rPr>
          <w:rFonts w:ascii="Arial" w:cs="Arial" w:eastAsia="Arial" w:hAnsi="Arial"/>
          <w:sz w:val="18"/>
          <w:szCs w:val="18"/>
          <w:color w:val="FAAC16"/>
        </w:rPr>
        <w:t>.</w:t>
      </w:r>
    </w:p>
    <w:p>
      <w:pPr>
        <w:spacing w:after="0" w:line="6"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Selling, general and administrative ("S, G &amp; A") expenses increased by 7% or $1.4 million for the third quarter of 2021 compared to the third quarter of 2020. S, G &amp; A expenses were 6% of net sales in the third quarter of 2021, compared to 5% of net sales in the third quarter of 2020. S, G, &amp; A expenses increased on a quarter over quarter basis primarily due to increases in wages and selling expenses.</w:t>
      </w:r>
    </w:p>
    <w:p>
      <w:pPr>
        <w:spacing w:after="0" w:line="235"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Total operating expenses were $52.7 million in the third quarter of 2021, which increased by 7% or $3.4 million, from $49.4 million in the third quarter of 2020.</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23" w:name="page24"/>
    <w:bookmarkEnd w:id="23"/>
    <w:p>
      <w:pPr>
        <w:jc w:val="both"/>
        <w:spacing w:after="0" w:line="273"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third quarter of 2021 decreased by $2.3 million when compared with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14.7% for, and an income tax expense of $13.2 million was recorded in,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2021 compared to an income tax expense of $25.8 million for the same quarter of 2020.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third quarter of 2021 was $76.7 million, compared to net income of $117.1 million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decrease in net income was driven by the quarter over quarter change in sales, gross margins, and operating profits.</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third quarter of 2021 of $0.32, compared to earnings per</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share of $0.48 for the third quarter of 2020.</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2021 VERSUS NINE MONTHS ENDED SEPTEMBER 30, 2020</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nine months ended September 30, 2021 increased by $153.0 million or 13%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2020.</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Automotive net sales for the first nine months of 2021 were $1.3 billion, up 14% compared with automotive net sales of $1.13 billion million for the first nine months of 2020, driven by a 22% period over period increase in automotive mirror unit shipments. North American automotive mirror shipments in the nine months ended September 30, 2021 increased 25% to 10.2 million units compared with the same period in 2020.</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63.7% for the first nine months of 2021,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66.4% in the same period last year. The period over period increase in the gross profit margin was primarily the result of the Company's better leverage of fixed overhead, positive structural cost savings put in place during the second quarter of 2020, and purchasing cost reductions. These improvements in gross margin were partially offset by annual customer price reductions. On a period over period basis, better fixed overhead leverage had a positive impact of approximately 300 - 350 basis points on gross margin, and the savings as a result of structural cost reductions that took place in the second quarter of 2020 had a positive impact of approximately 150 - 200 basis points on gross margin. Purchasing cost reductions had a positive impact of approximately 50 - 100 basis points on gross margin on a period over period basis. These positive impacts were partially offset by annual customer price reductions, which had a negative impact of approximately 150 - 200 basis points on gross margin on a period over period basis.</w:t>
      </w:r>
    </w:p>
    <w:p>
      <w:pPr>
        <w:spacing w:after="0" w:line="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for the nine months ended September 30, 2021 were $86.5 million, compared with $86.4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last year.</w:t>
      </w:r>
    </w:p>
    <w:p>
      <w:pPr>
        <w:spacing w:after="0" w:line="1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 G &amp; A for the first nine months of 2021 increased 3.5% or $2.3 million when compared with the same period last year. In the first nine months of 2021, the Company recognized S, G &amp; A savings from the structural cost savings put in place in the second quarter of 2020, but those savings were mostly offset by increases in wages and selling expenses, professional fees, and outbound freight costs. A lack of international travel and the cancellation of most industry-based trade shows due to the COVID-19 pandemic also impacted operating expenses for both nine month periods.</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nine months ended September 30, 2021 was $5.2 million compared with $9.2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last year.</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15.4% for the nine months ended September 30, 2021 compared to 17.1%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2020.</w:t>
      </w:r>
    </w:p>
    <w:p>
      <w:pPr>
        <w:spacing w:after="0" w:line="10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nine months ended September 30, 2021 increased by $72.4 million or 35% to $276.6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$204.2 million in the same period last year. The increase in net income was driven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158" w:right="339" w:bottom="1440" w:gutter="0" w:footer="0" w:header="0"/>
        </w:sectPr>
      </w:pPr>
    </w:p>
    <w:bookmarkStart w:id="24" w:name="page25"/>
    <w:bookmarkEnd w:id="24"/>
    <w:p>
      <w:pPr>
        <w:jc w:val="both"/>
        <w:spacing w:after="0" w:line="252" w:lineRule="auto"/>
        <w:rPr>
          <w:sz w:val="20"/>
          <w:szCs w:val="20"/>
          <w:color w:val="auto"/>
        </w:rPr>
      </w:pPr>
      <w:r>
        <w:rPr>
          <w:rFonts w:ascii="Arial" w:cs="Arial" w:eastAsia="Arial" w:hAnsi="Arial"/>
          <w:sz w:val="18"/>
          <w:szCs w:val="18"/>
          <w:color w:val="auto"/>
        </w:rPr>
        <w:t>by the period over period increase in sales, higher gross profits, and the continued operating leverage as a result of the structural cost savings that were put in place during the second quarter of 2020.</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nine months ended September 30, 2021 of $1.15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earnings per diluted share of $0.82 for the nine months ended September 30, 2020. The increase in earnings per share is primarily due to the higher net income but also positively impacted by a lower diluted share count when compared to the same period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08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cash and cash equivalents as of September 30, 2021 were $270.0 million, which decreased $153.4 million compared to $423.4 million as of December 31, 2020. The decrease was primarily due to share repurchases, dividend payments and capital expenditures, which were partially offset by cash flows from operations, during the nine months ended September 30, 2021.</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Short-term investments as of September 30, 2021 were $6.9 million, down from $27.2 million as of December 31, 2020, and long-term investments were $204.7 million as of September 30, 2021, compared to $162.0 million as of December 31, 2020. Changes in the investment balances were primarily driven by maturities of investments and additional investment purchases during the nine months ended September 30, 2021.</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Accounts receivable as of September 30, 2021 decreased approximately $43.7 million compared to December 31, 2020, primarily due to the timing of sales during the most recently completed nine months. As of September 30, 2021, all of the Company's material tier one and OEM customers continue to be in good standing.</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as of September 30, 2021 were $292.6 million, compared to $226.3 million as of December 31, 2020, primarily due to increases in raw materials.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Accounts payable as of September 30, 2021 increased approximately $15.7 million to $100.5 million when compared to December 31, 2020, primarily driven by month end payment timing.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as of September 30, 2021 decreased approximately $1.0 million compared to December 31, 2020.</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 from operating activities for the nine months ended September 30, 2021 decreased $29.7 million to $299.4 million, compared with $329.0 million during the same nine month period last year, primarily due to changes in working capital.</w:t>
      </w:r>
    </w:p>
    <w:p>
      <w:pPr>
        <w:spacing w:after="0" w:line="124"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Capital expenditures for the nine months ended September 30, 2021 were approximately $44.4 million, compared with approximately $37.0 million for the same nine month period last year.</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mirror units annually and approximately 14 - 17 million exterior mirror units annually, based on current product mix. The Company also evaluates equipment capacity on an ongoing basis and adds equipment as needed.</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54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 2020</w:t>
            </w:r>
          </w:p>
        </w:tc>
      </w:tr>
      <w:tr>
        <w:trPr>
          <w:trHeight w:val="219"/>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682,265,427</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801,593,707</w:t>
            </w:r>
          </w:p>
        </w:tc>
      </w:tr>
      <w:tr>
        <w:trPr>
          <w:trHeight w:val="22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204,671,558</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162,028,068</w:t>
            </w:r>
          </w:p>
        </w:tc>
      </w:tr>
      <w:tr>
        <w:trPr>
          <w:trHeight w:val="24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886,936,985</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963,621,775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(including the COVID-19 pandemic), market trends, and other factors the Company deems appropriate (including the market price of the stock, anti-dilutive effect of repurchases, and available cash). As previously announced, the Company's Board of Directors authorized the repurchase of an additional 25,000,000 shares under the plan. During the nine months ended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167" w:right="339" w:bottom="1440" w:gutter="0" w:footer="0" w:header="0"/>
        </w:sectPr>
      </w:pPr>
    </w:p>
    <w:bookmarkStart w:id="26" w:name="page27"/>
    <w:bookmarkEnd w:id="26"/>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September 30, 2021, the Company repurchased 8,997,046 shares. The Company has 25,422,220 shares remaining under the plan as of September 30, 2021, as is further detailed in </w:t>
      </w:r>
      <w:hyperlink w:anchor="page38">
        <w:r>
          <w:rPr>
            <w:rFonts w:ascii="Arial" w:cs="Arial" w:eastAsia="Arial" w:hAnsi="Arial"/>
            <w:sz w:val="18"/>
            <w:szCs w:val="18"/>
            <w:u w:val="single" w:color="auto"/>
            <w:color w:val="auto"/>
          </w:rPr>
          <w:t xml:space="preserve">Part II, Item 2 </w:t>
        </w:r>
      </w:hyperlink>
      <w:r>
        <w:rPr>
          <w:rFonts w:ascii="Arial" w:cs="Arial" w:eastAsia="Arial" w:hAnsi="Arial"/>
          <w:sz w:val="18"/>
          <w:szCs w:val="18"/>
          <w:color w:val="auto"/>
        </w:rPr>
        <w:t>of this Form 10-Q.</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third quarter of 2021, the Company reported net sales of $399.6 million, which was a decrease of 16% compared to net sales of $474.6 million in the third quarter of 2020. On a quarter-over-quarter basis, global light vehicle production in the Company's primary regions of Europe, North America, Japan/Korea and China decreased 23% when compared to the third quarter of 2020. Additionally, when compared to the mid-July 2021 IHS Markit light vehicle production forecast in the Company’s primary regions, actual light vehicle production during the third quarter of 2021 declined in excess of 3.1 million units, or 19%, as a result of the ongoing industry-wide part shortages and global supply chain constraints. The largest shortfall in light vehicle production for the third quarter of 2021 came from the European and North American markets, which together, experienced actual light vehicle production levels that declined by approximately 27% compared to the third quarter of 2020. The reduction in light vehicle production compared to forecast was led by several OEM customers that deploy high levels of the Company's product content, including both interior and exterior auto-dimming mirrors and other electronic features such as Full Display Mirror® and HomeLink®. The total impact to the Company from the shortfall in vehicle production was a reduction in actual mirror unit shipments of approximately 2.5 to 3 million mirrors versus the Company's beginning of the quarter forecast.</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looking forward into the fourth quarter and into 2022, the Company believes that the overall demand for vehicles and its products should still provide opportunities for the Company to continue to outperform the underlying market.</w:t>
      </w:r>
    </w:p>
    <w:p>
      <w:pPr>
        <w:spacing w:after="0" w:line="23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 the third quarter of 2021, the Company had 12 net new launches of interior and exterior auto-dimming mirrors and electronic features. Of these new launches, 75% contained advanced features with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being the primary driver. Also in the third quarter of 2021, there were several new base inside auto-dimming mirror launches, and of these, 40% were for the China domestic market.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4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As of the second quarter of 2021,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eleven different automaker customers, which are General Motors, Subaru, Toyota, Nissan, Jaguar Land Rover, Mitsubishi, Aston Martin, Stellantis, along with Maserati and Fiat, and Mercedes. As of the end of the third quarter of 2021, the Company is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60 nameplates. The second quarter 2020 launch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Toyota Harrier was the first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launch with Digital Video Recording ("DVR") capability. This mirror and system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the added capability to record video from</w:t>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936" w:right="339" w:bottom="1440" w:gutter="0" w:footer="0" w:header="0"/>
        </w:sectPr>
      </w:pPr>
    </w:p>
    <w:bookmarkStart w:id="27" w:name="page28"/>
    <w:bookmarkEnd w:id="27"/>
    <w:p>
      <w:pPr>
        <w:jc w:val="both"/>
        <w:spacing w:after="0" w:line="236" w:lineRule="auto"/>
        <w:rPr>
          <w:sz w:val="20"/>
          <w:szCs w:val="20"/>
          <w:color w:val="auto"/>
        </w:rPr>
      </w:pPr>
      <w:r>
        <w:rPr>
          <w:rFonts w:ascii="Arial" w:cs="Arial" w:eastAsia="Arial" w:hAnsi="Arial"/>
          <w:sz w:val="18"/>
          <w:szCs w:val="18"/>
          <w:color w:val="auto"/>
        </w:rPr>
        <w:t>the rearward facing and forward-facing cameras simultaneously. Per OEM request, the data is stored to an SD storage card. This integrated solution provides consumers with the features they want, while allowing the OEM to control the integration and execution in the vehicle. The Company remains confident that on-going discussions with certain other customers, in the future, may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 As of the end of the third quarter of 2021 the Company has been awarded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programs with 14 OEMs.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On March 31, 2014, the Alliance of Automobile Manufacturers petitioned the National Highway Traffic Safety Administration ("NHTSA")</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 allow automakers to use cameras as an option to replace conventional rearview mirrors within the United States.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October 18, 2019, a petition for temporary exemption from FMVSS 111 submitted by Audi of America was published requesting NHTSA to grant a two-year exemption to sell up to 2,500 vehicles for each twelve month period (up to 5,000 vehicles) that are equipped with camera monitoring systems and do not include FMVSS 111 compliant outside mirrors.</w:t>
      </w:r>
    </w:p>
    <w:p>
      <w:pPr>
        <w:spacing w:after="0" w:line="12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936" w:right="339" w:bottom="1440" w:gutter="0" w:footer="0" w:header="0"/>
        </w:sectPr>
      </w:pPr>
    </w:p>
    <w:bookmarkStart w:id="28" w:name="page29"/>
    <w:bookmarkEnd w:id="28"/>
    <w:p>
      <w:pPr>
        <w:jc w:val="both"/>
        <w:spacing w:after="0" w:line="253" w:lineRule="auto"/>
        <w:rPr>
          <w:sz w:val="20"/>
          <w:szCs w:val="20"/>
          <w:color w:val="auto"/>
        </w:rPr>
      </w:pPr>
      <w:r>
        <w:rPr>
          <w:rFonts w:ascii="Arial" w:cs="Arial" w:eastAsia="Arial" w:hAnsi="Arial"/>
          <w:sz w:val="17"/>
          <w:szCs w:val="17"/>
          <w:color w:val="auto"/>
        </w:rPr>
        <w:t>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is currently in production with a rear vision camera system that streams rear video to a rearview-mirror-integrated display using the Company's Full Display Mirror</w:t>
      </w:r>
      <w:r>
        <w:rPr>
          <w:rFonts w:ascii="Arial" w:cs="Arial" w:eastAsia="Arial" w:hAnsi="Arial"/>
          <w:sz w:val="22"/>
          <w:szCs w:val="22"/>
          <w:color w:val="auto"/>
          <w:vertAlign w:val="superscript"/>
        </w:rPr>
        <w:t>®</w:t>
      </w:r>
      <w:r>
        <w:rPr>
          <w:rFonts w:ascii="Arial" w:cs="Arial" w:eastAsia="Arial" w:hAnsi="Arial"/>
          <w:sz w:val="17"/>
          <w:szCs w:val="17"/>
          <w:color w:val="auto"/>
        </w:rPr>
        <w:t>. The Company's CMS solution uses three cameras to provide a comprehensive view of the sides and rear of the vehicle. The Company also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has had the effect of replacing, and could potentially continue replacing,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w:t>
      </w:r>
    </w:p>
    <w:p>
      <w:pPr>
        <w:spacing w:after="0" w:line="1" w:lineRule="exact"/>
        <w:rPr>
          <w:sz w:val="20"/>
          <w:szCs w:val="20"/>
          <w:color w:val="auto"/>
        </w:rPr>
      </w:pPr>
    </w:p>
    <w:p>
      <w:pPr>
        <w:jc w:val="both"/>
        <w:ind w:firstLine="198"/>
        <w:spacing w:after="0" w:line="228" w:lineRule="auto"/>
        <w:rPr>
          <w:sz w:val="20"/>
          <w:szCs w:val="20"/>
          <w:color w:val="auto"/>
        </w:rPr>
      </w:pPr>
      <w:r>
        <w:rPr>
          <w:rFonts w:ascii="Arial" w:cs="Arial" w:eastAsia="Arial" w:hAnsi="Arial"/>
          <w:sz w:val="18"/>
          <w:szCs w:val="18"/>
          <w:color w:val="auto"/>
        </w:rPr>
        <w:t>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In March 2020, HR 6256 was introduced, which would require NHTSA to update NCAP. There are multiple bills being discussed in both the U.S. House of Representatives and the U.S. Senate that relate to NCAP.</w:t>
      </w:r>
    </w:p>
    <w:p>
      <w:pPr>
        <w:spacing w:after="0" w:line="24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08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Connected Car</w:t>
      </w:r>
    </w:p>
    <w:p>
      <w:pPr>
        <w:spacing w:after="0" w:line="157"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uses both RF and wireless cloud-based connectivity to deliver complete vehicle-to-home automation.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The app contains 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third party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In May 2021, the Company announced the Volkswagen as the first automaker to offer Bluetooth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enabled mirror for home automation that works in conjunction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newer markets like China. The unique attributes of the China market allow for potential different use cases of these products and offer the potential for additional growth opportunities for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Company signed an exclusive agreement, in the ordinary course of business, to integrate TransCore's toll module technology. In January 2017, the Company signed an extension of its agreement, in the ordinary course of business, which enables the Company to offer the Integrated Toll Module system in Canada and Mexico. In September 2019, the Company signed a new agreement with TransCore, in the ordinary course of business, which extended the term of the partnership.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43" w:lineRule="exact"/>
        <w:rPr>
          <w:sz w:val="20"/>
          <w:szCs w:val="20"/>
          <w:color w:val="auto"/>
        </w:rPr>
      </w:pPr>
    </w:p>
    <w:p>
      <w:pPr>
        <w:jc w:val="both"/>
        <w:spacing w:after="0" w:line="201" w:lineRule="auto"/>
        <w:rPr>
          <w:sz w:val="20"/>
          <w:szCs w:val="20"/>
          <w:color w:val="auto"/>
        </w:rPr>
      </w:pPr>
      <w:r>
        <w:rPr>
          <w:rFonts w:ascii="Arial" w:cs="Arial" w:eastAsia="Arial" w:hAnsi="Arial"/>
          <w:sz w:val="18"/>
          <w:szCs w:val="18"/>
          <w:color w:val="auto"/>
        </w:rPr>
        <w:t>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9 platforms, which are: the A4, A5, A6, A7, Q5,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throughout 2022 and 2023. During the third quarter of 2021, the Company began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 second OEM customer, Mercedes, on the EQS model. In April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recognizes automotive suppliers for superior innovation, technological advancement, and business performance.</w:t>
      </w:r>
    </w:p>
    <w:p>
      <w:pPr>
        <w:spacing w:after="0" w:line="24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065" w:right="339" w:bottom="1440" w:gutter="0" w:footer="0" w:header="0"/>
        </w:sectPr>
      </w:pPr>
    </w:p>
    <w:bookmarkStart w:id="30" w:name="page31"/>
    <w:bookmarkEnd w:id="30"/>
    <w:p>
      <w:pPr>
        <w:jc w:val="both"/>
        <w:spacing w:after="0" w:line="237" w:lineRule="auto"/>
        <w:rPr>
          <w:sz w:val="20"/>
          <w:szCs w:val="20"/>
          <w:color w:val="auto"/>
        </w:rPr>
      </w:pPr>
      <w:r>
        <w:rPr>
          <w:rFonts w:ascii="Arial" w:cs="Arial" w:eastAsia="Arial" w:hAnsi="Arial"/>
          <w:sz w:val="18"/>
          <w:szCs w:val="18"/>
          <w:color w:val="auto"/>
        </w:rPr>
        <w:t>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16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January 2018, the Company also announced that an agreement had been signed with Yonomi Inc., in the ordinary course of business, to access home automation technology. The Company is working with Yonomi as a home automation aggregation partner and the Company has developed an app and cloud infrastructure known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As discussed above,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home automation app that pairs with the vehicle and allows drivers to operate home automation devices from the vehicle. Drivers of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November 2020, the Company announced a partnership, in the ordinary course of business, with PayByCar™, to pursue compatibility between the Company's Integrated Toll Module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 the automotive industry’s leading car-to-home automation system. HomeLink® consists of vehicle-integrated buttons that can be programmed to operate a myriad of home automation devices. Integration of Simplenight into the Company's HomeLink Connect® app is underway and will allow users to program their HomeLink® buttons and control cloud-based devices from their vehicles.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In January 2020, the Company announced that Airbus will also be offering the Company's dimmable aircraft windows on an aircraft with production starting in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2021, the Company continues to further develop and work on the intelligent medical lighting system in order to assess system performance and work toward obtaining any necessary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92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Automotive revenues represent approximately 98% - 99% of the Company's total revenue, consisting of interior and exterior electrochromic automatic-dimming rearview mirrors and automotive electronics.</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continues to experience pricing pressure from its automotive customers and competitors, which will continue to cause downward pressure on its sales and profit margins. The Company works continuously to offset these price reductions with engineering and purchasing cost reductions, productivity improvements, and increases in unit sales volume, but there is no assurance the Company will be able to do so in the future.</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The Company has been likewise affected by the COVID-19 pandemic and industry-wide parts shortages and global supply constraints.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15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most recent forecasts for light vehicle production for the fourth quarter of 2021, and full years 2021 and 2022 are based on the mid-October 2021 IHS Markit light vehicle production forecast for light vehicle production in North America, Europe, Japan/Korea and China. Fourth quarter of 2021, and calendar years 2021 and 2022 forecasted light vehicle production volumes are shown below:</w:t>
      </w:r>
    </w:p>
    <w:p>
      <w:pPr>
        <w:jc w:val="center"/>
        <w:ind w:right="3600"/>
        <w:spacing w:after="0"/>
        <w:rPr>
          <w:sz w:val="20"/>
          <w:szCs w:val="20"/>
          <w:color w:val="auto"/>
        </w:rPr>
      </w:pPr>
      <w:r>
        <w:rPr>
          <w:rFonts w:ascii="Arial" w:cs="Arial" w:eastAsia="Arial" w:hAnsi="Arial"/>
          <w:sz w:val="19"/>
          <w:szCs w:val="19"/>
          <w:b w:val="1"/>
          <w:bCs w:val="1"/>
          <w:color w:val="auto"/>
        </w:rPr>
        <w:t>Light Vehicle Production (per IHS Markit Automotive mid-October light</w:t>
      </w:r>
    </w:p>
    <w:p>
      <w:pPr>
        <w:jc w:val="center"/>
        <w:ind w:right="3600"/>
        <w:spacing w:after="0"/>
        <w:rPr>
          <w:sz w:val="20"/>
          <w:szCs w:val="20"/>
          <w:color w:val="auto"/>
        </w:rPr>
      </w:pPr>
      <w:r>
        <w:rPr>
          <w:rFonts w:ascii="Arial" w:cs="Arial" w:eastAsia="Arial" w:hAnsi="Arial"/>
          <w:sz w:val="19"/>
          <w:szCs w:val="19"/>
          <w:b w:val="1"/>
          <w:bCs w:val="1"/>
          <w:color w:val="auto"/>
        </w:rPr>
        <w:t>vehicle production forecast)</w:t>
      </w:r>
    </w:p>
    <w:p>
      <w:pPr>
        <w:spacing w:after="0" w:line="16" w:lineRule="exact"/>
        <w:rPr>
          <w:sz w:val="20"/>
          <w:szCs w:val="20"/>
          <w:color w:val="auto"/>
        </w:rPr>
      </w:pPr>
    </w:p>
    <w:p>
      <w:pPr>
        <w:ind w:left="2960"/>
        <w:spacing w:after="0"/>
        <w:rPr>
          <w:sz w:val="20"/>
          <w:szCs w:val="20"/>
          <w:color w:val="auto"/>
        </w:rPr>
      </w:pPr>
      <w:r>
        <w:rPr>
          <w:rFonts w:ascii="Arial" w:cs="Arial" w:eastAsia="Arial" w:hAnsi="Arial"/>
          <w:sz w:val="19"/>
          <w:szCs w:val="19"/>
          <w:b w:val="1"/>
          <w:bCs w:val="1"/>
          <w:i w:val="1"/>
          <w:i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Q4</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Q4</w:t>
            </w:r>
          </w:p>
        </w:tc>
        <w:tc>
          <w:tcPr>
            <w:tcW w:w="7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Calendar Calendar Calendar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2022 vs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2021 vs</w:t>
            </w:r>
          </w:p>
        </w:tc>
        <w:tc>
          <w:tcPr>
            <w:tcW w:w="0" w:type="dxa"/>
            <w:vAlign w:val="bottom"/>
          </w:tcPr>
          <w:p>
            <w:pPr>
              <w:spacing w:after="0"/>
              <w:rPr>
                <w:sz w:val="1"/>
                <w:szCs w:val="1"/>
                <w:color w:val="auto"/>
              </w:rPr>
            </w:pPr>
          </w:p>
        </w:tc>
      </w:tr>
      <w:tr>
        <w:trPr>
          <w:trHeight w:val="133"/>
        </w:trPr>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5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18"/>
              <w:spacing w:after="0" w:line="133" w:lineRule="exact"/>
              <w:rPr>
                <w:sz w:val="20"/>
                <w:szCs w:val="20"/>
                <w:color w:val="auto"/>
              </w:rPr>
            </w:pPr>
            <w:r>
              <w:rPr>
                <w:rFonts w:ascii="Arial" w:cs="Arial" w:eastAsia="Arial" w:hAnsi="Arial"/>
                <w:sz w:val="14"/>
                <w:szCs w:val="14"/>
                <w:b w:val="1"/>
                <w:bCs w:val="1"/>
                <w:color w:val="auto"/>
              </w:rPr>
              <w:t>Year</w:t>
            </w:r>
          </w:p>
        </w:tc>
        <w:tc>
          <w:tcPr>
            <w:tcW w:w="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Year</w:t>
            </w:r>
          </w:p>
        </w:tc>
        <w:tc>
          <w:tcPr>
            <w:tcW w:w="70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Year</w:t>
            </w: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3"/>
        </w:trPr>
        <w:tc>
          <w:tcPr>
            <w:tcW w:w="1340" w:type="dxa"/>
            <w:vAlign w:val="bottom"/>
            <w:vMerge w:val="continue"/>
          </w:tcPr>
          <w:p>
            <w:pPr>
              <w:spacing w:after="0"/>
              <w:rPr>
                <w:sz w:val="15"/>
                <w:szCs w:val="15"/>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rPr>
              <w:t>2020</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9"/>
        </w:trPr>
        <w:tc>
          <w:tcPr>
            <w:tcW w:w="1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5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3.20</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15.24</w:t>
            </w:r>
          </w:p>
        </w:tc>
        <w:tc>
          <w:tcPr>
            <w:tcW w:w="6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13.00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1340" w:type="dxa"/>
            <w:vAlign w:val="bottom"/>
          </w:tcPr>
          <w:p>
            <w:pPr>
              <w:ind w:left="20"/>
              <w:spacing w:after="0"/>
              <w:rPr>
                <w:sz w:val="20"/>
                <w:szCs w:val="20"/>
                <w:color w:val="auto"/>
              </w:rPr>
            </w:pPr>
            <w:r>
              <w:rPr>
                <w:rFonts w:ascii="Arial" w:cs="Arial" w:eastAsia="Arial" w:hAnsi="Arial"/>
                <w:sz w:val="18"/>
                <w:szCs w:val="18"/>
                <w:color w:val="auto"/>
              </w:rPr>
              <w:t>Europe</w:t>
            </w:r>
          </w:p>
        </w:tc>
        <w:tc>
          <w:tcPr>
            <w:tcW w:w="560" w:type="dxa"/>
            <w:vAlign w:val="bottom"/>
          </w:tcPr>
          <w:p>
            <w:pPr>
              <w:ind w:left="120"/>
              <w:spacing w:after="0"/>
              <w:rPr>
                <w:sz w:val="20"/>
                <w:szCs w:val="20"/>
                <w:color w:val="auto"/>
              </w:rPr>
            </w:pPr>
            <w:r>
              <w:rPr>
                <w:rFonts w:ascii="Arial" w:cs="Arial" w:eastAsia="Arial" w:hAnsi="Arial"/>
                <w:sz w:val="18"/>
                <w:szCs w:val="18"/>
                <w:color w:val="auto"/>
              </w:rPr>
              <w:t>4.04</w:t>
            </w:r>
          </w:p>
        </w:tc>
        <w:tc>
          <w:tcPr>
            <w:tcW w:w="520" w:type="dxa"/>
            <w:vAlign w:val="bottom"/>
          </w:tcPr>
          <w:p>
            <w:pPr>
              <w:jc w:val="right"/>
              <w:spacing w:after="0"/>
              <w:rPr>
                <w:sz w:val="20"/>
                <w:szCs w:val="20"/>
                <w:color w:val="auto"/>
              </w:rPr>
            </w:pPr>
            <w:r>
              <w:rPr>
                <w:rFonts w:ascii="Arial" w:cs="Arial" w:eastAsia="Arial" w:hAnsi="Arial"/>
                <w:sz w:val="18"/>
                <w:szCs w:val="18"/>
                <w:color w:val="auto"/>
              </w:rPr>
              <w:t>5.24</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18.60</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16.02</w:t>
            </w:r>
          </w:p>
        </w:tc>
        <w:tc>
          <w:tcPr>
            <w:tcW w:w="620" w:type="dxa"/>
            <w:vAlign w:val="bottom"/>
          </w:tcPr>
          <w:p>
            <w:pPr>
              <w:jc w:val="right"/>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6"/>
        </w:trPr>
        <w:tc>
          <w:tcPr>
            <w:tcW w:w="134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Japan and</w:t>
            </w: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2.66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11.29</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10.76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6.28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24.50</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23.28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6"/>
        </w:trPr>
        <w:tc>
          <w:tcPr>
            <w:tcW w:w="134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color w:val="auto"/>
              </w:rPr>
              <w:t>Total Light</w:t>
            </w:r>
          </w:p>
        </w:tc>
        <w:tc>
          <w:tcPr>
            <w:tcW w:w="5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Vehicle</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16.18 20.14</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69.63</w:t>
            </w:r>
          </w:p>
        </w:tc>
        <w:tc>
          <w:tcPr>
            <w:tcW w:w="6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63.06</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80" w:type="dxa"/>
            <w:vAlign w:val="bottom"/>
            <w:shd w:val="clear" w:color="auto" w:fill="CCEEFF"/>
          </w:tcPr>
          <w:p>
            <w:pPr>
              <w:spacing w:after="0"/>
              <w:rPr>
                <w:sz w:val="15"/>
                <w:szCs w:val="15"/>
                <w:color w:val="auto"/>
              </w:rPr>
            </w:pPr>
          </w:p>
        </w:tc>
        <w:tc>
          <w:tcPr>
            <w:tcW w:w="9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7"/>
        </w:trPr>
        <w:tc>
          <w:tcPr>
            <w:tcW w:w="134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Production</w:t>
            </w:r>
          </w:p>
        </w:tc>
        <w:tc>
          <w:tcPr>
            <w:tcW w:w="1080" w:type="dxa"/>
            <w:vAlign w:val="bottom"/>
            <w:tcBorders>
              <w:bottom w:val="single" w:sz="8" w:color="auto"/>
            </w:tcBorders>
            <w:gridSpan w:val="2"/>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Based on the aforementioned light vehicle production forecast and the results for the first nine months of 2021, the Company has provided updated guidance for the second half of 2021 as shown below, which replaces all previous guidance given. This guidance includes manual adjustments to the Company's forecasts as a result of customer order changes and the Company's estimates of the impact that global supply constraints will have on overall light vehicle production. The Company has also updated its cost and profitability model to include impacts stemming from these expected lower vehicle production levels, elevated raw material prices, freight expenses and labor costs. In addition, over the last several quarters, the Company has been closely monitoring the tariff discussions between the US and the EU with respect to EU Regulation 2018/0886, which was scheduled to go into effect on June 1, 2021. The EU, however, suspended the implementation until November 30, 2021 as part of on-going discussions. The Company remains hopeful that a trade agreement can be reached before this date so that the increased tariffs do not take effect. The guidance for the second half of 2021 is as follows, which does not take into account the aforementioned potential increased tariff costs:</w:t>
      </w:r>
    </w:p>
    <w:p>
      <w:pPr>
        <w:spacing w:after="0" w:line="237"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is expected to be between $770 million and $840 million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Gross Margin is expected to be between 35% and 36%</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$105 to $108 million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15% and 16%</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 are expected to be between $50 and $60 million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$48 and $52 million</w:t>
      </w:r>
    </w:p>
    <w:p>
      <w:pPr>
        <w:spacing w:after="0" w:line="24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Ongoing uncertainties remain around the impact of the COVID-19 pandemic on customer demand and restrictions on operations. COVID-19 has created unprecedented circumstances for the Company's industries, which included massive changes to production levels at its customers that occurred in a very short time period. Beyond the impact of the COVID-19 pandemic, other ongoing uncertainties remain including: light vehicle production levels; industry-wide parts shortages and global supply chain constraints; impacts of already in place and potential additional future tariffs;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work stoppages; etc., all of which could disrupt shipments to these customers and make forecasting difficult.</w:t>
      </w:r>
    </w:p>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accordance with the previously announced share repurchase plan, the Company continue to will consider the appropriateness of any share repurchases for the remainder of 2021. This determination will take into account macroeconomic issues (including the impact of the COVID-19 pandemic and industry-wide parts shortages and global supply chain constraints), market trends, and other factors that the Company deems appropriate (including the market price of the stock, anti-dilutive effect of repurchases, tax rates, and</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1167" w:right="339" w:bottom="1440" w:gutter="0" w:footer="0" w:header="0"/>
        </w:sectPr>
      </w:pPr>
    </w:p>
    <w:bookmarkStart w:id="33" w:name="page34"/>
    <w:bookmarkEnd w:id="33"/>
    <w:p>
      <w:pPr>
        <w:jc w:val="both"/>
        <w:spacing w:after="0" w:line="236" w:lineRule="auto"/>
        <w:rPr>
          <w:sz w:val="20"/>
          <w:szCs w:val="20"/>
          <w:color w:val="auto"/>
        </w:rPr>
      </w:pPr>
      <w:r>
        <w:rPr>
          <w:rFonts w:ascii="Arial" w:cs="Arial" w:eastAsia="Arial" w:hAnsi="Arial"/>
          <w:sz w:val="18"/>
          <w:szCs w:val="18"/>
          <w:color w:val="auto"/>
        </w:rPr>
        <w:t>available cash). As previously announced, the Company's Board of Directors authorized the repurchase of an additional 25,000,000 shares under the plan. As of September 30, 2021, the Company has 25.4 million shares remaining available for repurchase under the previously announced share repurchase plan.</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Additionally, based on the mid-October 2021 light vehicle production estimates for 2022, the Company is providing revenue guidance for 2022, despite the fact that there continues to be significant uncertainty regarding macroeconomic conditions, underlying overall consumer demand for light vehicles worldwide, and the continued impact from the COVID-19 pandemic. The Company estimates that revenue for calendar year 2022 will be approximately 15% - 20% higher than the updated 2021 estimated revenue estimates of $1.68 - $1.75 billion.</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59055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00"/>
          </w:cols>
          <w:pgMar w:left="960" w:top="936" w:right="339" w:bottom="1440" w:gutter="0" w:footer="0" w:header="0"/>
        </w:sectPr>
      </w:pPr>
    </w:p>
    <w:bookmarkStart w:id="34" w:name="page35"/>
    <w:bookmarkEnd w:id="34"/>
    <w:p>
      <w:pPr>
        <w:ind w:left="6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61" w:lineRule="exact"/>
        <w:rPr>
          <w:sz w:val="20"/>
          <w:szCs w:val="20"/>
          <w:color w:val="auto"/>
        </w:rPr>
      </w:pPr>
    </w:p>
    <w:p>
      <w:pPr>
        <w:jc w:val="both"/>
        <w:ind w:left="640"/>
        <w:spacing w:after="0" w:line="264" w:lineRule="auto"/>
        <w:rPr>
          <w:sz w:val="20"/>
          <w:szCs w:val="20"/>
          <w:color w:val="auto"/>
        </w:rPr>
      </w:pPr>
      <w:r>
        <w:rPr>
          <w:rFonts w:ascii="Arial" w:cs="Arial" w:eastAsia="Arial" w:hAnsi="Arial"/>
          <w:sz w:val="17"/>
          <w:szCs w:val="17"/>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30"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2020.</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7"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impairment of available for sale securities (mark-to-market adjustments). During the quarter ended September 30, 2021, any material changes in risk factors that were disclosed in the Company's report on Form 10-K for the year ended December 31, 2020 are set forth herein.</w:t>
      </w:r>
    </w:p>
    <w:p>
      <w:pPr>
        <w:spacing w:after="0" w:line="141"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that have and could continue to reduce demand for its products.</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35" w:name="page36"/>
    <w:bookmarkEnd w:id="35"/>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45"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September 30, 2021, and have concluded that as of that date, the Company's disclosure controls and procedures are effective.</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45"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September 30, 2021 that materially affected, or are reasonably likely to materially affect, the Company's internal control over financial reporting.</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00" w:lineRule="exact"/>
        <w:rPr>
          <w:sz w:val="20"/>
          <w:szCs w:val="20"/>
          <w:color w:val="auto"/>
        </w:rPr>
      </w:pPr>
    </w:p>
    <w:p>
      <w:pPr>
        <w:spacing w:after="0" w:line="21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This Quarterly Report contains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“may,” “opinion,” “optimistic,” “plan,” “poised,” “predict,” “project,” “should,” “strategy,” “target,”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 with customers;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252" w:lineRule="exact"/>
        <w:rPr>
          <w:sz w:val="20"/>
          <w:szCs w:val="20"/>
          <w:color w:val="auto"/>
        </w:rPr>
      </w:pPr>
    </w:p>
    <w:p>
      <w:pPr>
        <w:jc w:val="both"/>
        <w:ind w:left="640"/>
        <w:spacing w:after="0" w:line="233"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COVID-19 (coronavirus) pandemic and supply chain constraints that have affected, are affecting, and will continue to affect, general economic and industry conditions, customers, suppliers, and the regulatory environment in which the Company operates. Includes content supplied by IHS Markit Light Vehicle Production Forecast of October 18, 2021 (http://www.gentex.com/forecast-disclaimer).</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Other Information</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November 2, 2021, Steve Downing, President and Chief Executive Officer of the Company, entered into a stock trading plan in accordance with Rule 10b5-1 of the Securities Exchange Act of 1934 providing for a third-party broker to sell shares of common stock of the Company that Mr. Downing may acquire upon the vesting of: 7,560 restricted shares awarded in 2017; 31,000 restricted shares awarded in 2018; 21,246 restricted shares awarded in 2019; and 49,575 performance shares (payable in common stock) that were awarded in 2019, subject to certain performance conditions. Shares will be sold under the stock trading plan on the open market over the period of time and according to the other parameters set forth under the stock trading plan. The stock trading plan terminates upon the earlier of March 1, 2022 or when all of the instructions in the plan have been completed by the third-party broker.</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November 2, 2021, Neil Boehm, Vice President of Engineering and Chief Technology Officer of the Company, entered into a stock trading plan in accordance with Rule 10b5-1 of the Securities Exchange Act of 1934 providing for a third-party broker to sell shares of common stock of the Company that Mr. Boehm may acquire upon the vesting of: 4,500 restricted shares of common stock awarded in 2017; 8,000 restricted shares awarded in 2018; 5,765 restricted shares awarded in 2019; and 13,451 performance shares (payable in common stock) that were awarded in 2019, subject to certain performance conditions. The shares will be sold under the stock trading plan on the open market over the period of time and according to the other parameters set forth under the stock trading plan. The stock trading plan terminates upon the earlier of April 14, 2022 or when all of the instructions in the plan have been completed by the third-party broker.</w:t>
      </w:r>
    </w:p>
    <w:p>
      <w:pPr>
        <w:spacing w:after="0" w:line="2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Rule 10b5-1 trading plans are permitted under the Company’s insider trading policy and other policies, and, to the extent required, transactions under such trading plans will be disclosed publicly through Form 144 and/or Form 4 filings with the Securities and Exchange Commission. Except as may be required by law, the Company does not undertake any obligation to report Rule 10b5-1 plans by officers or directors of the Company in the future, or to report modifications or terminations of any such plans, whether or not any such plans were publicly announced.</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2020. There have been material changes to the risk factors previously disclosed in the Company’s report on Form 10-K for the year ended December 31, 2020, as described in Part I – Item 2 and Item 3 of this Form 10-Q, and otherwise herein, as well as the following revised risk factor:</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SUPPLY CHAIN DISRUPTIONS</w:t>
      </w:r>
    </w:p>
    <w:p>
      <w:pPr>
        <w:spacing w:after="0" w:line="360"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As a result of just-in-time supply chains within our business and the automotive industry, disruptions in our supply chain have occurred, are occurring, and are expected to continue to occur due to the COVID-19 pandemic and industry-wide parts shortages and global supply chain constraints. Disruptions can also occur due to natural disasters, other pandemics, work stoppages, strikes, bankruptcy, etc. Such circumstances have disrupted, are disrupting, and will continue to disrupt our shipments to automakers and Tier 1 customers, which adversely affects our business, financial condition, and/or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5" w:lineRule="exact"/>
        <w:rPr>
          <w:sz w:val="20"/>
          <w:szCs w:val="20"/>
          <w:color w:val="auto"/>
        </w:rPr>
      </w:pPr>
    </w:p>
    <w:p>
      <w:pPr>
        <w:ind w:left="420" w:hanging="414"/>
        <w:spacing w:after="0"/>
        <w:tabs>
          <w:tab w:leader="none" w:pos="4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67"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third quarter of 2021, the Company repurchased 2,830,850 shares under the share repurchase plan. As previously disclosed,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and shutdowns related to the Microchip shortage as well as other supply chain constraints), market trends, and other factors the Company deems appropriate (including the market price of the stock, anti-dilutive effect of repurchases, and available cash).</w:t>
      </w:r>
    </w:p>
    <w:p>
      <w:pPr>
        <w:spacing w:after="0" w:line="237"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As previously announced, the Company's Board of Directors recently authorized the repurchase of an additional 25,000,000 shares under the plan. After the Company repurchased 8,997,046 shares during the first nine months of 2021, the Company has 25.4 million shares remaining under the plan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8" w:name="page39"/>
    <w:bookmarkEnd w:id="38"/>
    <w:p>
      <w:pPr>
        <w:ind w:left="640"/>
        <w:spacing w:after="0"/>
        <w:rPr>
          <w:sz w:val="20"/>
          <w:szCs w:val="20"/>
          <w:color w:val="auto"/>
        </w:rPr>
      </w:pPr>
      <w:r>
        <w:rPr>
          <w:rFonts w:ascii="Arial" w:cs="Arial" w:eastAsia="Arial" w:hAnsi="Arial"/>
          <w:sz w:val="18"/>
          <w:szCs w:val="18"/>
          <w:color w:val="auto"/>
        </w:rPr>
        <w:t>The  following  is  a  summary  of  share  repurchase  activity  during  each  month  of  the  quarter  ended  September  30,  2021:</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2420" w:type="dxa"/>
            <w:vAlign w:val="bottom"/>
          </w:tcPr>
          <w:p>
            <w:pPr>
              <w:spacing w:after="0"/>
              <w:rPr>
                <w:sz w:val="16"/>
                <w:szCs w:val="16"/>
                <w:color w:val="auto"/>
              </w:rPr>
            </w:pPr>
          </w:p>
        </w:tc>
        <w:tc>
          <w:tcPr>
            <w:tcW w:w="5320" w:type="dxa"/>
            <w:vAlign w:val="bottom"/>
            <w:gridSpan w:val="3"/>
          </w:tcPr>
          <w:p>
            <w:pPr>
              <w:jc w:val="right"/>
              <w:ind w:right="1516"/>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4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8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1"/>
                <w:szCs w:val="11"/>
                <w:color w:val="auto"/>
              </w:rPr>
            </w:pPr>
          </w:p>
        </w:tc>
        <w:tc>
          <w:tcPr>
            <w:tcW w:w="2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Purchased As Part of a</w:t>
            </w: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20" w:type="dxa"/>
            <w:vAlign w:val="bottom"/>
            <w:vMerge w:val="continue"/>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73"/>
        </w:trPr>
        <w:tc>
          <w:tcPr>
            <w:tcW w:w="2420" w:type="dxa"/>
            <w:vAlign w:val="bottom"/>
            <w:tcBorders>
              <w:bottom w:val="single" w:sz="8" w:color="auto"/>
            </w:tcBorders>
            <w:vMerge w:val="continue"/>
          </w:tcPr>
          <w:p>
            <w:pPr>
              <w:spacing w:after="0"/>
              <w:rPr>
                <w:sz w:val="15"/>
                <w:szCs w:val="15"/>
                <w:color w:val="auto"/>
              </w:rPr>
            </w:pPr>
          </w:p>
        </w:tc>
        <w:tc>
          <w:tcPr>
            <w:tcW w:w="18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9,419,266</w:t>
            </w:r>
          </w:p>
        </w:tc>
        <w:tc>
          <w:tcPr>
            <w:tcW w:w="0" w:type="dxa"/>
            <w:vAlign w:val="bottom"/>
          </w:tcPr>
          <w:p>
            <w:pPr>
              <w:spacing w:after="0"/>
              <w:rPr>
                <w:sz w:val="1"/>
                <w:szCs w:val="1"/>
                <w:color w:val="auto"/>
              </w:rPr>
            </w:pPr>
          </w:p>
        </w:tc>
      </w:tr>
      <w:tr>
        <w:trPr>
          <w:trHeight w:val="225"/>
        </w:trPr>
        <w:tc>
          <w:tcPr>
            <w:tcW w:w="2420" w:type="dxa"/>
            <w:vAlign w:val="bottom"/>
          </w:tcPr>
          <w:p>
            <w:pPr>
              <w:ind w:left="20"/>
              <w:spacing w:after="0"/>
              <w:rPr>
                <w:sz w:val="20"/>
                <w:szCs w:val="20"/>
                <w:color w:val="auto"/>
              </w:rPr>
            </w:pPr>
            <w:r>
              <w:rPr>
                <w:rFonts w:ascii="Arial" w:cs="Arial" w:eastAsia="Arial" w:hAnsi="Arial"/>
                <w:sz w:val="18"/>
                <w:szCs w:val="18"/>
                <w:color w:val="auto"/>
              </w:rPr>
              <w:t>February 2021</w:t>
            </w:r>
          </w:p>
        </w:tc>
        <w:tc>
          <w:tcPr>
            <w:tcW w:w="1820" w:type="dxa"/>
            <w:vAlign w:val="bottom"/>
          </w:tcPr>
          <w:p>
            <w:pPr>
              <w:jc w:val="right"/>
              <w:spacing w:after="0"/>
              <w:rPr>
                <w:sz w:val="20"/>
                <w:szCs w:val="20"/>
                <w:color w:val="auto"/>
              </w:rPr>
            </w:pPr>
            <w:r>
              <w:rPr>
                <w:rFonts w:ascii="Arial" w:cs="Arial" w:eastAsia="Arial" w:hAnsi="Arial"/>
                <w:sz w:val="18"/>
                <w:szCs w:val="18"/>
                <w:color w:val="auto"/>
              </w:rPr>
              <w:t>1,005,009</w:t>
            </w:r>
          </w:p>
        </w:tc>
        <w:tc>
          <w:tcPr>
            <w:tcW w:w="1440" w:type="dxa"/>
            <w:vAlign w:val="bottom"/>
          </w:tcPr>
          <w:p>
            <w:pPr>
              <w:jc w:val="right"/>
              <w:spacing w:after="0"/>
              <w:rPr>
                <w:sz w:val="20"/>
                <w:szCs w:val="20"/>
                <w:color w:val="auto"/>
              </w:rPr>
            </w:pPr>
            <w:r>
              <w:rPr>
                <w:rFonts w:ascii="Arial" w:cs="Arial" w:eastAsia="Arial" w:hAnsi="Arial"/>
                <w:sz w:val="18"/>
                <w:szCs w:val="18"/>
                <w:color w:val="auto"/>
              </w:rPr>
              <w:t>35.27</w:t>
            </w:r>
          </w:p>
        </w:tc>
        <w:tc>
          <w:tcPr>
            <w:tcW w:w="2060" w:type="dxa"/>
            <w:vAlign w:val="bottom"/>
          </w:tcPr>
          <w:p>
            <w:pPr>
              <w:jc w:val="right"/>
              <w:spacing w:after="0"/>
              <w:rPr>
                <w:sz w:val="20"/>
                <w:szCs w:val="20"/>
                <w:color w:val="auto"/>
              </w:rPr>
            </w:pPr>
            <w:r>
              <w:rPr>
                <w:rFonts w:ascii="Arial" w:cs="Arial" w:eastAsia="Arial" w:hAnsi="Arial"/>
                <w:sz w:val="18"/>
                <w:szCs w:val="18"/>
                <w:color w:val="auto"/>
              </w:rPr>
              <w:t>1,005,009</w:t>
            </w:r>
          </w:p>
        </w:tc>
        <w:tc>
          <w:tcPr>
            <w:tcW w:w="2060" w:type="dxa"/>
            <w:vAlign w:val="bottom"/>
          </w:tcPr>
          <w:p>
            <w:pPr>
              <w:jc w:val="right"/>
              <w:spacing w:after="0"/>
              <w:rPr>
                <w:sz w:val="20"/>
                <w:szCs w:val="20"/>
                <w:color w:val="auto"/>
              </w:rPr>
            </w:pPr>
            <w:r>
              <w:rPr>
                <w:rFonts w:ascii="Arial" w:cs="Arial" w:eastAsia="Arial" w:hAnsi="Arial"/>
                <w:sz w:val="18"/>
                <w:szCs w:val="18"/>
                <w:color w:val="auto"/>
              </w:rPr>
              <w:t>8,414,257</w:t>
            </w:r>
          </w:p>
        </w:tc>
        <w:tc>
          <w:tcPr>
            <w:tcW w:w="0" w:type="dxa"/>
            <w:vAlign w:val="bottom"/>
          </w:tcPr>
          <w:p>
            <w:pPr>
              <w:spacing w:after="0"/>
              <w:rPr>
                <w:sz w:val="1"/>
                <w:szCs w:val="1"/>
                <w:color w:val="auto"/>
              </w:rPr>
            </w:pPr>
          </w:p>
        </w:tc>
      </w:tr>
      <w:tr>
        <w:trPr>
          <w:trHeight w:val="226"/>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1,750,056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1,750,056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6,664,201</w:t>
            </w:r>
          </w:p>
        </w:tc>
        <w:tc>
          <w:tcPr>
            <w:tcW w:w="0" w:type="dxa"/>
            <w:vAlign w:val="bottom"/>
          </w:tcPr>
          <w:p>
            <w:pPr>
              <w:spacing w:after="0"/>
              <w:rPr>
                <w:sz w:val="1"/>
                <w:szCs w:val="1"/>
                <w:color w:val="auto"/>
              </w:rPr>
            </w:pPr>
          </w:p>
        </w:tc>
      </w:tr>
      <w:tr>
        <w:trPr>
          <w:trHeight w:val="219"/>
        </w:trPr>
        <w:tc>
          <w:tcPr>
            <w:tcW w:w="2420" w:type="dxa"/>
            <w:vAlign w:val="bottom"/>
          </w:tcPr>
          <w:p>
            <w:pPr>
              <w:ind w:left="20"/>
              <w:spacing w:after="0"/>
              <w:rPr>
                <w:sz w:val="20"/>
                <w:szCs w:val="20"/>
                <w:color w:val="auto"/>
              </w:rPr>
            </w:pPr>
            <w:r>
              <w:rPr>
                <w:rFonts w:ascii="Arial" w:cs="Arial" w:eastAsia="Arial" w:hAnsi="Arial"/>
                <w:sz w:val="18"/>
                <w:szCs w:val="18"/>
                <w:color w:val="auto"/>
              </w:rPr>
              <w:t>1st Quarter 2021 Total</w:t>
            </w:r>
          </w:p>
        </w:tc>
        <w:tc>
          <w:tcPr>
            <w:tcW w:w="1820" w:type="dxa"/>
            <w:vAlign w:val="bottom"/>
          </w:tcPr>
          <w:p>
            <w:pPr>
              <w:jc w:val="right"/>
              <w:spacing w:after="0"/>
              <w:rPr>
                <w:sz w:val="20"/>
                <w:szCs w:val="20"/>
                <w:color w:val="auto"/>
              </w:rPr>
            </w:pPr>
            <w:r>
              <w:rPr>
                <w:rFonts w:ascii="Arial" w:cs="Arial" w:eastAsia="Arial" w:hAnsi="Arial"/>
                <w:sz w:val="18"/>
                <w:szCs w:val="18"/>
                <w:color w:val="auto"/>
              </w:rPr>
              <w:t>2,755,065</w:t>
            </w:r>
          </w:p>
        </w:tc>
        <w:tc>
          <w:tcPr>
            <w:tcW w:w="1440" w:type="dxa"/>
            <w:vAlign w:val="bottom"/>
          </w:tcPr>
          <w:p>
            <w:pPr>
              <w:jc w:val="right"/>
              <w:spacing w:after="0"/>
              <w:rPr>
                <w:sz w:val="20"/>
                <w:szCs w:val="20"/>
                <w:color w:val="auto"/>
              </w:rPr>
            </w:pPr>
            <w:r>
              <w:rPr>
                <w:rFonts w:ascii="Arial" w:cs="Arial" w:eastAsia="Arial" w:hAnsi="Arial"/>
                <w:sz w:val="18"/>
                <w:szCs w:val="18"/>
                <w:color w:val="auto"/>
              </w:rPr>
              <w:t>35.46</w:t>
            </w:r>
          </w:p>
        </w:tc>
        <w:tc>
          <w:tcPr>
            <w:tcW w:w="2060" w:type="dxa"/>
            <w:vAlign w:val="bottom"/>
          </w:tcPr>
          <w:p>
            <w:pPr>
              <w:jc w:val="right"/>
              <w:spacing w:after="0"/>
              <w:rPr>
                <w:sz w:val="20"/>
                <w:szCs w:val="20"/>
                <w:color w:val="auto"/>
              </w:rPr>
            </w:pPr>
            <w:r>
              <w:rPr>
                <w:rFonts w:ascii="Arial" w:cs="Arial" w:eastAsia="Arial" w:hAnsi="Arial"/>
                <w:sz w:val="18"/>
                <w:szCs w:val="18"/>
                <w:color w:val="auto"/>
              </w:rPr>
              <w:t>2,755,065</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20"/>
              <w:spacing w:after="0"/>
              <w:rPr>
                <w:sz w:val="20"/>
                <w:szCs w:val="20"/>
                <w:color w:val="auto"/>
              </w:rPr>
            </w:pPr>
            <w:r>
              <w:rPr>
                <w:rFonts w:ascii="Arial" w:cs="Arial" w:eastAsia="Arial" w:hAnsi="Arial"/>
                <w:sz w:val="18"/>
                <w:szCs w:val="18"/>
                <w:color w:val="auto"/>
              </w:rPr>
              <w:t>April 2021</w:t>
            </w:r>
          </w:p>
        </w:tc>
        <w:tc>
          <w:tcPr>
            <w:tcW w:w="1820" w:type="dxa"/>
            <w:vAlign w:val="bottom"/>
          </w:tcPr>
          <w:p>
            <w:pPr>
              <w:jc w:val="right"/>
              <w:spacing w:after="0"/>
              <w:rPr>
                <w:sz w:val="20"/>
                <w:szCs w:val="20"/>
                <w:color w:val="auto"/>
              </w:rPr>
            </w:pPr>
            <w:r>
              <w:rPr>
                <w:rFonts w:ascii="Arial" w:cs="Arial" w:eastAsia="Arial" w:hAnsi="Arial"/>
                <w:sz w:val="18"/>
                <w:szCs w:val="18"/>
                <w:color w:val="auto"/>
              </w:rPr>
              <w:t>250,000</w:t>
            </w:r>
          </w:p>
        </w:tc>
        <w:tc>
          <w:tcPr>
            <w:tcW w:w="1440" w:type="dxa"/>
            <w:vAlign w:val="bottom"/>
          </w:tcPr>
          <w:p>
            <w:pPr>
              <w:jc w:val="right"/>
              <w:spacing w:after="0"/>
              <w:rPr>
                <w:sz w:val="20"/>
                <w:szCs w:val="20"/>
                <w:color w:val="auto"/>
              </w:rPr>
            </w:pPr>
            <w:r>
              <w:rPr>
                <w:rFonts w:ascii="Arial" w:cs="Arial" w:eastAsia="Arial" w:hAnsi="Arial"/>
                <w:sz w:val="18"/>
                <w:szCs w:val="18"/>
                <w:color w:val="auto"/>
              </w:rPr>
              <w:t>35.66</w:t>
            </w:r>
          </w:p>
        </w:tc>
        <w:tc>
          <w:tcPr>
            <w:tcW w:w="2060" w:type="dxa"/>
            <w:vAlign w:val="bottom"/>
          </w:tcPr>
          <w:p>
            <w:pPr>
              <w:jc w:val="right"/>
              <w:spacing w:after="0"/>
              <w:rPr>
                <w:sz w:val="20"/>
                <w:szCs w:val="20"/>
                <w:color w:val="auto"/>
              </w:rPr>
            </w:pPr>
            <w:r>
              <w:rPr>
                <w:rFonts w:ascii="Arial" w:cs="Arial" w:eastAsia="Arial" w:hAnsi="Arial"/>
                <w:sz w:val="18"/>
                <w:szCs w:val="18"/>
                <w:color w:val="auto"/>
              </w:rPr>
              <w:t>250,000</w:t>
            </w:r>
          </w:p>
        </w:tc>
        <w:tc>
          <w:tcPr>
            <w:tcW w:w="2060" w:type="dxa"/>
            <w:vAlign w:val="bottom"/>
          </w:tcPr>
          <w:p>
            <w:pPr>
              <w:jc w:val="right"/>
              <w:spacing w:after="0"/>
              <w:rPr>
                <w:sz w:val="20"/>
                <w:szCs w:val="20"/>
                <w:color w:val="auto"/>
              </w:rPr>
            </w:pPr>
            <w:r>
              <w:rPr>
                <w:rFonts w:ascii="Arial" w:cs="Arial" w:eastAsia="Arial" w:hAnsi="Arial"/>
                <w:sz w:val="18"/>
                <w:szCs w:val="18"/>
                <w:color w:val="auto"/>
              </w:rPr>
              <w:t>6,414,201</w:t>
            </w:r>
          </w:p>
        </w:tc>
        <w:tc>
          <w:tcPr>
            <w:tcW w:w="0" w:type="dxa"/>
            <w:vAlign w:val="bottom"/>
          </w:tcPr>
          <w:p>
            <w:pPr>
              <w:spacing w:after="0"/>
              <w:rPr>
                <w:sz w:val="1"/>
                <w:szCs w:val="1"/>
                <w:color w:val="auto"/>
              </w:rPr>
            </w:pPr>
          </w:p>
        </w:tc>
      </w:tr>
      <w:tr>
        <w:trPr>
          <w:trHeight w:val="22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1,175,144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1,175,144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30,239,057</w:t>
            </w:r>
          </w:p>
        </w:tc>
        <w:tc>
          <w:tcPr>
            <w:tcW w:w="0" w:type="dxa"/>
            <w:vAlign w:val="bottom"/>
          </w:tcPr>
          <w:p>
            <w:pPr>
              <w:spacing w:after="0"/>
              <w:rPr>
                <w:sz w:val="1"/>
                <w:szCs w:val="1"/>
                <w:color w:val="auto"/>
              </w:rPr>
            </w:pPr>
          </w:p>
        </w:tc>
      </w:tr>
      <w:tr>
        <w:trPr>
          <w:trHeight w:val="225"/>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June 2021</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1,985,987</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33.23</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1,985,987</w:t>
            </w: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28,253,070</w:t>
            </w: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2nd Quarter 2021 Total</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3,411,131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3,411,131</w:t>
            </w: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27,963,070</w:t>
            </w:r>
          </w:p>
        </w:tc>
        <w:tc>
          <w:tcPr>
            <w:tcW w:w="0" w:type="dxa"/>
            <w:vAlign w:val="bottom"/>
          </w:tcPr>
          <w:p>
            <w:pPr>
              <w:spacing w:after="0"/>
              <w:rPr>
                <w:sz w:val="1"/>
                <w:szCs w:val="1"/>
                <w:color w:val="auto"/>
              </w:rPr>
            </w:pPr>
          </w:p>
        </w:tc>
      </w:tr>
      <w:tr>
        <w:trPr>
          <w:trHeight w:val="225"/>
        </w:trPr>
        <w:tc>
          <w:tcPr>
            <w:tcW w:w="2420" w:type="dxa"/>
            <w:vAlign w:val="bottom"/>
          </w:tcPr>
          <w:p>
            <w:pPr>
              <w:ind w:left="20"/>
              <w:spacing w:after="0"/>
              <w:rPr>
                <w:sz w:val="20"/>
                <w:szCs w:val="20"/>
                <w:color w:val="auto"/>
              </w:rPr>
            </w:pPr>
            <w:r>
              <w:rPr>
                <w:rFonts w:ascii="Arial" w:cs="Arial" w:eastAsia="Arial" w:hAnsi="Arial"/>
                <w:sz w:val="18"/>
                <w:szCs w:val="18"/>
                <w:color w:val="auto"/>
              </w:rPr>
              <w:t>August 2021</w:t>
            </w:r>
          </w:p>
        </w:tc>
        <w:tc>
          <w:tcPr>
            <w:tcW w:w="1820" w:type="dxa"/>
            <w:vAlign w:val="bottom"/>
          </w:tcPr>
          <w:p>
            <w:pPr>
              <w:jc w:val="right"/>
              <w:spacing w:after="0"/>
              <w:rPr>
                <w:sz w:val="20"/>
                <w:szCs w:val="20"/>
                <w:color w:val="auto"/>
              </w:rPr>
            </w:pPr>
            <w:r>
              <w:rPr>
                <w:rFonts w:ascii="Arial" w:cs="Arial" w:eastAsia="Arial" w:hAnsi="Arial"/>
                <w:sz w:val="18"/>
                <w:szCs w:val="18"/>
                <w:color w:val="auto"/>
              </w:rPr>
              <w:t>1,490,462</w:t>
            </w:r>
          </w:p>
        </w:tc>
        <w:tc>
          <w:tcPr>
            <w:tcW w:w="1440" w:type="dxa"/>
            <w:vAlign w:val="bottom"/>
          </w:tcPr>
          <w:p>
            <w:pPr>
              <w:jc w:val="right"/>
              <w:spacing w:after="0"/>
              <w:rPr>
                <w:sz w:val="20"/>
                <w:szCs w:val="20"/>
                <w:color w:val="auto"/>
              </w:rPr>
            </w:pPr>
            <w:r>
              <w:rPr>
                <w:rFonts w:ascii="Arial" w:cs="Arial" w:eastAsia="Arial" w:hAnsi="Arial"/>
                <w:sz w:val="18"/>
                <w:szCs w:val="18"/>
                <w:color w:val="auto"/>
              </w:rPr>
              <w:t>32.16</w:t>
            </w:r>
          </w:p>
        </w:tc>
        <w:tc>
          <w:tcPr>
            <w:tcW w:w="2060" w:type="dxa"/>
            <w:vAlign w:val="bottom"/>
          </w:tcPr>
          <w:p>
            <w:pPr>
              <w:jc w:val="right"/>
              <w:spacing w:after="0"/>
              <w:rPr>
                <w:sz w:val="20"/>
                <w:szCs w:val="20"/>
                <w:color w:val="auto"/>
              </w:rPr>
            </w:pPr>
            <w:r>
              <w:rPr>
                <w:rFonts w:ascii="Arial" w:cs="Arial" w:eastAsia="Arial" w:hAnsi="Arial"/>
                <w:sz w:val="18"/>
                <w:szCs w:val="18"/>
                <w:color w:val="auto"/>
              </w:rPr>
              <w:t>1,490,462</w:t>
            </w:r>
          </w:p>
        </w:tc>
        <w:tc>
          <w:tcPr>
            <w:tcW w:w="2060" w:type="dxa"/>
            <w:vAlign w:val="bottom"/>
          </w:tcPr>
          <w:p>
            <w:pPr>
              <w:jc w:val="right"/>
              <w:spacing w:after="0"/>
              <w:rPr>
                <w:sz w:val="20"/>
                <w:szCs w:val="20"/>
                <w:color w:val="auto"/>
              </w:rPr>
            </w:pPr>
            <w:r>
              <w:rPr>
                <w:rFonts w:ascii="Arial" w:cs="Arial" w:eastAsia="Arial" w:hAnsi="Arial"/>
                <w:sz w:val="18"/>
                <w:szCs w:val="18"/>
                <w:color w:val="auto"/>
              </w:rPr>
              <w:t>26,472,608</w:t>
            </w:r>
          </w:p>
        </w:tc>
        <w:tc>
          <w:tcPr>
            <w:tcW w:w="0" w:type="dxa"/>
            <w:vAlign w:val="bottom"/>
          </w:tcPr>
          <w:p>
            <w:pPr>
              <w:spacing w:after="0"/>
              <w:rPr>
                <w:sz w:val="1"/>
                <w:szCs w:val="1"/>
                <w:color w:val="auto"/>
              </w:rPr>
            </w:pPr>
          </w:p>
        </w:tc>
      </w:tr>
      <w:tr>
        <w:trPr>
          <w:trHeight w:val="226"/>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1,050,388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1,050,388</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25,422,220</w:t>
            </w:r>
          </w:p>
        </w:tc>
        <w:tc>
          <w:tcPr>
            <w:tcW w:w="0" w:type="dxa"/>
            <w:vAlign w:val="bottom"/>
          </w:tcPr>
          <w:p>
            <w:pPr>
              <w:spacing w:after="0"/>
              <w:rPr>
                <w:sz w:val="1"/>
                <w:szCs w:val="1"/>
                <w:color w:val="auto"/>
              </w:rPr>
            </w:pPr>
          </w:p>
        </w:tc>
      </w:tr>
      <w:tr>
        <w:trPr>
          <w:trHeight w:val="219"/>
        </w:trPr>
        <w:tc>
          <w:tcPr>
            <w:tcW w:w="2420" w:type="dxa"/>
            <w:vAlign w:val="bottom"/>
          </w:tcPr>
          <w:p>
            <w:pPr>
              <w:ind w:left="20"/>
              <w:spacing w:after="0"/>
              <w:rPr>
                <w:sz w:val="20"/>
                <w:szCs w:val="20"/>
                <w:color w:val="auto"/>
              </w:rPr>
            </w:pPr>
            <w:r>
              <w:rPr>
                <w:rFonts w:ascii="Arial" w:cs="Arial" w:eastAsia="Arial" w:hAnsi="Arial"/>
                <w:sz w:val="18"/>
                <w:szCs w:val="18"/>
                <w:color w:val="auto"/>
              </w:rPr>
              <w:t>3rd Quarter 2021 Total</w:t>
            </w:r>
          </w:p>
        </w:tc>
        <w:tc>
          <w:tcPr>
            <w:tcW w:w="1820" w:type="dxa"/>
            <w:vAlign w:val="bottom"/>
          </w:tcPr>
          <w:p>
            <w:pPr>
              <w:jc w:val="right"/>
              <w:spacing w:after="0"/>
              <w:rPr>
                <w:sz w:val="20"/>
                <w:szCs w:val="20"/>
                <w:color w:val="auto"/>
              </w:rPr>
            </w:pPr>
            <w:r>
              <w:rPr>
                <w:rFonts w:ascii="Arial" w:cs="Arial" w:eastAsia="Arial" w:hAnsi="Arial"/>
                <w:sz w:val="18"/>
                <w:szCs w:val="18"/>
                <w:color w:val="auto"/>
              </w:rPr>
              <w:t>2,830,850</w:t>
            </w:r>
          </w:p>
        </w:tc>
        <w:tc>
          <w:tcPr>
            <w:tcW w:w="1440" w:type="dxa"/>
            <w:vAlign w:val="bottom"/>
          </w:tcPr>
          <w:p>
            <w:pPr>
              <w:jc w:val="right"/>
              <w:spacing w:after="0"/>
              <w:rPr>
                <w:sz w:val="20"/>
                <w:szCs w:val="20"/>
                <w:color w:val="auto"/>
              </w:rPr>
            </w:pPr>
            <w:r>
              <w:rPr>
                <w:rFonts w:ascii="Arial" w:cs="Arial" w:eastAsia="Arial" w:hAnsi="Arial"/>
                <w:sz w:val="18"/>
                <w:szCs w:val="18"/>
                <w:color w:val="auto"/>
              </w:rPr>
              <w:t>32.00</w:t>
            </w:r>
          </w:p>
        </w:tc>
        <w:tc>
          <w:tcPr>
            <w:tcW w:w="2060" w:type="dxa"/>
            <w:vAlign w:val="bottom"/>
          </w:tcPr>
          <w:p>
            <w:pPr>
              <w:jc w:val="right"/>
              <w:spacing w:after="0"/>
              <w:rPr>
                <w:sz w:val="20"/>
                <w:szCs w:val="20"/>
                <w:color w:val="auto"/>
              </w:rPr>
            </w:pPr>
            <w:r>
              <w:rPr>
                <w:rFonts w:ascii="Arial" w:cs="Arial" w:eastAsia="Arial" w:hAnsi="Arial"/>
                <w:sz w:val="18"/>
                <w:szCs w:val="18"/>
                <w:color w:val="auto"/>
              </w:rPr>
              <w:t>2,830,850</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Total</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8,997,046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8,997,046</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25,422,220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640" w:right="640"/>
        <w:spacing w:after="0" w:line="252" w:lineRule="auto"/>
        <w:rPr>
          <w:sz w:val="20"/>
          <w:szCs w:val="20"/>
          <w:color w:val="auto"/>
        </w:rPr>
      </w:pPr>
      <w:r>
        <w:rPr>
          <w:rFonts w:ascii="Arial" w:cs="Arial" w:eastAsia="Arial" w:hAnsi="Arial"/>
          <w:sz w:val="18"/>
          <w:szCs w:val="18"/>
          <w:color w:val="auto"/>
        </w:rPr>
        <w:t>As of September 30, 2021 the Company has repurchased 146,577,508 shares at a total cost of $2,466,533,664 under its share repurchase plan or as otherwise previously disclosed.</w:t>
      </w:r>
    </w:p>
    <w:p>
      <w:pPr>
        <w:spacing w:after="0" w:line="200" w:lineRule="exact"/>
        <w:rPr>
          <w:sz w:val="20"/>
          <w:szCs w:val="20"/>
          <w:color w:val="auto"/>
        </w:rPr>
      </w:pPr>
    </w:p>
    <w:p>
      <w:pPr>
        <w:spacing w:after="0" w:line="2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68"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See Exhibit Index on Page </w:t>
      </w:r>
      <w:hyperlink w:anchor="page39">
        <w:r>
          <w:rPr>
            <w:rFonts w:ascii="Arial" w:cs="Arial" w:eastAsia="Arial" w:hAnsi="Arial"/>
            <w:sz w:val="18"/>
            <w:szCs w:val="18"/>
            <w:u w:val="single" w:color="auto"/>
            <w:color w:val="0000FF"/>
          </w:rPr>
          <w:t>40</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20"/>
              <w:spacing w:after="0"/>
              <w:rPr>
                <w:sz w:val="20"/>
                <w:szCs w:val="20"/>
                <w:color w:val="auto"/>
              </w:rPr>
            </w:pPr>
            <w:r>
              <w:rPr>
                <w:rFonts w:ascii="Arial" w:cs="Arial" w:eastAsia="Arial" w:hAnsi="Arial"/>
                <w:sz w:val="18"/>
                <w:szCs w:val="18"/>
                <w:color w:val="auto"/>
              </w:rPr>
              <w:t>November 5, 2021</w:t>
            </w:r>
          </w:p>
        </w:tc>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9"/>
        </w:trPr>
        <w:tc>
          <w:tcPr>
            <w:tcW w:w="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6"/>
        </w:trPr>
        <w:tc>
          <w:tcPr>
            <w:tcW w:w="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6"/>
        </w:trPr>
        <w:tc>
          <w:tcPr>
            <w:tcW w:w="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20"/>
              <w:spacing w:after="0"/>
              <w:rPr>
                <w:sz w:val="20"/>
                <w:szCs w:val="20"/>
                <w:color w:val="auto"/>
              </w:rPr>
            </w:pPr>
            <w:r>
              <w:rPr>
                <w:rFonts w:ascii="Arial" w:cs="Arial" w:eastAsia="Arial" w:hAnsi="Arial"/>
                <w:sz w:val="18"/>
                <w:szCs w:val="18"/>
                <w:color w:val="auto"/>
              </w:rPr>
              <w:t>November 5, 2021</w:t>
            </w:r>
          </w:p>
        </w:tc>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9"/>
        </w:trPr>
        <w:tc>
          <w:tcPr>
            <w:tcW w:w="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26"/>
        </w:trPr>
        <w:tc>
          <w:tcPr>
            <w:tcW w:w="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r>
        <w:trPr>
          <w:trHeight w:val="186"/>
        </w:trPr>
        <w:tc>
          <w:tcPr>
            <w:tcW w:w="5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720" w:type="dxa"/>
            <w:vAlign w:val="bottom"/>
          </w:tcPr>
          <w:p>
            <w:pPr>
              <w:ind w:left="20"/>
              <w:spacing w:after="0" w:line="187"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12"/>
        </w:trPr>
        <w:tc>
          <w:tcPr>
            <w:tcW w:w="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00" w:type="dxa"/>
            <w:vAlign w:val="bottom"/>
            <w:gridSpan w:val="3"/>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402"/>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00" w:type="dxa"/>
            <w:vAlign w:val="bottom"/>
            <w:gridSpan w:val="3"/>
          </w:tcPr>
          <w:p>
            <w:pPr>
              <w:ind w:left="3160"/>
              <w:spacing w:after="0"/>
              <w:rPr>
                <w:sz w:val="20"/>
                <w:szCs w:val="20"/>
                <w:color w:val="auto"/>
              </w:rPr>
            </w:pPr>
            <w:r>
              <w:rPr>
                <w:rFonts w:ascii="Arial" w:cs="Arial" w:eastAsia="Arial" w:hAnsi="Arial"/>
                <w:sz w:val="14"/>
                <w:szCs w:val="14"/>
                <w:b w:val="1"/>
                <w:bCs w:val="1"/>
                <w:color w:val="auto"/>
              </w:rPr>
              <w:t>Description</w:t>
            </w:r>
          </w:p>
        </w:tc>
      </w:tr>
      <w:tr>
        <w:trPr>
          <w:trHeight w:val="184"/>
        </w:trPr>
        <w:tc>
          <w:tcPr>
            <w:tcW w:w="1320" w:type="dxa"/>
            <w:vAlign w:val="bottom"/>
          </w:tcPr>
          <w:p>
            <w:pPr>
              <w:ind w:left="20"/>
              <w:spacing w:after="0" w:line="184" w:lineRule="exact"/>
              <w:rPr>
                <w:sz w:val="20"/>
                <w:szCs w:val="20"/>
                <w:color w:val="auto"/>
              </w:rPr>
            </w:pPr>
            <w:r>
              <w:rPr>
                <w:rFonts w:ascii="Arial" w:cs="Arial" w:eastAsia="Arial" w:hAnsi="Arial"/>
                <w:sz w:val="18"/>
                <w:szCs w:val="18"/>
                <w:color w:val="auto"/>
              </w:rPr>
              <w:t>31.1</w:t>
            </w:r>
          </w:p>
        </w:tc>
        <w:tc>
          <w:tcPr>
            <w:tcW w:w="9880" w:type="dxa"/>
            <w:vAlign w:val="bottom"/>
            <w:gridSpan w:val="5"/>
          </w:tcPr>
          <w:p>
            <w:pPr>
              <w:spacing w:after="0" w:line="184" w:lineRule="exact"/>
              <w:rPr>
                <w:rFonts w:ascii="Arial" w:cs="Arial" w:eastAsia="Arial" w:hAnsi="Arial"/>
                <w:sz w:val="18"/>
                <w:szCs w:val="18"/>
                <w:color w:val="0000FF"/>
              </w:rPr>
            </w:pPr>
            <w:hyperlink w:anchor="page41">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63"/>
        </w:trPr>
        <w:tc>
          <w:tcPr>
            <w:tcW w:w="132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rPr>
            </w:pPr>
            <w:hyperlink w:anchor="page41">
              <w:r>
                <w:rPr>
                  <w:rFonts w:ascii="Arial" w:cs="Arial" w:eastAsia="Arial" w:hAnsi="Arial"/>
                  <w:sz w:val="17"/>
                  <w:szCs w:val="17"/>
                  <w:color w:val="0000FF"/>
                </w:rPr>
                <w:t>(18 U.S.C. 1350).</w:t>
              </w:r>
            </w:hyperlink>
          </w:p>
        </w:tc>
        <w:tc>
          <w:tcPr>
            <w:tcW w:w="822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31.2</w:t>
            </w:r>
          </w:p>
        </w:tc>
        <w:tc>
          <w:tcPr>
            <w:tcW w:w="9880" w:type="dxa"/>
            <w:vAlign w:val="bottom"/>
            <w:gridSpan w:val="5"/>
            <w:shd w:val="clear" w:color="auto" w:fill="CCEEFF"/>
          </w:tcPr>
          <w:p>
            <w:pPr>
              <w:spacing w:after="0" w:line="196" w:lineRule="exact"/>
              <w:rPr>
                <w:rFonts w:ascii="Arial" w:cs="Arial" w:eastAsia="Arial" w:hAnsi="Arial"/>
                <w:sz w:val="18"/>
                <w:szCs w:val="18"/>
                <w:color w:val="0000FF"/>
                <w:w w:val="98"/>
              </w:rPr>
            </w:pPr>
            <w:hyperlink w:anchor="page42">
              <w:r>
                <w:rPr>
                  <w:rFonts w:ascii="Arial" w:cs="Arial" w:eastAsia="Arial" w:hAnsi="Arial"/>
                  <w:sz w:val="18"/>
                  <w:szCs w:val="18"/>
                  <w:color w:val="0000FF"/>
                  <w:w w:val="98"/>
                </w:rPr>
                <w:t>Certificate of the Chief Financial Officer of Gentex Corporation pursuant to Section 302 of the Sarbanes-Oxley Act of 2002 (18</w:t>
              </w:r>
            </w:hyperlink>
          </w:p>
        </w:tc>
      </w:tr>
      <w:tr>
        <w:trPr>
          <w:trHeight w:val="153"/>
        </w:trPr>
        <w:tc>
          <w:tcPr>
            <w:tcW w:w="13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4"/>
            <w:shd w:val="clear" w:color="auto" w:fill="CCEEFF"/>
          </w:tcPr>
          <w:p>
            <w:pPr>
              <w:spacing w:after="0" w:line="153" w:lineRule="exact"/>
              <w:rPr>
                <w:rFonts w:ascii="Arial" w:cs="Arial" w:eastAsia="Arial" w:hAnsi="Arial"/>
                <w:sz w:val="17"/>
                <w:szCs w:val="17"/>
                <w:color w:val="0000FF"/>
              </w:rPr>
            </w:pPr>
            <w:hyperlink w:anchor="page42">
              <w:r>
                <w:rPr>
                  <w:rFonts w:ascii="Arial" w:cs="Arial" w:eastAsia="Arial" w:hAnsi="Arial"/>
                  <w:sz w:val="17"/>
                  <w:szCs w:val="17"/>
                  <w:color w:val="0000FF"/>
                </w:rPr>
                <w:t>U.S.C. 1350).</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40"/>
        </w:trPr>
        <w:tc>
          <w:tcPr>
            <w:tcW w:w="1320" w:type="dxa"/>
            <w:vAlign w:val="bottom"/>
            <w:shd w:val="clear" w:color="auto" w:fill="CCEE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12" w:lineRule="exact"/>
        <w:rPr>
          <w:sz w:val="20"/>
          <w:szCs w:val="20"/>
          <w:color w:val="auto"/>
        </w:rPr>
      </w:pPr>
    </w:p>
    <w:p>
      <w:pPr>
        <w:ind w:left="1320" w:right="440" w:hanging="1296"/>
        <w:spacing w:after="0" w:line="223" w:lineRule="auto"/>
        <w:tabs>
          <w:tab w:leader="none" w:pos="1320" w:val="left"/>
        </w:tabs>
        <w:numPr>
          <w:ilvl w:val="0"/>
          <w:numId w:val="22"/>
        </w:numPr>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Sarbanes-Oxley Act of 2002 (18 U.S.C. 1350).</w:t>
        </w:r>
      </w:hyperlink>
    </w:p>
    <w:tbl>
      <w:tblPr>
        <w:tblLayout w:type="fixed"/>
        <w:tblInd w:w="0" w:type="dxa"/>
        <w:tblCellMar>
          <w:top w:w="0" w:type="dxa"/>
          <w:left w:w="0" w:type="dxa"/>
          <w:bottom w:w="0" w:type="dxa"/>
          <w:right w:w="0" w:type="dxa"/>
        </w:tblCellMar>
      </w:tblPr>
      <w:tr>
        <w:trPr>
          <w:trHeight w:val="187"/>
        </w:trPr>
        <w:tc>
          <w:tcPr>
            <w:tcW w:w="102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101.INS</w:t>
            </w:r>
          </w:p>
        </w:tc>
        <w:tc>
          <w:tcPr>
            <w:tcW w:w="10180" w:type="dxa"/>
            <w:vAlign w:val="bottom"/>
            <w:shd w:val="clear" w:color="auto" w:fill="CCEEFF"/>
          </w:tcPr>
          <w:p>
            <w:pPr>
              <w:ind w:left="300"/>
              <w:spacing w:after="0" w:line="187" w:lineRule="exact"/>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w:t>
            </w:r>
          </w:p>
        </w:tc>
      </w:tr>
      <w:tr>
        <w:trPr>
          <w:trHeight w:val="214"/>
        </w:trPr>
        <w:tc>
          <w:tcPr>
            <w:tcW w:w="1020" w:type="dxa"/>
            <w:vAlign w:val="bottom"/>
            <w:shd w:val="clear" w:color="auto" w:fill="CCEEFF"/>
          </w:tcPr>
          <w:p>
            <w:pPr>
              <w:spacing w:after="0"/>
              <w:rPr>
                <w:sz w:val="18"/>
                <w:szCs w:val="18"/>
                <w:color w:val="auto"/>
              </w:rPr>
            </w:pP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are embedded within the Inline XBRL document</w:t>
            </w:r>
          </w:p>
        </w:tc>
      </w:tr>
      <w:tr>
        <w:trPr>
          <w:trHeight w:val="225"/>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0180" w:type="dxa"/>
            <w:vAlign w:val="bottom"/>
          </w:tcPr>
          <w:p>
            <w:pPr>
              <w:ind w:left="300"/>
              <w:spacing w:after="0"/>
              <w:rPr>
                <w:sz w:val="20"/>
                <w:szCs w:val="20"/>
                <w:color w:val="auto"/>
              </w:rPr>
            </w:pPr>
            <w:r>
              <w:rPr>
                <w:rFonts w:ascii="Arial" w:cs="Arial" w:eastAsia="Arial" w:hAnsi="Arial"/>
                <w:sz w:val="18"/>
                <w:szCs w:val="18"/>
                <w:color w:val="auto"/>
              </w:rPr>
              <w:t>Inline XBRL Taxonomy Extension Schema</w:t>
            </w:r>
          </w:p>
        </w:tc>
      </w:tr>
      <w:tr>
        <w:trPr>
          <w:trHeight w:val="227"/>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Calculation Linkbase</w:t>
            </w:r>
          </w:p>
        </w:tc>
      </w:tr>
      <w:tr>
        <w:trPr>
          <w:trHeight w:val="225"/>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018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w:t>
            </w:r>
          </w:p>
        </w:tc>
      </w:tr>
      <w:tr>
        <w:trPr>
          <w:trHeight w:val="227"/>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Label Linkbase</w:t>
            </w:r>
          </w:p>
        </w:tc>
      </w:tr>
      <w:tr>
        <w:trPr>
          <w:trHeight w:val="225"/>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018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6"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91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31.1</w:t>
      </w:r>
    </w:p>
    <w:p>
      <w:pPr>
        <w:spacing w:after="0" w:line="24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45" w:lineRule="exact"/>
        <w:rPr>
          <w:sz w:val="20"/>
          <w:szCs w:val="20"/>
          <w:color w:val="auto"/>
        </w:rPr>
      </w:pPr>
    </w:p>
    <w:p>
      <w:pPr>
        <w:ind w:left="200" w:hanging="194"/>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45" w:lineRule="exact"/>
        <w:rPr>
          <w:rFonts w:ascii="Arial" w:cs="Arial" w:eastAsia="Arial" w:hAnsi="Arial"/>
          <w:sz w:val="18"/>
          <w:szCs w:val="18"/>
          <w:color w:val="auto"/>
        </w:rPr>
      </w:pPr>
    </w:p>
    <w:p>
      <w:pPr>
        <w:jc w:val="both"/>
        <w:ind w:left="240" w:hanging="234"/>
        <w:spacing w:after="0" w:line="249" w:lineRule="auto"/>
        <w:tabs>
          <w:tab w:leader="none" w:pos="2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33" w:lineRule="exact"/>
        <w:rPr>
          <w:rFonts w:ascii="Arial" w:cs="Arial" w:eastAsia="Arial" w:hAnsi="Arial"/>
          <w:sz w:val="18"/>
          <w:szCs w:val="18"/>
          <w:color w:val="auto"/>
        </w:rPr>
      </w:pPr>
    </w:p>
    <w:p>
      <w:pPr>
        <w:jc w:val="both"/>
        <w:ind w:left="240" w:hanging="234"/>
        <w:spacing w:after="0" w:line="249" w:lineRule="auto"/>
        <w:tabs>
          <w:tab w:leader="none" w:pos="2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33" w:lineRule="exact"/>
        <w:rPr>
          <w:rFonts w:ascii="Arial" w:cs="Arial" w:eastAsia="Arial" w:hAnsi="Arial"/>
          <w:sz w:val="18"/>
          <w:szCs w:val="18"/>
          <w:color w:val="auto"/>
        </w:rPr>
      </w:pPr>
    </w:p>
    <w:p>
      <w:pPr>
        <w:jc w:val="both"/>
        <w:ind w:left="240" w:hanging="234"/>
        <w:spacing w:after="0" w:line="249" w:lineRule="auto"/>
        <w:tabs>
          <w:tab w:leader="none" w:pos="2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4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09"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5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3" w:lineRule="exact"/>
        <w:rPr>
          <w:rFonts w:ascii="Arial" w:cs="Arial" w:eastAsia="Arial" w:hAnsi="Arial"/>
          <w:sz w:val="18"/>
          <w:szCs w:val="18"/>
          <w:color w:val="auto"/>
        </w:rPr>
      </w:pPr>
    </w:p>
    <w:p>
      <w:pPr>
        <w:ind w:left="240" w:hanging="234"/>
        <w:spacing w:after="0" w:line="281" w:lineRule="auto"/>
        <w:tabs>
          <w:tab w:leader="none" w:pos="20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Arial" w:cs="Arial" w:eastAsia="Arial" w:hAnsi="Arial"/>
          <w:sz w:val="17"/>
          <w:szCs w:val="17"/>
          <w:color w:val="auto"/>
        </w:rPr>
      </w:pPr>
    </w:p>
    <w:p>
      <w:pPr>
        <w:ind w:left="640" w:hanging="226"/>
        <w:spacing w:after="0" w:line="252" w:lineRule="auto"/>
        <w:tabs>
          <w:tab w:leader="none" w:pos="6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0" w:lineRule="exact"/>
        <w:rPr>
          <w:rFonts w:ascii="Arial" w:cs="Arial" w:eastAsia="Arial" w:hAnsi="Arial"/>
          <w:sz w:val="18"/>
          <w:szCs w:val="18"/>
          <w:color w:val="auto"/>
        </w:rPr>
      </w:pPr>
    </w:p>
    <w:p>
      <w:pPr>
        <w:ind w:left="640" w:hanging="226"/>
        <w:spacing w:after="0" w:line="252" w:lineRule="auto"/>
        <w:tabs>
          <w:tab w:leader="none" w:pos="61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31.2</w:t>
      </w:r>
    </w:p>
    <w:p>
      <w:pPr>
        <w:spacing w:after="0" w:line="24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45" w:lineRule="exact"/>
        <w:rPr>
          <w:sz w:val="20"/>
          <w:szCs w:val="20"/>
          <w:color w:val="auto"/>
        </w:rPr>
      </w:pPr>
    </w:p>
    <w:p>
      <w:pPr>
        <w:ind w:left="200" w:hanging="194"/>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45" w:lineRule="exact"/>
        <w:rPr>
          <w:rFonts w:ascii="Arial" w:cs="Arial" w:eastAsia="Arial" w:hAnsi="Arial"/>
          <w:sz w:val="18"/>
          <w:szCs w:val="18"/>
          <w:color w:val="auto"/>
        </w:rPr>
      </w:pPr>
    </w:p>
    <w:p>
      <w:pPr>
        <w:jc w:val="both"/>
        <w:ind w:left="240" w:hanging="234"/>
        <w:spacing w:after="0" w:line="249"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33" w:lineRule="exact"/>
        <w:rPr>
          <w:rFonts w:ascii="Arial" w:cs="Arial" w:eastAsia="Arial" w:hAnsi="Arial"/>
          <w:sz w:val="18"/>
          <w:szCs w:val="18"/>
          <w:color w:val="auto"/>
        </w:rPr>
      </w:pPr>
    </w:p>
    <w:p>
      <w:pPr>
        <w:jc w:val="both"/>
        <w:ind w:left="240" w:hanging="234"/>
        <w:spacing w:after="0" w:line="249"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33" w:lineRule="exact"/>
        <w:rPr>
          <w:rFonts w:ascii="Arial" w:cs="Arial" w:eastAsia="Arial" w:hAnsi="Arial"/>
          <w:sz w:val="18"/>
          <w:szCs w:val="18"/>
          <w:color w:val="auto"/>
        </w:rPr>
      </w:pPr>
    </w:p>
    <w:p>
      <w:pPr>
        <w:jc w:val="both"/>
        <w:ind w:left="240" w:hanging="234"/>
        <w:spacing w:after="0" w:line="249" w:lineRule="auto"/>
        <w:tabs>
          <w:tab w:leader="none" w:pos="2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4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09"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33" w:lineRule="exact"/>
        <w:rPr>
          <w:rFonts w:ascii="Arial" w:cs="Arial" w:eastAsia="Arial" w:hAnsi="Arial"/>
          <w:sz w:val="18"/>
          <w:szCs w:val="18"/>
          <w:color w:val="auto"/>
        </w:rPr>
      </w:pPr>
    </w:p>
    <w:p>
      <w:pPr>
        <w:jc w:val="both"/>
        <w:ind w:left="640" w:hanging="226"/>
        <w:spacing w:after="0" w:line="249" w:lineRule="auto"/>
        <w:tabs>
          <w:tab w:leader="none" w:pos="65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3" w:lineRule="exact"/>
        <w:rPr>
          <w:rFonts w:ascii="Arial" w:cs="Arial" w:eastAsia="Arial" w:hAnsi="Arial"/>
          <w:sz w:val="18"/>
          <w:szCs w:val="18"/>
          <w:color w:val="auto"/>
        </w:rPr>
      </w:pPr>
    </w:p>
    <w:p>
      <w:pPr>
        <w:ind w:left="240" w:hanging="234"/>
        <w:spacing w:after="0" w:line="281" w:lineRule="auto"/>
        <w:tabs>
          <w:tab w:leader="none" w:pos="20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Arial" w:cs="Arial" w:eastAsia="Arial" w:hAnsi="Arial"/>
          <w:sz w:val="17"/>
          <w:szCs w:val="17"/>
          <w:color w:val="auto"/>
        </w:rPr>
      </w:pPr>
    </w:p>
    <w:p>
      <w:pPr>
        <w:ind w:left="640" w:hanging="226"/>
        <w:spacing w:after="0" w:line="252" w:lineRule="auto"/>
        <w:tabs>
          <w:tab w:leader="none" w:pos="6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0" w:lineRule="exact"/>
        <w:rPr>
          <w:rFonts w:ascii="Arial" w:cs="Arial" w:eastAsia="Arial" w:hAnsi="Arial"/>
          <w:sz w:val="18"/>
          <w:szCs w:val="18"/>
          <w:color w:val="auto"/>
        </w:rPr>
      </w:pPr>
    </w:p>
    <w:p>
      <w:pPr>
        <w:ind w:left="640" w:hanging="226"/>
        <w:spacing w:after="0" w:line="252" w:lineRule="auto"/>
        <w:tabs>
          <w:tab w:leader="none" w:pos="6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2021</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1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30" w:lineRule="exact"/>
        <w:rPr>
          <w:sz w:val="20"/>
          <w:szCs w:val="20"/>
          <w:color w:val="auto"/>
        </w:rPr>
      </w:pPr>
    </w:p>
    <w:p>
      <w:pPr>
        <w:ind w:left="240" w:hanging="234"/>
        <w:spacing w:after="0" w:line="252" w:lineRule="auto"/>
        <w:tabs>
          <w:tab w:leader="none" w:pos="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2021, which this statement accompanies, fully complies with the requirements of Section 13(a) or 15(d) of the Securities Exchange Act of 1934; and</w:t>
      </w:r>
    </w:p>
    <w:p>
      <w:pPr>
        <w:spacing w:after="0" w:line="230" w:lineRule="exact"/>
        <w:rPr>
          <w:rFonts w:ascii="Arial" w:cs="Arial" w:eastAsia="Arial" w:hAnsi="Arial"/>
          <w:sz w:val="18"/>
          <w:szCs w:val="18"/>
          <w:color w:val="auto"/>
        </w:rPr>
      </w:pPr>
    </w:p>
    <w:p>
      <w:pPr>
        <w:ind w:left="240" w:hanging="234"/>
        <w:spacing w:after="0" w:line="252" w:lineRule="auto"/>
        <w:tabs>
          <w:tab w:leader="none" w:pos="2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September 30, 2021,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2021</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decimal"/>
      <w:start w:val="6"/>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7"/>
    </w:lvl>
  </w:abstractNum>
  <w:abstractNum w:abstractNumId="12">
    <w:nsid w:val="7C83E458"/>
    <w:multiLevelType w:val="hybridMultilevel"/>
    <w:lvl w:ilvl="0">
      <w:lvlJc w:val="left"/>
      <w:lvlText w:val="(%1)"/>
      <w:numFmt w:val="decimal"/>
      <w:start w:val="8"/>
    </w:lvl>
  </w:abstractNum>
  <w:abstractNum w:abstractNumId="13">
    <w:nsid w:val="257130A3"/>
    <w:multiLevelType w:val="hybridMultilevel"/>
    <w:lvl w:ilvl="0">
      <w:lvlJc w:val="left"/>
      <w:lvlText w:val="(%1)"/>
      <w:numFmt w:val="decimal"/>
      <w:start w:val="9"/>
    </w:lvl>
  </w:abstractNum>
  <w:abstractNum w:abstractNumId="14">
    <w:nsid w:val="62BBD95A"/>
    <w:multiLevelType w:val="hybridMultilevel"/>
    <w:lvl w:ilvl="0">
      <w:lvlJc w:val="left"/>
      <w:lvlText w:val="(%1)"/>
      <w:numFmt w:val="decimal"/>
      <w:start w:val="10"/>
    </w:lvl>
  </w:abstractNum>
  <w:abstractNum w:abstractNumId="15">
    <w:nsid w:val="436C6125"/>
    <w:multiLevelType w:val="hybridMultilevel"/>
    <w:lvl w:ilvl="0">
      <w:lvlJc w:val="left"/>
      <w:lvlText w:val="(%1)"/>
      <w:numFmt w:val="decimal"/>
      <w:start w:val="11"/>
    </w:lvl>
  </w:abstractNum>
  <w:abstractNum w:abstractNumId="16">
    <w:nsid w:val="628C895D"/>
    <w:multiLevelType w:val="hybridMultilevel"/>
    <w:lvl w:ilvl="0">
      <w:lvlJc w:val="left"/>
      <w:lvlText w:val="(%1)"/>
      <w:numFmt w:val="decimal"/>
      <w:start w:val="13"/>
    </w:lvl>
  </w:abstractNum>
  <w:abstractNum w:abstractNumId="17">
    <w:nsid w:val="333AB105"/>
    <w:multiLevelType w:val="hybridMultilevel"/>
    <w:lvl w:ilvl="0">
      <w:lvlJc w:val="left"/>
      <w:lvlText w:val="(%1)"/>
      <w:numFmt w:val="decimal"/>
      <w:start w:val="14"/>
    </w:lvl>
  </w:abstractNum>
  <w:abstractNum w:abstractNumId="18">
    <w:nsid w:val="721DA317"/>
    <w:multiLevelType w:val="hybridMultilevel"/>
    <w:lvl w:ilvl="0">
      <w:lvlJc w:val="left"/>
      <w:lvlText w:val="(%1)"/>
      <w:numFmt w:val="decimal"/>
      <w:start w:val="15"/>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Letter"/>
      <w:start w:val="3"/>
    </w:lvl>
  </w:abstractNum>
  <w:abstractNum w:abstractNumId="21">
    <w:nsid w:val="6763845E"/>
    <w:multiLevelType w:val="hybridMultilevel"/>
    <w:lvl w:ilvl="0">
      <w:lvlJc w:val="left"/>
      <w:lvlText w:val="%1"/>
      <w:numFmt w:val="decimal"/>
      <w:start w:val="32"/>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2021-11-05T08:19:34Z</dcterms:created>
  <dcterms:modified xsi:type="dcterms:W3CDTF">2021-11-05T08:19:34Z</dcterms:modified>
</cp:coreProperties>
</file>