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XBRL</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2021 or</w:t>
      </w:r>
    </w:p>
    <w:p>
      <w:pPr>
        <w:spacing w:after="0" w:line="26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54"/>
        </w:trPr>
        <w:tc>
          <w:tcPr>
            <w:tcW w:w="2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9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42"/>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1"/>
                <w:szCs w:val="21"/>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53"/>
        </w:trPr>
        <w:tc>
          <w:tcPr>
            <w:tcW w:w="4280" w:type="dxa"/>
            <w:vAlign w:val="bottom"/>
            <w:gridSpan w:val="6"/>
          </w:tcPr>
          <w:p>
            <w:pPr>
              <w:jc w:val="center"/>
              <w:ind w:left="1244"/>
              <w:spacing w:after="0" w:line="153"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3"/>
                <w:szCs w:val="13"/>
                <w:color w:val="auto"/>
              </w:rPr>
            </w:pPr>
          </w:p>
        </w:tc>
        <w:tc>
          <w:tcPr>
            <w:tcW w:w="4780" w:type="dxa"/>
            <w:vAlign w:val="bottom"/>
          </w:tcPr>
          <w:p>
            <w:pPr>
              <w:jc w:val="center"/>
              <w:ind w:right="783"/>
              <w:spacing w:after="0" w:line="153"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4"/>
                <w:szCs w:val="14"/>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3"/>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5"/>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23"/>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540" w:type="dxa"/>
            <w:vAlign w:val="bottom"/>
            <w:gridSpan w:val="3"/>
          </w:tcPr>
          <w:p>
            <w:pPr>
              <w:jc w:val="center"/>
              <w:ind w:right="3643"/>
              <w:spacing w:after="0" w:line="159"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7"/>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167" w:lineRule="exact"/>
        <w:rPr>
          <w:sz w:val="24"/>
          <w:szCs w:val="24"/>
          <w:color w:val="auto"/>
        </w:rPr>
      </w:pPr>
    </w:p>
    <w:p>
      <w:pPr>
        <w:ind w:right="12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66" w:lineRule="exact"/>
        <w:rPr>
          <w:sz w:val="24"/>
          <w:szCs w:val="24"/>
          <w:color w:val="auto"/>
        </w:rPr>
      </w:pPr>
    </w:p>
    <w:p>
      <w:pPr>
        <w:ind w:right="5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36" w:lineRule="exact"/>
        <w:rPr>
          <w:sz w:val="24"/>
          <w:szCs w:val="24"/>
          <w:color w:val="auto"/>
        </w:rPr>
      </w:pPr>
    </w:p>
    <w:p>
      <w:pPr>
        <w:ind w:right="2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62"/>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3"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4"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63" w:lineRule="exact"/>
        <w:rPr>
          <w:sz w:val="24"/>
          <w:szCs w:val="24"/>
          <w:color w:val="auto"/>
        </w:rPr>
      </w:pPr>
    </w:p>
    <w:p>
      <w:pPr>
        <w:ind w:right="56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o No: o</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23, 2021</w:t>
            </w:r>
          </w:p>
        </w:tc>
      </w:tr>
      <w:tr>
        <w:trPr>
          <w:trHeight w:val="184"/>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241,537,423</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040" w:type="dxa"/>
            <w:vAlign w:val="bottom"/>
            <w:gridSpan w:val="15"/>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3"/>
        </w:trPr>
        <w:tc>
          <w:tcPr>
            <w:tcW w:w="1000" w:type="dxa"/>
            <w:vAlign w:val="bottom"/>
          </w:tcPr>
          <w:p>
            <w:pPr>
              <w:spacing w:after="0" w:line="193" w:lineRule="exact"/>
              <w:rPr>
                <w:sz w:val="20"/>
                <w:szCs w:val="20"/>
                <w:color w:val="auto"/>
              </w:rPr>
            </w:pPr>
            <w:r>
              <w:rPr>
                <w:rFonts w:ascii="Arial" w:cs="Arial" w:eastAsia="Arial" w:hAnsi="Arial"/>
                <w:sz w:val="18"/>
                <w:szCs w:val="18"/>
                <w:color w:val="auto"/>
              </w:rPr>
              <w:t>Item 1.</w:t>
            </w:r>
          </w:p>
        </w:tc>
        <w:tc>
          <w:tcPr>
            <w:tcW w:w="8040" w:type="dxa"/>
            <w:vAlign w:val="bottom"/>
            <w:gridSpan w:val="14"/>
          </w:tcPr>
          <w:p>
            <w:pPr>
              <w:spacing w:after="0" w:line="193"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Financial Statements</w:t>
              </w:r>
            </w:hyperlink>
          </w:p>
        </w:tc>
        <w:tc>
          <w:tcPr>
            <w:tcW w:w="1260" w:type="dxa"/>
            <w:vAlign w:val="bottom"/>
            <w:gridSpan w:val="2"/>
          </w:tcPr>
          <w:p>
            <w:pPr>
              <w:jc w:val="center"/>
              <w:ind w:left="1068"/>
              <w:spacing w:after="0" w:line="19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4200" w:type="dxa"/>
            <w:vAlign w:val="bottom"/>
            <w:gridSpan w:val="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Unaudited Condensed Consolidated Balance Sheets</w:t>
              </w:r>
            </w:hyperlink>
          </w:p>
        </w:tc>
        <w:tc>
          <w:tcPr>
            <w:tcW w:w="3840" w:type="dxa"/>
            <w:vAlign w:val="bottom"/>
            <w:gridSpan w:val="8"/>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260" w:type="dxa"/>
            <w:vAlign w:val="bottom"/>
            <w:gridSpan w:val="2"/>
          </w:tcPr>
          <w:p>
            <w:pPr>
              <w:jc w:val="center"/>
              <w:ind w:left="1068"/>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Unaudited Condensed Consolidated Statements of Comprehensive Income</w:t>
              </w:r>
            </w:hyperlink>
          </w:p>
        </w:tc>
        <w:tc>
          <w:tcPr>
            <w:tcW w:w="20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Unaudited Condensed Consolidated Statements of Cash Flows</w:t>
              </w:r>
            </w:hyperlink>
          </w:p>
        </w:tc>
        <w:tc>
          <w:tcPr>
            <w:tcW w:w="960" w:type="dxa"/>
            <w:vAlign w:val="bottom"/>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5340" w:type="dxa"/>
            <w:vAlign w:val="bottom"/>
            <w:gridSpan w:val="11"/>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Unaudited Condensed Consolidated Financial Statements</w:t>
              </w:r>
            </w:hyperlink>
          </w:p>
        </w:tc>
        <w:tc>
          <w:tcPr>
            <w:tcW w:w="270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480" w:type="dxa"/>
            <w:vAlign w:val="bottom"/>
            <w:gridSpan w:val="3"/>
          </w:tcPr>
          <w:p>
            <w:pPr>
              <w:jc w:val="center"/>
              <w:ind w:left="868"/>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22</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Quantitative and Qualitative Disclosures About Market Risk</w:t>
              </w:r>
            </w:hyperlink>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33</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3340" w:type="dxa"/>
            <w:vAlign w:val="bottom"/>
            <w:gridSpan w:val="6"/>
          </w:tcPr>
          <w:p>
            <w:pPr>
              <w:spacing w:after="0"/>
              <w:rPr>
                <w:sz w:val="18"/>
                <w:szCs w:val="18"/>
                <w:color w:val="auto"/>
              </w:rPr>
            </w:pPr>
          </w:p>
        </w:tc>
        <w:tc>
          <w:tcPr>
            <w:tcW w:w="1480" w:type="dxa"/>
            <w:vAlign w:val="bottom"/>
            <w:gridSpan w:val="3"/>
          </w:tcPr>
          <w:p>
            <w:pPr>
              <w:jc w:val="center"/>
              <w:ind w:left="868"/>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34</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7"/>
        </w:trPr>
        <w:tc>
          <w:tcPr>
            <w:tcW w:w="9040" w:type="dxa"/>
            <w:vAlign w:val="bottom"/>
            <w:gridSpan w:val="15"/>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3"/>
        </w:trPr>
        <w:tc>
          <w:tcPr>
            <w:tcW w:w="1000" w:type="dxa"/>
            <w:vAlign w:val="bottom"/>
          </w:tcPr>
          <w:p>
            <w:pPr>
              <w:spacing w:after="0" w:line="193"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3" w:lineRule="exact"/>
              <w:rPr>
                <w:rFonts w:ascii="Arial" w:cs="Arial" w:eastAsia="Arial" w:hAnsi="Arial"/>
                <w:sz w:val="18"/>
                <w:szCs w:val="18"/>
                <w:color w:val="0000FF"/>
                <w:w w:val="95"/>
              </w:rPr>
            </w:pPr>
            <w:hyperlink w:anchor="page36">
              <w:r>
                <w:rPr>
                  <w:rFonts w:ascii="Arial" w:cs="Arial" w:eastAsia="Arial" w:hAnsi="Arial"/>
                  <w:sz w:val="18"/>
                  <w:szCs w:val="18"/>
                  <w:color w:val="0000FF"/>
                  <w:w w:val="95"/>
                </w:rPr>
                <w:t>Risk Factors</w:t>
              </w:r>
            </w:hyperlink>
          </w:p>
        </w:tc>
        <w:tc>
          <w:tcPr>
            <w:tcW w:w="7040" w:type="dxa"/>
            <w:vAlign w:val="bottom"/>
            <w:gridSpan w:val="11"/>
          </w:tcPr>
          <w:p>
            <w:pPr>
              <w:spacing w:after="0"/>
              <w:rPr>
                <w:sz w:val="16"/>
                <w:szCs w:val="16"/>
                <w:color w:val="auto"/>
              </w:rPr>
            </w:pPr>
          </w:p>
        </w:tc>
        <w:tc>
          <w:tcPr>
            <w:tcW w:w="1480" w:type="dxa"/>
            <w:vAlign w:val="bottom"/>
            <w:gridSpan w:val="3"/>
          </w:tcPr>
          <w:p>
            <w:pPr>
              <w:jc w:val="center"/>
              <w:ind w:left="868"/>
              <w:spacing w:after="0" w:line="193"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480" w:type="dxa"/>
            <w:vAlign w:val="bottom"/>
            <w:gridSpan w:val="3"/>
          </w:tcPr>
          <w:p>
            <w:pPr>
              <w:jc w:val="center"/>
              <w:ind w:left="868"/>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3200" w:type="dxa"/>
            <w:vAlign w:val="bottom"/>
            <w:gridSpan w:val="5"/>
          </w:tcPr>
          <w:p>
            <w:pPr>
              <w:spacing w:after="0"/>
              <w:rPr>
                <w:sz w:val="18"/>
                <w:szCs w:val="18"/>
                <w:color w:val="auto"/>
              </w:rPr>
            </w:pPr>
          </w:p>
        </w:tc>
        <w:tc>
          <w:tcPr>
            <w:tcW w:w="1480" w:type="dxa"/>
            <w:vAlign w:val="bottom"/>
            <w:gridSpan w:val="3"/>
          </w:tcPr>
          <w:p>
            <w:pPr>
              <w:jc w:val="center"/>
              <w:ind w:left="868"/>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rFonts w:ascii="Arial" w:cs="Arial" w:eastAsia="Arial" w:hAnsi="Arial"/>
                <w:sz w:val="18"/>
                <w:szCs w:val="18"/>
                <w:color w:val="0302FF"/>
                <w:w w:val="97"/>
              </w:rPr>
            </w:pPr>
            <w:hyperlink w:anchor="page36">
              <w:r>
                <w:rPr>
                  <w:rFonts w:ascii="Arial" w:cs="Arial" w:eastAsia="Arial" w:hAnsi="Arial"/>
                  <w:sz w:val="18"/>
                  <w:szCs w:val="18"/>
                  <w:color w:val="0302FF"/>
                  <w:w w:val="97"/>
                </w:rPr>
                <w:t>Signatures</w:t>
              </w:r>
            </w:hyperlink>
          </w:p>
        </w:tc>
        <w:tc>
          <w:tcPr>
            <w:tcW w:w="7180" w:type="dxa"/>
            <w:vAlign w:val="bottom"/>
            <w:gridSpan w:val="12"/>
          </w:tcPr>
          <w:p>
            <w:pPr>
              <w:spacing w:after="0"/>
              <w:rPr>
                <w:sz w:val="18"/>
                <w:szCs w:val="18"/>
                <w:color w:val="auto"/>
              </w:rPr>
            </w:pPr>
          </w:p>
        </w:tc>
        <w:tc>
          <w:tcPr>
            <w:tcW w:w="1480" w:type="dxa"/>
            <w:vAlign w:val="bottom"/>
            <w:gridSpan w:val="3"/>
          </w:tcPr>
          <w:p>
            <w:pPr>
              <w:jc w:val="center"/>
              <w:ind w:left="868"/>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36</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 Index</w:t>
              </w:r>
            </w:hyperlink>
          </w:p>
        </w:tc>
        <w:tc>
          <w:tcPr>
            <w:tcW w:w="1480" w:type="dxa"/>
            <w:vAlign w:val="bottom"/>
            <w:gridSpan w:val="3"/>
          </w:tcPr>
          <w:p>
            <w:pPr>
              <w:jc w:val="center"/>
              <w:ind w:left="868"/>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38</w:t>
              </w:r>
            </w:hyperlink>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2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2021 and December 31,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2021 (Unaudited)</w:t>
            </w:r>
          </w:p>
        </w:tc>
        <w:tc>
          <w:tcPr>
            <w:tcW w:w="280" w:type="dxa"/>
            <w:vAlign w:val="bottom"/>
          </w:tcPr>
          <w:p>
            <w:pPr>
              <w:spacing w:after="0"/>
              <w:rPr>
                <w:sz w:val="14"/>
                <w:szCs w:val="14"/>
                <w:color w:val="auto"/>
              </w:rPr>
            </w:pPr>
          </w:p>
        </w:tc>
        <w:tc>
          <w:tcPr>
            <w:tcW w:w="18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1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right"/>
              <w:ind w:right="79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90"/>
        </w:trPr>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rPr>
              <w:t>ASSETS</w:t>
            </w:r>
          </w:p>
        </w:tc>
        <w:tc>
          <w:tcPr>
            <w:tcW w:w="30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455,940,751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0" w:type="dxa"/>
            <w:vAlign w:val="bottom"/>
          </w:tcPr>
          <w:p>
            <w:pPr>
              <w:spacing w:after="0"/>
              <w:rPr>
                <w:sz w:val="1"/>
                <w:szCs w:val="1"/>
                <w:color w:val="auto"/>
              </w:rPr>
            </w:pPr>
          </w:p>
        </w:tc>
      </w:tr>
      <w:tr>
        <w:trPr>
          <w:trHeight w:val="230"/>
        </w:trPr>
        <w:tc>
          <w:tcPr>
            <w:tcW w:w="6780" w:type="dxa"/>
            <w:vAlign w:val="bottom"/>
            <w:gridSpan w:val="5"/>
          </w:tcPr>
          <w:p>
            <w:pPr>
              <w:ind w:left="24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25,944,114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27,164,369</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277,676,643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284,925,335</w:t>
            </w:r>
          </w:p>
        </w:tc>
        <w:tc>
          <w:tcPr>
            <w:tcW w:w="0" w:type="dxa"/>
            <w:vAlign w:val="bottom"/>
          </w:tcPr>
          <w:p>
            <w:pPr>
              <w:spacing w:after="0"/>
              <w:rPr>
                <w:sz w:val="1"/>
                <w:szCs w:val="1"/>
                <w:color w:val="auto"/>
              </w:rPr>
            </w:pPr>
          </w:p>
        </w:tc>
      </w:tr>
      <w:tr>
        <w:trPr>
          <w:trHeight w:val="230"/>
        </w:trPr>
        <w:tc>
          <w:tcPr>
            <w:tcW w:w="6780" w:type="dxa"/>
            <w:vAlign w:val="bottom"/>
            <w:gridSpan w:val="5"/>
          </w:tcPr>
          <w:p>
            <w:pPr>
              <w:ind w:left="2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233,060,307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226,291,843</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17,893,732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17,577,981</w:t>
            </w:r>
          </w:p>
        </w:tc>
        <w:tc>
          <w:tcPr>
            <w:tcW w:w="0" w:type="dxa"/>
            <w:vAlign w:val="bottom"/>
          </w:tcPr>
          <w:p>
            <w:pPr>
              <w:spacing w:after="0"/>
              <w:rPr>
                <w:sz w:val="1"/>
                <w:szCs w:val="1"/>
                <w:color w:val="auto"/>
              </w:rPr>
            </w:pPr>
          </w:p>
        </w:tc>
      </w:tr>
      <w:tr>
        <w:trPr>
          <w:trHeight w:val="223"/>
        </w:trPr>
        <w:tc>
          <w:tcPr>
            <w:tcW w:w="6780" w:type="dxa"/>
            <w:vAlign w:val="bottom"/>
            <w:gridSpan w:val="5"/>
          </w:tcPr>
          <w:p>
            <w:pPr>
              <w:ind w:left="46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1,010,515,547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979,330,564</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460,593,013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468,135,135</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314,681,508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311,922,787</w:t>
            </w:r>
          </w:p>
        </w:tc>
        <w:tc>
          <w:tcPr>
            <w:tcW w:w="0" w:type="dxa"/>
            <w:vAlign w:val="bottom"/>
          </w:tcPr>
          <w:p>
            <w:pPr>
              <w:spacing w:after="0"/>
              <w:rPr>
                <w:sz w:val="1"/>
                <w:szCs w:val="1"/>
                <w:color w:val="auto"/>
              </w:rPr>
            </w:pPr>
          </w:p>
        </w:tc>
      </w:tr>
      <w:tr>
        <w:trPr>
          <w:trHeight w:val="230"/>
        </w:trPr>
        <w:tc>
          <w:tcPr>
            <w:tcW w:w="6780" w:type="dxa"/>
            <w:vAlign w:val="bottom"/>
            <w:gridSpan w:val="5"/>
          </w:tcPr>
          <w:p>
            <w:pPr>
              <w:ind w:left="240"/>
              <w:spacing w:after="0"/>
              <w:rPr>
                <w:sz w:val="20"/>
                <w:szCs w:val="20"/>
                <w:color w:val="auto"/>
              </w:rPr>
            </w:pPr>
            <w:r>
              <w:rPr>
                <w:rFonts w:ascii="Arial" w:cs="Arial" w:eastAsia="Arial" w:hAnsi="Arial"/>
                <w:sz w:val="18"/>
                <w:szCs w:val="18"/>
                <w:color w:val="auto"/>
              </w:rPr>
              <w:t>Long-term investments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172,934,410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162,028,068</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Intangible assets, net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256,911,809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249,748,127</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color w:val="auto"/>
              </w:rPr>
              <w:t>Patents and other assets, net</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26,809,257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26,776,489</w:t>
            </w:r>
          </w:p>
        </w:tc>
        <w:tc>
          <w:tcPr>
            <w:tcW w:w="0" w:type="dxa"/>
            <w:vAlign w:val="bottom"/>
          </w:tcPr>
          <w:p>
            <w:pPr>
              <w:spacing w:after="0"/>
              <w:rPr>
                <w:sz w:val="1"/>
                <w:szCs w:val="1"/>
                <w:color w:val="auto"/>
              </w:rPr>
            </w:pPr>
          </w:p>
        </w:tc>
      </w:tr>
      <w:tr>
        <w:trPr>
          <w:trHeight w:val="223"/>
        </w:trPr>
        <w:tc>
          <w:tcPr>
            <w:tcW w:w="678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771,336,984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750,475,471</w:t>
            </w:r>
          </w:p>
        </w:tc>
        <w:tc>
          <w:tcPr>
            <w:tcW w:w="0" w:type="dxa"/>
            <w:vAlign w:val="bottom"/>
          </w:tcPr>
          <w:p>
            <w:pPr>
              <w:spacing w:after="0"/>
              <w:rPr>
                <w:sz w:val="1"/>
                <w:szCs w:val="1"/>
                <w:color w:val="auto"/>
              </w:rPr>
            </w:pPr>
          </w:p>
        </w:tc>
      </w:tr>
      <w:tr>
        <w:trPr>
          <w:trHeight w:val="223"/>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2,242,445,544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2,197,941,170</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5480" w:type="dxa"/>
            <w:vAlign w:val="bottom"/>
            <w:gridSpan w:val="4"/>
          </w:tcPr>
          <w:p>
            <w:pPr>
              <w:jc w:val="center"/>
              <w:ind w:right="1280"/>
              <w:spacing w:after="0" w:line="189" w:lineRule="exact"/>
              <w:rPr>
                <w:sz w:val="20"/>
                <w:szCs w:val="20"/>
                <w:color w:val="auto"/>
              </w:rPr>
            </w:pPr>
            <w:r>
              <w:rPr>
                <w:rFonts w:ascii="Arial" w:cs="Arial" w:eastAsia="Arial" w:hAnsi="Arial"/>
                <w:sz w:val="18"/>
                <w:szCs w:val="18"/>
                <w:color w:val="auto"/>
                <w:w w:val="99"/>
              </w:rPr>
              <w:t>LIABILITIES AND SHAREHOLDERS’ INVESTMENT</w:t>
            </w: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107,061,936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84,784,423</w:t>
            </w:r>
          </w:p>
        </w:tc>
        <w:tc>
          <w:tcPr>
            <w:tcW w:w="0" w:type="dxa"/>
            <w:vAlign w:val="bottom"/>
          </w:tcPr>
          <w:p>
            <w:pPr>
              <w:spacing w:after="0"/>
              <w:rPr>
                <w:sz w:val="1"/>
                <w:szCs w:val="1"/>
                <w:color w:val="auto"/>
              </w:rPr>
            </w:pPr>
          </w:p>
        </w:tc>
      </w:tr>
      <w:tr>
        <w:trPr>
          <w:trHeight w:val="230"/>
        </w:trPr>
        <w:tc>
          <w:tcPr>
            <w:tcW w:w="6780" w:type="dxa"/>
            <w:vAlign w:val="bottom"/>
            <w:gridSpan w:val="5"/>
          </w:tcPr>
          <w:p>
            <w:pPr>
              <w:ind w:left="24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116,168,057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92,952,434</w:t>
            </w:r>
          </w:p>
        </w:tc>
        <w:tc>
          <w:tcPr>
            <w:tcW w:w="0" w:type="dxa"/>
            <w:vAlign w:val="bottom"/>
          </w:tcPr>
          <w:p>
            <w:pPr>
              <w:spacing w:after="0"/>
              <w:rPr>
                <w:sz w:val="1"/>
                <w:szCs w:val="1"/>
                <w:color w:val="auto"/>
              </w:rPr>
            </w:pPr>
          </w:p>
        </w:tc>
      </w:tr>
      <w:tr>
        <w:trPr>
          <w:trHeight w:val="223"/>
        </w:trPr>
        <w:tc>
          <w:tcPr>
            <w:tcW w:w="6780" w:type="dxa"/>
            <w:vAlign w:val="bottom"/>
            <w:gridSpan w:val="5"/>
          </w:tcPr>
          <w:p>
            <w:pPr>
              <w:ind w:left="46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223,229,993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177,736,857</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18,059,874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17,300,442</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DEFERRED INCOME TAXES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40,174,963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38,960,743</w:t>
            </w: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281,464,830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233,998,042</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SHAREHOLDERS’ INVESTMENT</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14,492,329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14,621,572</w:t>
            </w:r>
          </w:p>
        </w:tc>
        <w:tc>
          <w:tcPr>
            <w:tcW w:w="0" w:type="dxa"/>
            <w:vAlign w:val="bottom"/>
          </w:tcPr>
          <w:p>
            <w:pPr>
              <w:spacing w:after="0"/>
              <w:rPr>
                <w:sz w:val="1"/>
                <w:szCs w:val="1"/>
                <w:color w:val="auto"/>
              </w:rPr>
            </w:pPr>
          </w:p>
        </w:tc>
      </w:tr>
      <w:tr>
        <w:trPr>
          <w:trHeight w:val="230"/>
        </w:trPr>
        <w:tc>
          <w:tcPr>
            <w:tcW w:w="6780" w:type="dxa"/>
            <w:vAlign w:val="bottom"/>
            <w:gridSpan w:val="5"/>
          </w:tcPr>
          <w:p>
            <w:pPr>
              <w:ind w:left="24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859,355,232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852,771,508</w:t>
            </w:r>
          </w:p>
        </w:tc>
        <w:tc>
          <w:tcPr>
            <w:tcW w:w="0" w:type="dxa"/>
            <w:vAlign w:val="bottom"/>
          </w:tcPr>
          <w:p>
            <w:pPr>
              <w:spacing w:after="0"/>
              <w:rPr>
                <w:sz w:val="1"/>
                <w:szCs w:val="1"/>
                <w:color w:val="auto"/>
              </w:rPr>
            </w:pPr>
          </w:p>
        </w:tc>
      </w:tr>
      <w:tr>
        <w:trPr>
          <w:trHeight w:val="229"/>
        </w:trPr>
        <w:tc>
          <w:tcPr>
            <w:tcW w:w="67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1,085,178,486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1,089,698,996</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gridSpan w:val="5"/>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1,954,667</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6,851,052</w:t>
            </w:r>
          </w:p>
        </w:tc>
        <w:tc>
          <w:tcPr>
            <w:tcW w:w="0" w:type="dxa"/>
            <w:vAlign w:val="bottom"/>
          </w:tcPr>
          <w:p>
            <w:pPr>
              <w:spacing w:after="0"/>
              <w:rPr>
                <w:sz w:val="1"/>
                <w:szCs w:val="1"/>
                <w:color w:val="auto"/>
              </w:rPr>
            </w:pPr>
          </w:p>
        </w:tc>
      </w:tr>
      <w:tr>
        <w:trPr>
          <w:trHeight w:val="223"/>
        </w:trPr>
        <w:tc>
          <w:tcPr>
            <w:tcW w:w="678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Total shareholders’ investment</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1,960,980,714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1,963,943,128</w:t>
            </w:r>
          </w:p>
        </w:tc>
        <w:tc>
          <w:tcPr>
            <w:tcW w:w="0" w:type="dxa"/>
            <w:vAlign w:val="bottom"/>
          </w:tcPr>
          <w:p>
            <w:pPr>
              <w:spacing w:after="0"/>
              <w:rPr>
                <w:sz w:val="1"/>
                <w:szCs w:val="1"/>
                <w:color w:val="auto"/>
              </w:rPr>
            </w:pPr>
          </w:p>
        </w:tc>
      </w:tr>
      <w:tr>
        <w:trPr>
          <w:trHeight w:val="223"/>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2,242,445,544</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2,197,941,170</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right="300"/>
        <w:spacing w:after="0" w:line="242" w:lineRule="auto"/>
        <w:rPr>
          <w:sz w:val="20"/>
          <w:szCs w:val="20"/>
          <w:color w:val="auto"/>
        </w:rPr>
      </w:pPr>
      <w:r>
        <w:rPr>
          <w:rFonts w:ascii="Arial" w:cs="Arial" w:eastAsia="Arial" w:hAnsi="Arial"/>
          <w:sz w:val="13"/>
          <w:szCs w:val="13"/>
          <w:color w:val="auto"/>
        </w:rPr>
        <w:t>Note: The condensed consolidated balance sheet at December 31, 2020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8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73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2020</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483,724,839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453,761,726</w:t>
            </w:r>
          </w:p>
        </w:tc>
      </w:tr>
      <w:tr>
        <w:trPr>
          <w:trHeight w:val="229"/>
        </w:trPr>
        <w:tc>
          <w:tcPr>
            <w:tcW w:w="7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300,424,671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297,174,245</w:t>
            </w:r>
          </w:p>
        </w:tc>
      </w:tr>
      <w:tr>
        <w:trPr>
          <w:trHeight w:val="223"/>
        </w:trPr>
        <w:tc>
          <w:tcPr>
            <w:tcW w:w="730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183,300,168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156,587,481</w:t>
            </w:r>
          </w:p>
        </w:tc>
      </w:tr>
      <w:tr>
        <w:trPr>
          <w:trHeight w:val="230"/>
        </w:trPr>
        <w:tc>
          <w:tcPr>
            <w:tcW w:w="7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27,652,081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29,615,422</w:t>
            </w:r>
          </w:p>
        </w:tc>
      </w:tr>
      <w:tr>
        <w:trPr>
          <w:trHeight w:val="230"/>
        </w:trPr>
        <w:tc>
          <w:tcPr>
            <w:tcW w:w="73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21,914,386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21,944,892</w:t>
            </w:r>
          </w:p>
        </w:tc>
      </w:tr>
      <w:tr>
        <w:trPr>
          <w:trHeight w:val="223"/>
        </w:trPr>
        <w:tc>
          <w:tcPr>
            <w:tcW w:w="7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49,566,467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51,560,314</w:t>
            </w:r>
          </w:p>
        </w:tc>
      </w:tr>
      <w:tr>
        <w:trPr>
          <w:trHeight w:val="210"/>
        </w:trPr>
        <w:tc>
          <w:tcPr>
            <w:tcW w:w="7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133,733,701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105,027,167</w:t>
            </w:r>
          </w:p>
        </w:tc>
      </w:tr>
      <w:tr>
        <w:trPr>
          <w:trHeight w:val="230"/>
        </w:trPr>
        <w:tc>
          <w:tcPr>
            <w:tcW w:w="7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30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1,023,410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2,446,649</w:t>
            </w:r>
          </w:p>
        </w:tc>
      </w:tr>
      <w:tr>
        <w:trPr>
          <w:trHeight w:val="230"/>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509,625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(199,167)</w:t>
            </w:r>
          </w:p>
        </w:tc>
      </w:tr>
      <w:tr>
        <w:trPr>
          <w:trHeight w:val="223"/>
        </w:trPr>
        <w:tc>
          <w:tcPr>
            <w:tcW w:w="7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2,247,482</w:t>
            </w:r>
          </w:p>
        </w:tc>
      </w:tr>
      <w:tr>
        <w:trPr>
          <w:trHeight w:val="210"/>
        </w:trPr>
        <w:tc>
          <w:tcPr>
            <w:tcW w:w="7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135,266,736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107,274,649</w:t>
            </w:r>
          </w:p>
        </w:tc>
      </w:tr>
      <w:tr>
        <w:trPr>
          <w:trHeight w:val="230"/>
        </w:trPr>
        <w:tc>
          <w:tcPr>
            <w:tcW w:w="7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21,815,866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17,768,848</w:t>
            </w:r>
          </w:p>
        </w:tc>
      </w:tr>
      <w:tr>
        <w:trPr>
          <w:trHeight w:val="230"/>
        </w:trPr>
        <w:tc>
          <w:tcPr>
            <w:tcW w:w="7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113,450,870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89,505,801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7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7300" w:type="dxa"/>
            <w:vAlign w:val="bottom"/>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7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0.120</w:t>
            </w:r>
          </w:p>
        </w:tc>
      </w:tr>
    </w:tbl>
    <w:p>
      <w:pPr>
        <w:spacing w:after="0" w:line="254"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ind w:right="4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2021 and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6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70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2020</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113,450,870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89,505,801</w:t>
            </w:r>
          </w:p>
        </w:tc>
      </w:tr>
      <w:tr>
        <w:trPr>
          <w:trHeight w:val="270"/>
        </w:trPr>
        <w:tc>
          <w:tcPr>
            <w:tcW w:w="7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0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(852,412)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(692,090)</w:t>
            </w:r>
          </w:p>
        </w:tc>
      </w:tr>
      <w:tr>
        <w:trPr>
          <w:trHeight w:val="229"/>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(losses) gains on debt securities, net</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(5,118,953)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2,779,730</w:t>
            </w:r>
          </w:p>
        </w:tc>
      </w:tr>
      <w:tr>
        <w:trPr>
          <w:trHeight w:val="250"/>
        </w:trPr>
        <w:tc>
          <w:tcPr>
            <w:tcW w:w="7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(5,971,365)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2,087,640</w:t>
            </w:r>
          </w:p>
        </w:tc>
      </w:tr>
      <w:tr>
        <w:trPr>
          <w:trHeight w:val="270"/>
        </w:trPr>
        <w:tc>
          <w:tcPr>
            <w:tcW w:w="7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impact related to components of other comprehensive income (loss)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583,743</w:t>
            </w:r>
          </w:p>
        </w:tc>
      </w:tr>
      <w:tr>
        <w:trPr>
          <w:trHeight w:val="250"/>
        </w:trPr>
        <w:tc>
          <w:tcPr>
            <w:tcW w:w="7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(4,896,385)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1,503,897</w:t>
            </w:r>
          </w:p>
        </w:tc>
      </w:tr>
      <w:tr>
        <w:trPr>
          <w:trHeight w:val="250"/>
        </w:trPr>
        <w:tc>
          <w:tcPr>
            <w:tcW w:w="7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108,554,485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91,009,698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51" w:right="339" w:bottom="1440" w:gutter="0" w:footer="0" w:header="0"/>
        </w:sectPr>
      </w:pPr>
    </w:p>
    <w:bookmarkStart w:id="5" w:name="page6"/>
    <w:bookmarkEnd w:id="5"/>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2021 and 2020</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2021</w:t>
      </w:r>
    </w:p>
    <w:p>
      <w:pPr>
        <w:spacing w:after="0" w:line="32"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Issuance of common stock from stock plan transactions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13" w:lineRule="auto"/>
        <w:rPr>
          <w:sz w:val="20"/>
          <w:szCs w:val="20"/>
          <w:color w:val="auto"/>
        </w:rPr>
      </w:pPr>
      <w:r>
        <w:rPr>
          <w:rFonts w:ascii="Arial" w:cs="Arial" w:eastAsia="Arial" w:hAnsi="Arial"/>
          <w:sz w:val="16"/>
          <w:szCs w:val="16"/>
          <w:color w:val="auto"/>
        </w:rPr>
        <w:t>Other comprehensive loss BALANCE AS OF MARCH 31, 2021</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2020</w:t>
      </w:r>
    </w:p>
    <w:p>
      <w:pPr>
        <w:spacing w:after="0" w:line="32" w:lineRule="exact"/>
        <w:rPr>
          <w:sz w:val="20"/>
          <w:szCs w:val="20"/>
          <w:color w:val="auto"/>
        </w:rPr>
      </w:pPr>
    </w:p>
    <w:p>
      <w:pPr>
        <w:ind w:right="280"/>
        <w:spacing w:after="0" w:line="232" w:lineRule="auto"/>
        <w:rPr>
          <w:sz w:val="20"/>
          <w:szCs w:val="20"/>
          <w:color w:val="auto"/>
        </w:rPr>
      </w:pPr>
      <w:r>
        <w:rPr>
          <w:rFonts w:ascii="Arial" w:cs="Arial" w:eastAsia="Arial" w:hAnsi="Arial"/>
          <w:sz w:val="16"/>
          <w:szCs w:val="16"/>
          <w:color w:val="auto"/>
        </w:rPr>
        <w:t>Issuance of common stock from stock plan transactions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295" w:lineRule="auto"/>
        <w:rPr>
          <w:sz w:val="20"/>
          <w:szCs w:val="20"/>
          <w:color w:val="auto"/>
        </w:rPr>
      </w:pPr>
      <w:r>
        <w:rPr>
          <w:rFonts w:ascii="Arial" w:cs="Arial" w:eastAsia="Arial" w:hAnsi="Arial"/>
          <w:sz w:val="16"/>
          <w:szCs w:val="16"/>
          <w:color w:val="auto"/>
        </w:rPr>
        <w:t>Other comprehensive income BALANCE AS OF MARCH 31, 2020</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1"/>
                <w:szCs w:val="11"/>
                <w:color w:val="auto"/>
              </w:rPr>
            </w:pPr>
          </w:p>
        </w:tc>
        <w:tc>
          <w:tcPr>
            <w:tcW w:w="116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1"/>
                <w:szCs w:val="11"/>
                <w:color w:val="auto"/>
              </w:rPr>
            </w:pPr>
          </w:p>
        </w:tc>
        <w:tc>
          <w:tcPr>
            <w:tcW w:w="100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1"/>
                <w:szCs w:val="11"/>
                <w:color w:val="auto"/>
              </w:rPr>
            </w:pPr>
          </w:p>
        </w:tc>
        <w:tc>
          <w:tcPr>
            <w:tcW w:w="1120" w:type="dxa"/>
            <w:vAlign w:val="bottom"/>
          </w:tcPr>
          <w:p>
            <w:pPr>
              <w:jc w:val="right"/>
              <w:ind w:right="368"/>
              <w:spacing w:after="0" w:line="135"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0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243,692,869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14,621,572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852,771,508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1,089,698,996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6,851,052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1,963,943,128</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601,020</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36,061</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9,229,779</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9,265,840</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(2,755,065)</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(165,304)</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(8,540,700)</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(88,986,759)</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(97,692,763)</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5,894,645</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5,894,645</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(28,984,621)</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(28,984,621)</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113,450,870</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113,450,870</w:t>
            </w:r>
          </w:p>
        </w:tc>
        <w:tc>
          <w:tcPr>
            <w:tcW w:w="0" w:type="dxa"/>
            <w:vAlign w:val="bottom"/>
          </w:tcPr>
          <w:p>
            <w:pPr>
              <w:spacing w:after="0"/>
              <w:rPr>
                <w:sz w:val="1"/>
                <w:szCs w:val="1"/>
                <w:color w:val="auto"/>
              </w:rPr>
            </w:pPr>
          </w:p>
        </w:tc>
      </w:tr>
      <w:tr>
        <w:trPr>
          <w:trHeight w:val="215"/>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(4,896,385)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(4,896,385)</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241,538,824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14,492,329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859,355,232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1,085,178,486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1,954,667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1,960,980,714</w:t>
            </w:r>
          </w:p>
        </w:tc>
        <w:tc>
          <w:tcPr>
            <w:tcW w:w="0" w:type="dxa"/>
            <w:vAlign w:val="bottom"/>
          </w:tcPr>
          <w:p>
            <w:pPr>
              <w:spacing w:after="0"/>
              <w:rPr>
                <w:sz w:val="1"/>
                <w:szCs w:val="1"/>
                <w:color w:val="auto"/>
              </w:rPr>
            </w:pP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251,277,515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15,076,651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807,928,139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1,116,372,133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(1,289,103)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1,938,087,820</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607,175</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36,431</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7,319,057</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7,355,488</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(7,019,032)</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(421,143)</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(20,214,812)</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(158,183,629)</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(178,819,584)</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6,356,070</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6,356,070</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(29,383,859)</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(29,383,859)</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89,505,801</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89,505,801</w:t>
            </w:r>
          </w:p>
        </w:tc>
        <w:tc>
          <w:tcPr>
            <w:tcW w:w="0" w:type="dxa"/>
            <w:vAlign w:val="bottom"/>
          </w:tcPr>
          <w:p>
            <w:pPr>
              <w:spacing w:after="0"/>
              <w:rPr>
                <w:sz w:val="1"/>
                <w:szCs w:val="1"/>
                <w:color w:val="auto"/>
              </w:rPr>
            </w:pPr>
          </w:p>
        </w:tc>
      </w:tr>
      <w:tr>
        <w:trPr>
          <w:trHeight w:val="215"/>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1,503,897</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1,503,897</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244,865,658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14,691,939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801,388,454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1,018,310,446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214,794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1,834,605,633</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-3051175</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-2673985</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-2193925</wp:posOffset>
            </wp:positionV>
            <wp:extent cx="71151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-1902460</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-1619250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-1310640</wp:posOffset>
            </wp:positionV>
            <wp:extent cx="71151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-933450</wp:posOffset>
            </wp:positionV>
            <wp:extent cx="711517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-436245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-161925</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6" w:name="page7"/>
    <w:bookmarkEnd w:id="6"/>
    <w:p>
      <w:pPr>
        <w:jc w:val="center"/>
        <w:ind w:left="340" w:right="23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2021 and 2020</w:t>
      </w: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113,450,870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89,505,801</w:t>
            </w: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25,599,131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26,295,146</w:t>
            </w: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(151,910)</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54,279</w:t>
            </w: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(Gain) on sale of investments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(486,433)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(42,461)</w:t>
            </w: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(1,544,501)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(1,589,855)</w:t>
            </w:r>
          </w:p>
        </w:tc>
      </w:tr>
      <w:tr>
        <w:trPr>
          <w:trHeight w:val="188"/>
        </w:trPr>
        <w:tc>
          <w:tcPr>
            <w:tcW w:w="732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5,894,645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6,356,070</w:t>
            </w: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7,253,692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1,832,201</w:t>
            </w:r>
          </w:p>
        </w:tc>
      </w:tr>
      <w:tr>
        <w:trPr>
          <w:trHeight w:val="229"/>
        </w:trPr>
        <w:tc>
          <w:tcPr>
            <w:tcW w:w="732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(6,768,464)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(2,064,558)</w:t>
            </w:r>
          </w:p>
        </w:tc>
      </w:tr>
      <w:tr>
        <w:trPr>
          <w:trHeight w:val="229"/>
        </w:trPr>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12,779,046</w:t>
            </w:r>
          </w:p>
        </w:tc>
      </w:tr>
      <w:tr>
        <w:trPr>
          <w:trHeight w:val="230"/>
        </w:trPr>
        <w:tc>
          <w:tcPr>
            <w:tcW w:w="732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22,277,513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2,545,274</w:t>
            </w:r>
          </w:p>
        </w:tc>
      </w:tr>
      <w:tr>
        <w:trPr>
          <w:trHeight w:val="229"/>
        </w:trPr>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24,233,539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15,755,950</w:t>
            </w:r>
          </w:p>
        </w:tc>
      </w:tr>
      <w:tr>
        <w:trPr>
          <w:trHeight w:val="223"/>
        </w:trPr>
        <w:tc>
          <w:tcPr>
            <w:tcW w:w="732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190,849,001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151,280,470</w:t>
            </w:r>
          </w:p>
        </w:tc>
      </w:tr>
      <w:tr>
        <w:trPr>
          <w:trHeight w:val="155"/>
        </w:trPr>
        <w:tc>
          <w:tcPr>
            <w:tcW w:w="7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available-for-sale securities: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Sales proceeds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15,019,323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3,124,008</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and calls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19,720,000</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(31,379,609)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(48,606,718)</w:t>
            </w: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(12,599,388)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(15,574,443)</w:t>
            </w: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165,533</w:t>
            </w: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of businesses, net of cash acquired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(12,023,440)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Increase in other assets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(1,643,884)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(2,544,554)</w:t>
            </w:r>
          </w:p>
        </w:tc>
      </w:tr>
      <w:tr>
        <w:trPr>
          <w:trHeight w:val="223"/>
        </w:trPr>
        <w:tc>
          <w:tcPr>
            <w:tcW w:w="73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(40,609,254)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(43,716,174)</w:t>
            </w:r>
          </w:p>
        </w:tc>
      </w:tr>
      <w:tr>
        <w:trPr>
          <w:trHeight w:val="142"/>
        </w:trPr>
        <w:tc>
          <w:tcPr>
            <w:tcW w:w="7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borrowings on Credit Agreement</w:t>
            </w:r>
          </w:p>
        </w:tc>
        <w:tc>
          <w:tcPr>
            <w:tcW w:w="3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75,000,000</w:t>
            </w: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9,265,840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7,355,488</w:t>
            </w: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(29,243,108)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(28,896,894)</w:t>
            </w: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(97,692,763)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(178,819,584)</w:t>
            </w:r>
          </w:p>
        </w:tc>
      </w:tr>
      <w:tr>
        <w:trPr>
          <w:trHeight w:val="223"/>
        </w:trPr>
        <w:tc>
          <w:tcPr>
            <w:tcW w:w="73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(117,670,032)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(125,360,990)</w:t>
            </w:r>
          </w:p>
        </w:tc>
      </w:tr>
      <w:tr>
        <w:trPr>
          <w:trHeight w:val="129"/>
        </w:trPr>
        <w:tc>
          <w:tcPr>
            <w:tcW w:w="7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32,569,715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(17,796,694)</w:t>
            </w:r>
          </w:p>
        </w:tc>
      </w:tr>
      <w:tr>
        <w:trPr>
          <w:trHeight w:val="149"/>
        </w:trPr>
        <w:tc>
          <w:tcPr>
            <w:tcW w:w="732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spacing w:after="0"/>
              <w:rPr>
                <w:sz w:val="12"/>
                <w:szCs w:val="12"/>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423,371,036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296,321,622</w:t>
            </w:r>
          </w:p>
        </w:tc>
      </w:tr>
      <w:tr>
        <w:trPr>
          <w:trHeight w:val="128"/>
        </w:trPr>
        <w:tc>
          <w:tcPr>
            <w:tcW w:w="7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455,940,751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278,524,928</w:t>
            </w:r>
          </w:p>
        </w:tc>
      </w:tr>
      <w:tr>
        <w:trPr>
          <w:trHeight w:val="20"/>
        </w:trPr>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2020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2021, and the results of operations and cash flows for the interim periods presented.</w:t>
      </w:r>
    </w:p>
    <w:p>
      <w:pPr>
        <w:spacing w:after="0" w:line="2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and recorded an additional $3.7 million in Goodwill as part of the acquisition of Vaporsens that occurred in the second quarter of 2020 and an additional $0.9 million in Goodwill as a part of the acquisition of Argil, Inc. ("Argil") during the fourth quarter of 2020. The Company also recorded an additional $2.8 million in Goodwill as a part of the acquisition of Guardian that occurred in the first quarter of 2021. The carrying value of Goodwill as of March 31, 2021 and December 31, 2020 was $314.7 million and $311.9 million, respectively.</w:t>
      </w:r>
    </w:p>
    <w:p>
      <w:pPr>
        <w:spacing w:after="0" w:line="200" w:lineRule="exact"/>
        <w:rPr>
          <w:sz w:val="20"/>
          <w:szCs w:val="20"/>
          <w:color w:val="auto"/>
        </w:rPr>
      </w:pPr>
    </w:p>
    <w:p>
      <w:pPr>
        <w:spacing w:after="0" w:line="316"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73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311,922,787</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2,758,721</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Divestitures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314,681,508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was again considered in the most recently completed quarter, but did not indicate the need for interim impairment testing.</w:t>
      </w:r>
    </w:p>
    <w:p>
      <w:pPr>
        <w:spacing w:after="0" w:line="235" w:lineRule="exact"/>
        <w:rPr>
          <w:sz w:val="20"/>
          <w:szCs w:val="20"/>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Company also acquired In-Process Research &amp; Development as part of the acquisition of Vaporsens that occurred in the second quarter of 2020, the acquisition of Air-Craftglass Production BV ("Air-Craftglass") in the third quarter of 2020, and the acquisition of Argil in the fourth quarter of 2020, each of which has been previously disclosed. The Company also acquired Guardian in the first quarter of 2021. See </w:t>
      </w:r>
      <w:hyperlink w:anchor="page20">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 Guardian transaction.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3"/>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38,906,267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(25,116,962)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13,789,305</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315,425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(54,062)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261,363</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(112,500,000)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67,500,000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(32,250,000)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Argil In- 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1,389,237</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11,994,440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11,994,440</w:t>
            </w:r>
          </w:p>
        </w:tc>
        <w:tc>
          <w:tcPr>
            <w:tcW w:w="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401,661,809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(144,750,000)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256,911,809</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440,883,501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(169,921,024)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270,962,477</w:t>
            </w:r>
          </w:p>
        </w:tc>
        <w:tc>
          <w:tcPr>
            <w:tcW w:w="4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20" w:type="dxa"/>
            <w:vAlign w:val="bottom"/>
            <w:vMerge w:val="restart"/>
          </w:tcPr>
          <w:p>
            <w:pPr>
              <w:spacing w:after="0"/>
              <w:rPr>
                <w:sz w:val="20"/>
                <w:szCs w:val="20"/>
                <w:color w:val="auto"/>
              </w:rPr>
            </w:pPr>
            <w:r>
              <w:rPr>
                <w:rFonts w:ascii="Arial" w:cs="Arial" w:eastAsia="Arial" w:hAnsi="Arial"/>
                <w:sz w:val="18"/>
                <w:szCs w:val="18"/>
                <w:color w:val="auto"/>
              </w:rPr>
              <w:t>As of December 31, 2020:</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38,625,292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(24,528,853)</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14,096,439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300,985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(38,856)</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262,129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(108,750,000)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71,250,000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18"/>
                <w:szCs w:val="18"/>
                <w:color w:val="auto"/>
              </w:rPr>
              <w:t>Argil In-Process R&amp;D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6,278,132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6,278,132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Air-Craftglass In-Process R&amp;D</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1,394,995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1,394,995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389,673,127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(139,925,000)</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249,748,127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428,298,419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(164,453,853)</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263,844,566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Amortization expense on patents and intangible assets was approximately $5.6 million during the three months ended March 31, 2021, compared to approximately $5.6 million for the same period ended March 31, 2020, respectively.</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Excluding the impact of any future acquisitions, the Company estimates amortization expense for each of the years ending December 31, 2021 and 2022 to be approximately $22 million annually, for the year</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ending December 31, 2023 to be approximately $ 19 million</w:t>
      </w:r>
      <w:r>
        <w:rPr>
          <w:rFonts w:ascii="Arial" w:cs="Arial" w:eastAsia="Arial" w:hAnsi="Arial"/>
          <w:sz w:val="18"/>
          <w:szCs w:val="18"/>
          <w:color w:val="FAAC16"/>
        </w:rPr>
        <w:t>,</w:t>
      </w:r>
      <w:r>
        <w:rPr>
          <w:rFonts w:ascii="Arial" w:cs="Arial" w:eastAsia="Arial" w:hAnsi="Arial"/>
          <w:sz w:val="18"/>
          <w:szCs w:val="18"/>
          <w:color w:val="auto"/>
        </w:rPr>
        <w:t xml:space="preserve"> for the year ending December 31, 2024 to be approximately $16 million</w:t>
      </w:r>
      <w:r>
        <w:rPr>
          <w:rFonts w:ascii="Arial" w:cs="Arial" w:eastAsia="Arial" w:hAnsi="Arial"/>
          <w:sz w:val="18"/>
          <w:szCs w:val="18"/>
          <w:color w:val="FAAC16"/>
        </w:rPr>
        <w:t>,</w:t>
      </w:r>
      <w:r>
        <w:rPr>
          <w:rFonts w:ascii="Arial" w:cs="Arial" w:eastAsia="Arial" w:hAnsi="Arial"/>
          <w:sz w:val="18"/>
          <w:szCs w:val="18"/>
          <w:color w:val="auto"/>
        </w:rPr>
        <w:t xml:space="preserve"> and for the year ending December 31, 2025 to be approximately $12 million</w:t>
      </w:r>
      <w:r>
        <w:rPr>
          <w:rFonts w:ascii="Arial" w:cs="Arial" w:eastAsia="Arial" w:hAnsi="Arial"/>
          <w:sz w:val="18"/>
          <w:szCs w:val="18"/>
          <w:color w:val="FAAC16"/>
        </w:rPr>
        <w:t>.</w:t>
      </w:r>
    </w:p>
    <w:p>
      <w:pPr>
        <w:spacing w:after="0" w:line="200" w:lineRule="exact"/>
        <w:rPr>
          <w:sz w:val="20"/>
          <w:szCs w:val="20"/>
          <w:color w:val="auto"/>
        </w:rPr>
      </w:pPr>
    </w:p>
    <w:p>
      <w:pPr>
        <w:spacing w:after="0" w:line="268"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4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2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4"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such equity investments are held at cost. These technology investments totaled approximately $4.0 million as of March 31, 2021 and December 31, 2020. These investments are classified within Long-Term Investments in the consolidated balance sheets.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2021 and December 31, 2020:</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455,940,751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455,940,751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5,065,020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5,065,020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10,192,907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10,192,907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1,525,366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26,720,719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2,613,503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2,613,503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20,105,773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12,909,523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12,909,523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106,540,254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106,540,254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650,774,637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462,598,978</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188,175,659</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0"/>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4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Inputs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423,371,036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1,516,693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7,155,600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7,155,600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6,678,450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10,284,765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10,284,765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1,528,861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37,924,537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3,645,520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3,645,520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9,024,035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107,407,831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107,407,831</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608,537,328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430,062,110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178,475,218</w:t>
            </w:r>
          </w:p>
        </w:tc>
        <w:tc>
          <w:tcPr>
            <w:tcW w:w="2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March 31, 2021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432"/>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91"/>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2,502,868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17,097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2,519,358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5,065,020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6,634,876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6,641,463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10,119,894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10,192,907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1,525,366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27,213,749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(562,031)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26,720,719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2,613,503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20,001,918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298,615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(194,760)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20,105,773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13,107,074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12,909,523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103,593,419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3,579,244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(632,409)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106,540,254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   192,254,095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4,167,149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(1,587,358)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194,833,886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8"/>
                <w:szCs w:val="18"/>
                <w:color w:val="auto"/>
              </w:rPr>
              <w:t>As of December 31, 2020: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3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Unrealized</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1,502,187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1,516,693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7,084,638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6,635,132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43,318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6,678,450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10,160,376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10,284,765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1,528,861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1,528,861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37,681,113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800,802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(557,378)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37,924,537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3,503,898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141,622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3,645,520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8,595,020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429,015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9,024,035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100,776,325</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6,635,428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107,407,831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177,467,550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8,260,042</w:t>
            </w:r>
          </w:p>
        </w:tc>
        <w:tc>
          <w:tcPr>
            <w:tcW w:w="12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(561,300)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185,166,292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March 31, 2021,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22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1,176,276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56,463,167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1,958,502</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58,421,669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2020,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76"/>
        </w:trPr>
        <w:tc>
          <w:tcPr>
            <w:tcW w:w="5620" w:type="dxa"/>
            <w:vAlign w:val="bottom"/>
          </w:tcPr>
          <w:p>
            <w:pPr>
              <w:spacing w:after="0"/>
              <w:rPr>
                <w:sz w:val="15"/>
                <w:szCs w:val="15"/>
                <w:color w:val="auto"/>
              </w:rPr>
            </w:pPr>
          </w:p>
        </w:tc>
        <w:tc>
          <w:tcPr>
            <w:tcW w:w="22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12,317,187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the amortized cost basis has been recovered.</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March 31, 2021 have contractual maturities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24,418,748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39,844,725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129,045,047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193,308,520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4)  Inventories</w:t>
            </w: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6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Inventories consisted of the following at the respective balance sheet dates: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160,099,367</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151,688,455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30,301,068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32,791,675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42,659,872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233,060,307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226,291,843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34"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months ended March 31, 2021 and March 31, 2020:</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gridSpan w:val="4"/>
          </w:tcPr>
          <w:p>
            <w:pPr>
              <w:jc w:val="right"/>
              <w:ind w:right="1151"/>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6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right"/>
              <w:ind w:right="8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871"/>
              <w:spacing w:after="0"/>
              <w:rPr>
                <w:sz w:val="20"/>
                <w:szCs w:val="20"/>
                <w:color w:val="auto"/>
              </w:rPr>
            </w:pPr>
            <w:r>
              <w:rPr>
                <w:rFonts w:ascii="Arial" w:cs="Arial" w:eastAsia="Arial" w:hAnsi="Arial"/>
                <w:sz w:val="14"/>
                <w:szCs w:val="14"/>
                <w:b w:val="1"/>
                <w:bCs w:val="1"/>
                <w:color w:val="auto"/>
              </w:rPr>
              <w:t>2020</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113,450,870</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89,505,801</w:t>
            </w:r>
          </w:p>
        </w:tc>
      </w:tr>
      <w:tr>
        <w:trPr>
          <w:trHeight w:val="188"/>
        </w:trPr>
        <w:tc>
          <w:tcPr>
            <w:tcW w:w="652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rPr>
              <w:t>Less: Dividends and undistributed earnings allocated to participating</w:t>
            </w:r>
          </w:p>
        </w:tc>
        <w:tc>
          <w:tcPr>
            <w:tcW w:w="5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7"/>
        </w:trPr>
        <w:tc>
          <w:tcPr>
            <w:tcW w:w="65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securities</w:t>
            </w:r>
          </w:p>
        </w:tc>
        <w:tc>
          <w:tcPr>
            <w:tcW w:w="5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1,671,188</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1,221,016</w:t>
            </w:r>
          </w:p>
        </w:tc>
      </w:tr>
      <w:tr>
        <w:trPr>
          <w:trHeight w:val="223"/>
        </w:trPr>
        <w:tc>
          <w:tcPr>
            <w:tcW w:w="652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111,779,682</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88,284,785</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15"/>
        </w:trPr>
        <w:tc>
          <w:tcPr>
            <w:tcW w:w="65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239,559,370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246,309,869</w:t>
            </w:r>
          </w:p>
        </w:tc>
      </w:tr>
      <w:tr>
        <w:trPr>
          <w:trHeight w:val="229"/>
        </w:trPr>
        <w:tc>
          <w:tcPr>
            <w:tcW w:w="6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95"/>
        </w:trPr>
        <w:tc>
          <w:tcPr>
            <w:tcW w:w="6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5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111,779,682</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88,284,785</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Reallocation of undistributed earnings</w:t>
            </w:r>
          </w:p>
        </w:tc>
        <w:tc>
          <w:tcPr>
            <w:tcW w:w="5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r>
      <w:tr>
        <w:trPr>
          <w:trHeight w:val="223"/>
        </w:trPr>
        <w:tc>
          <w:tcPr>
            <w:tcW w:w="652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111,790,565</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88,288,969</w:t>
            </w:r>
          </w:p>
        </w:tc>
      </w:tr>
      <w:tr>
        <w:trPr>
          <w:trHeight w:val="94"/>
        </w:trPr>
        <w:tc>
          <w:tcPr>
            <w:tcW w:w="65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r>
      <w:tr>
        <w:trPr>
          <w:trHeight w:val="230"/>
        </w:trPr>
        <w:tc>
          <w:tcPr>
            <w:tcW w:w="652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239,559,370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246,309,869</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weighted average dilutive common stock equivalents</w:t>
            </w:r>
          </w:p>
        </w:tc>
        <w:tc>
          <w:tcPr>
            <w:tcW w:w="5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2,133,781</w:t>
            </w: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1,306,574</w:t>
            </w:r>
          </w:p>
        </w:tc>
      </w:tr>
      <w:tr>
        <w:trPr>
          <w:trHeight w:val="223"/>
        </w:trPr>
        <w:tc>
          <w:tcPr>
            <w:tcW w:w="652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5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241,693,151</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247,616,443</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75"/>
        </w:trPr>
        <w:tc>
          <w:tcPr>
            <w:tcW w:w="65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r>
      <w:tr>
        <w:trPr>
          <w:trHeight w:val="229"/>
        </w:trPr>
        <w:tc>
          <w:tcPr>
            <w:tcW w:w="652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148"/>
        </w:trPr>
        <w:tc>
          <w:tcPr>
            <w:tcW w:w="6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r>
      <w:tr>
        <w:trPr>
          <w:trHeight w:val="188"/>
        </w:trPr>
        <w:tc>
          <w:tcPr>
            <w:tcW w:w="6520" w:type="dxa"/>
            <w:vAlign w:val="bottom"/>
          </w:tcPr>
          <w:p>
            <w:pPr>
              <w:ind w:left="20"/>
              <w:spacing w:after="0" w:line="189" w:lineRule="exact"/>
              <w:rPr>
                <w:sz w:val="20"/>
                <w:szCs w:val="20"/>
                <w:color w:val="auto"/>
              </w:rPr>
            </w:pPr>
            <w:r>
              <w:rPr>
                <w:rFonts w:ascii="Arial" w:cs="Arial" w:eastAsia="Arial" w:hAnsi="Arial"/>
                <w:sz w:val="18"/>
                <w:szCs w:val="18"/>
                <w:color w:val="auto"/>
              </w:rPr>
              <w:t>Shares related to stock plans not included in diluted average common shares</w:t>
            </w:r>
          </w:p>
        </w:tc>
        <w:tc>
          <w:tcPr>
            <w:tcW w:w="5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7"/>
        </w:trPr>
        <w:tc>
          <w:tcPr>
            <w:tcW w:w="6520" w:type="dxa"/>
            <w:vAlign w:val="bottom"/>
          </w:tcPr>
          <w:p>
            <w:pPr>
              <w:ind w:left="20"/>
              <w:spacing w:after="0"/>
              <w:rPr>
                <w:sz w:val="20"/>
                <w:szCs w:val="20"/>
                <w:color w:val="auto"/>
              </w:rPr>
            </w:pPr>
            <w:r>
              <w:rPr>
                <w:rFonts w:ascii="Arial" w:cs="Arial" w:eastAsia="Arial" w:hAnsi="Arial"/>
                <w:sz w:val="18"/>
                <w:szCs w:val="18"/>
                <w:color w:val="auto"/>
              </w:rPr>
              <w:t>outstanding because their effect would be anti-dilutive</w:t>
            </w:r>
          </w:p>
        </w:tc>
        <w:tc>
          <w:tcPr>
            <w:tcW w:w="5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271,383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177,966</w:t>
            </w:r>
          </w:p>
        </w:tc>
      </w:tr>
    </w:tbl>
    <w:p>
      <w:pPr>
        <w:spacing w:after="0" w:line="350"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of March 31, 2021,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21"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39"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2020, for additional information related to the Prior Plans.</w:t>
      </w:r>
    </w:p>
    <w:p>
      <w:pPr>
        <w:spacing w:after="0" w:line="13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recognized total compensation expense for share-based payments of $5,894,645 for three months ended March 31, 2021. The Company recognized compensation expense for share-based payments of $6,356,070 for the three months ended March 31, 2020. A portion of the compensation cost for share based payment awards is capitalized as part of inventory.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The purpose of the 2019 Omnibus Incentive Plan is to attract and retain employees, officers, and directors of the Company and its subsidiaries and to motivate and provide such persons incentives and rewards for performance. As of March 31, 2021, 11,238,857 shares (net of shares from canceled/expired options) have been issued under the 2019 Omnibus Plan, which includes stock options (at a set conversion rate), restricted shares, and performance share awards.</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44" w:lineRule="exact"/>
        <w:rPr>
          <w:sz w:val="20"/>
          <w:szCs w:val="20"/>
          <w:color w:val="auto"/>
        </w:rPr>
      </w:pPr>
    </w:p>
    <w:p>
      <w:pPr>
        <w:jc w:val="both"/>
        <w:ind w:left="4"/>
        <w:spacing w:after="0" w:line="254"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March 31, 2021, there was $7,524,575 of unearned compensation cost associated with stock options granted under the 2019 Omnibus Incentive Plan and the Employee Stock Option Plan, which is expected to be recognized over the remaining vesting periods.</w:t>
      </w:r>
    </w:p>
    <w:p>
      <w:pPr>
        <w:spacing w:after="0" w:line="136" w:lineRule="exact"/>
        <w:rPr>
          <w:sz w:val="20"/>
          <w:szCs w:val="20"/>
          <w:color w:val="auto"/>
        </w:rPr>
      </w:pPr>
    </w:p>
    <w:p>
      <w:pPr>
        <w:ind w:left="4" w:right="740"/>
        <w:spacing w:after="0" w:line="261"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58" w:lineRule="exact"/>
        <w:rPr>
          <w:sz w:val="20"/>
          <w:szCs w:val="20"/>
          <w:color w:val="auto"/>
        </w:rPr>
      </w:pPr>
    </w:p>
    <w:p>
      <w:pPr>
        <w:ind w:left="6284"/>
        <w:spacing w:after="0"/>
        <w:rPr>
          <w:sz w:val="20"/>
          <w:szCs w:val="20"/>
          <w:color w:val="auto"/>
        </w:rPr>
      </w:pPr>
      <w:r>
        <w:rPr>
          <w:rFonts w:ascii="Arial" w:cs="Arial" w:eastAsia="Arial" w:hAnsi="Arial"/>
          <w:sz w:val="14"/>
          <w:szCs w:val="14"/>
          <w:b w:val="1"/>
          <w:bCs w:val="1"/>
          <w:color w:val="auto"/>
        </w:rPr>
        <w:t>Three Months Ended March 31,</w:t>
      </w:r>
    </w:p>
    <w:p>
      <w:pPr>
        <w:spacing w:after="0" w:line="28" w:lineRule="exact"/>
        <w:rPr>
          <w:sz w:val="20"/>
          <w:szCs w:val="20"/>
          <w:color w:val="auto"/>
        </w:rPr>
      </w:pPr>
    </w:p>
    <w:tbl>
      <w:tblPr>
        <w:tblLayout w:type="fixed"/>
        <w:tblInd w:w="4" w:type="dxa"/>
        <w:tblCellMar>
          <w:top w:w="0" w:type="dxa"/>
          <w:left w:w="0" w:type="dxa"/>
          <w:bottom w:w="0" w:type="dxa"/>
          <w:right w:w="0" w:type="dxa"/>
        </w:tblCellMar>
      </w:tblPr>
      <w:tr>
        <w:trPr>
          <w:trHeight w:val="183"/>
        </w:trPr>
        <w:tc>
          <w:tcPr>
            <w:tcW w:w="5220" w:type="dxa"/>
            <w:vAlign w:val="bottom"/>
            <w:tcBorders>
              <w:bottom w:val="single" w:sz="8" w:color="CCEEFF"/>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206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r>
      <w:tr>
        <w:trPr>
          <w:trHeight w:val="223"/>
        </w:trPr>
        <w:tc>
          <w:tcPr>
            <w:tcW w:w="650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29"/>
        </w:trPr>
        <w:tc>
          <w:tcPr>
            <w:tcW w:w="6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27.85 %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26.52 %</w:t>
            </w:r>
          </w:p>
        </w:tc>
      </w:tr>
      <w:tr>
        <w:trPr>
          <w:trHeight w:val="230"/>
        </w:trPr>
        <w:tc>
          <w:tcPr>
            <w:tcW w:w="6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29"/>
        </w:trPr>
        <w:tc>
          <w:tcPr>
            <w:tcW w:w="6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bl>
    <w:p>
      <w:pPr>
        <w:spacing w:after="0" w:line="56" w:lineRule="exact"/>
        <w:rPr>
          <w:sz w:val="20"/>
          <w:szCs w:val="20"/>
          <w:color w:val="auto"/>
        </w:rPr>
      </w:pPr>
    </w:p>
    <w:p>
      <w:pPr>
        <w:ind w:left="324" w:hanging="324"/>
        <w:spacing w:after="0"/>
        <w:tabs>
          <w:tab w:leader="none" w:pos="32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260" w:hanging="324"/>
        <w:spacing w:after="0" w:line="204" w:lineRule="auto"/>
        <w:tabs>
          <w:tab w:leader="none" w:pos="321"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11" w:lineRule="auto"/>
        <w:tabs>
          <w:tab w:leader="none" w:pos="321"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44"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2021, the Company had unearned stock-based compensation of $39,260,117 associated with the restricted stock grants issued under the 2019 Omnibus Plan and the prior plan. The unearned stock-based compensation related to these grants is being amortized to compensation expense over the applicable restriction periods. Amortization expense from restricted stock grants in the three months ended March 31, 2021 was $4,302,975</w:t>
      </w:r>
      <w:r>
        <w:rPr>
          <w:rFonts w:ascii="Arial" w:cs="Arial" w:eastAsia="Arial" w:hAnsi="Arial"/>
          <w:sz w:val="18"/>
          <w:szCs w:val="18"/>
          <w:color w:val="FAAC16"/>
        </w:rPr>
        <w:t>.</w:t>
      </w:r>
      <w:r>
        <w:rPr>
          <w:rFonts w:ascii="Arial" w:cs="Arial" w:eastAsia="Arial" w:hAnsi="Arial"/>
          <w:sz w:val="18"/>
          <w:szCs w:val="18"/>
          <w:color w:val="auto"/>
        </w:rPr>
        <w:t xml:space="preserve"> Amortization expense from restricted stock grants for the three months ended March 31, 2020 was $4,362,318.</w:t>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4"/>
        <w:spacing w:after="0" w:line="252"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35"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As of March 31, 2021, the Company had unearned stock-based compensation of $11,273,771 associated with these performance share grants. The unearned stock-based compensation related to these grants is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being amortized to compensation expense over the applicable performance periods. Amortization expense from performance share grants in the three months ended March 31, 2021 was $104,231</w:t>
      </w:r>
      <w:r>
        <w:rPr>
          <w:rFonts w:ascii="Arial" w:cs="Arial" w:eastAsia="Arial" w:hAnsi="Arial"/>
          <w:sz w:val="18"/>
          <w:szCs w:val="18"/>
          <w:color w:val="FAAC16"/>
        </w:rPr>
        <w:t>.</w:t>
      </w:r>
      <w:r>
        <w:rPr>
          <w:rFonts w:ascii="Arial" w:cs="Arial" w:eastAsia="Arial" w:hAnsi="Arial"/>
          <w:sz w:val="18"/>
          <w:szCs w:val="18"/>
          <w:color w:val="auto"/>
        </w:rPr>
        <w:t xml:space="preserve"> Amortization expense from performance share grants in the three months ended March 31, 2020 was $393,777.</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7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March 31, 2021, the Company has issued 1,386,879 shares under this plan.</w:t>
      </w:r>
    </w:p>
    <w:p>
      <w:pPr>
        <w:spacing w:after="0" w:line="231"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22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6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769,045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(2,384,589)</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(852,412)</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(692,090)</w:t>
            </w:r>
          </w:p>
        </w:tc>
      </w:tr>
      <w:tr>
        <w:trPr>
          <w:trHeight w:val="223"/>
        </w:trPr>
        <w:tc>
          <w:tcPr>
            <w:tcW w:w="6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(852,412)</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(692,090)</w:t>
            </w:r>
          </w:p>
        </w:tc>
      </w:tr>
      <w:tr>
        <w:trPr>
          <w:trHeight w:val="223"/>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(83,367)</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(3,076,679)</w:t>
            </w:r>
          </w:p>
        </w:tc>
      </w:tr>
      <w:tr>
        <w:trPr>
          <w:trHeight w:val="128"/>
        </w:trPr>
        <w:tc>
          <w:tcPr>
            <w:tcW w:w="6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6,082,007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1,095,486</w:t>
            </w: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(3,692,619)</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2,225,196</w:t>
            </w:r>
          </w:p>
        </w:tc>
      </w:tr>
      <w:tr>
        <w:trPr>
          <w:trHeight w:val="229"/>
        </w:trPr>
        <w:tc>
          <w:tcPr>
            <w:tcW w:w="6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(351,354)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(29,209)</w:t>
            </w:r>
          </w:p>
        </w:tc>
      </w:tr>
      <w:tr>
        <w:trPr>
          <w:trHeight w:val="223"/>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(4,043,973)</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2,195,987</w:t>
            </w:r>
          </w:p>
        </w:tc>
      </w:tr>
      <w:tr>
        <w:trPr>
          <w:trHeight w:val="223"/>
        </w:trPr>
        <w:tc>
          <w:tcPr>
            <w:tcW w:w="6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2,038,034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3,291,473</w:t>
            </w:r>
          </w:p>
        </w:tc>
      </w:tr>
      <w:tr>
        <w:trPr>
          <w:trHeight w:val="183"/>
        </w:trPr>
        <w:tc>
          <w:tcPr>
            <w:tcW w:w="6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1,954,667</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214,794</w:t>
            </w:r>
          </w:p>
        </w:tc>
      </w:tr>
      <w:tr>
        <w:trPr>
          <w:trHeight w:val="21"/>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right="120"/>
        <w:spacing w:after="0" w:line="261"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months ended March 31, 2021 and 2020.</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1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Details about Accumulated Other Comprehensive</w:t>
            </w: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rPr>
              <w:t>Amounts Reclassified from Other</w:t>
            </w:r>
          </w:p>
        </w:tc>
        <w:tc>
          <w:tcPr>
            <w:tcW w:w="12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 Statement of</w:t>
            </w:r>
          </w:p>
        </w:tc>
      </w:tr>
      <w:tr>
        <w:trPr>
          <w:trHeight w:val="215"/>
        </w:trPr>
        <w:tc>
          <w:tcPr>
            <w:tcW w:w="4160" w:type="dxa"/>
            <w:vAlign w:val="bottom"/>
            <w:gridSpan w:val="2"/>
          </w:tcPr>
          <w:p>
            <w:pPr>
              <w:ind w:left="1220"/>
              <w:spacing w:after="0"/>
              <w:rPr>
                <w:sz w:val="20"/>
                <w:szCs w:val="20"/>
                <w:color w:val="auto"/>
              </w:rPr>
            </w:pPr>
            <w:r>
              <w:rPr>
                <w:rFonts w:ascii="Arial" w:cs="Arial" w:eastAsia="Arial" w:hAnsi="Arial"/>
                <w:sz w:val="16"/>
                <w:szCs w:val="16"/>
                <w:b w:val="1"/>
                <w:bCs w:val="1"/>
                <w:color w:val="auto"/>
              </w:rPr>
              <w:t>Income Components</w:t>
            </w:r>
          </w:p>
        </w:tc>
        <w:tc>
          <w:tcPr>
            <w:tcW w:w="180" w:type="dxa"/>
            <w:vAlign w:val="bottom"/>
          </w:tcPr>
          <w:p>
            <w:pPr>
              <w:spacing w:after="0"/>
              <w:rPr>
                <w:sz w:val="18"/>
                <w:szCs w:val="18"/>
                <w:color w:val="auto"/>
              </w:rPr>
            </w:pPr>
          </w:p>
        </w:tc>
        <w:tc>
          <w:tcPr>
            <w:tcW w:w="244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Consolidated Income</w:t>
            </w:r>
          </w:p>
        </w:tc>
      </w:tr>
      <w:tr>
        <w:trPr>
          <w:trHeight w:val="183"/>
        </w:trPr>
        <w:tc>
          <w:tcPr>
            <w:tcW w:w="4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5"/>
                <w:szCs w:val="15"/>
                <w:color w:val="auto"/>
              </w:rPr>
            </w:pPr>
          </w:p>
        </w:tc>
        <w:tc>
          <w:tcPr>
            <w:tcW w:w="3520" w:type="dxa"/>
            <w:vAlign w:val="bottom"/>
            <w:tcBorders>
              <w:top w:val="single" w:sz="8" w:color="auto"/>
            </w:tcBorders>
          </w:tcPr>
          <w:p>
            <w:pPr>
              <w:spacing w:after="0"/>
              <w:rPr>
                <w:sz w:val="15"/>
                <w:szCs w:val="15"/>
                <w:color w:val="auto"/>
              </w:rPr>
            </w:pPr>
          </w:p>
        </w:tc>
      </w:tr>
      <w:tr>
        <w:trPr>
          <w:trHeight w:val="189"/>
        </w:trPr>
        <w:tc>
          <w:tcPr>
            <w:tcW w:w="4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r>
      <w:tr>
        <w:trPr>
          <w:trHeight w:val="168"/>
        </w:trPr>
        <w:tc>
          <w:tcPr>
            <w:tcW w:w="416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Unrealized gains on available-for-sale debt</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20" w:type="dxa"/>
            <w:vAlign w:val="bottom"/>
            <w:shd w:val="clear" w:color="auto" w:fill="CCEEFF"/>
          </w:tcPr>
          <w:p>
            <w:pPr>
              <w:spacing w:after="0"/>
              <w:rPr>
                <w:sz w:val="14"/>
                <w:szCs w:val="14"/>
                <w:color w:val="auto"/>
              </w:rPr>
            </w:pPr>
          </w:p>
        </w:tc>
      </w:tr>
      <w:tr>
        <w:trPr>
          <w:trHeight w:val="217"/>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r>
      <w:tr>
        <w:trPr>
          <w:trHeight w:val="188"/>
        </w:trPr>
        <w:tc>
          <w:tcPr>
            <w:tcW w:w="416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Realized gain on sale</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217"/>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of securities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444,752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36,974</w:t>
            </w: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Investment income</w:t>
            </w:r>
          </w:p>
        </w:tc>
      </w:tr>
      <w:tr>
        <w:trPr>
          <w:trHeight w:val="230"/>
        </w:trPr>
        <w:tc>
          <w:tcPr>
            <w:tcW w:w="4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(7,765)</w:t>
            </w: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0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29,209</w:t>
            </w:r>
          </w:p>
        </w:tc>
        <w:tc>
          <w:tcPr>
            <w:tcW w:w="12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1"/>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225"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March 31, 2021, there was no outstanding balance on the Revolver. The Revolver expires on October 15, 2023.</w:t>
      </w:r>
    </w:p>
    <w:p>
      <w:pPr>
        <w:spacing w:after="0" w:line="200" w:lineRule="exact"/>
        <w:rPr>
          <w:sz w:val="20"/>
          <w:szCs w:val="20"/>
          <w:color w:val="auto"/>
        </w:rPr>
      </w:pPr>
    </w:p>
    <w:p>
      <w:pPr>
        <w:spacing w:after="0" w:line="277"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Company is in compliance with its covenants under the Credit Agreement.</w:t>
      </w:r>
    </w:p>
    <w:p>
      <w:pPr>
        <w:spacing w:after="0" w:line="252"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decrease in common stock during the three months ended March 31, 2021, was primarily due to the repurchases of 2.8 million shares, partially offset by the issuance of 0.6 million shares of the Company’s common stock under the Company’s stock-based compensation plans. The total net decrease was 2.2 million shares.</w:t>
      </w:r>
    </w:p>
    <w:p>
      <w:pPr>
        <w:spacing w:after="0" w:line="22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recorded a cash dividend of $0.120 per share during the first quarter of 2021 as compared to a cash dividend of $0.120 per share during the first quarter of 2020. The first quarter 2021 dividend of $29.0 million was declared on March 2, 2021, and was paid on April 21, 2021.</w:t>
      </w:r>
    </w:p>
    <w:p>
      <w:pPr>
        <w:spacing w:after="0" w:line="200" w:lineRule="exact"/>
        <w:rPr>
          <w:sz w:val="20"/>
          <w:szCs w:val="20"/>
          <w:color w:val="auto"/>
        </w:rPr>
      </w:pPr>
    </w:p>
    <w:p>
      <w:pPr>
        <w:spacing w:after="0" w:line="27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29" w:lineRule="exact"/>
        <w:rPr>
          <w:sz w:val="20"/>
          <w:szCs w:val="20"/>
          <w:color w:val="auto"/>
        </w:rPr>
      </w:pPr>
    </w:p>
    <w:p>
      <w:pPr>
        <w:ind w:left="860" w:hanging="528"/>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In 2020, the Company acquired Vaporsens, which specializes in nanofiber chemical sensing. These three non-automotive segments are combined into the "Other" segment as shown below. In first quarter of 2021, the Company acquired Guardian Optical, which is combined in the Automotive Segment below. Further information in regards to the Guardian transaction is included in </w:t>
      </w:r>
      <w:hyperlink w:anchor="page20">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0" w:type="dxa"/>
            <w:vAlign w:val="bottom"/>
            <w:gridSpan w:val="3"/>
          </w:tcPr>
          <w:p>
            <w:pPr>
              <w:jc w:val="right"/>
              <w:ind w:right="873"/>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55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475,617,436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439,855,587</w:t>
            </w: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8,107,403</w:t>
            </w:r>
          </w:p>
        </w:tc>
        <w:tc>
          <w:tcPr>
            <w:tcW w:w="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13,906,139</w:t>
            </w: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483,724,839</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453,761,726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4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134,668,052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100,775,544</w:t>
            </w: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(934,351)</w:t>
            </w:r>
          </w:p>
        </w:tc>
        <w:tc>
          <w:tcPr>
            <w:tcW w:w="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4,251,623</w:t>
            </w: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133,733,701</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105,027,167</w:t>
            </w:r>
          </w:p>
        </w:tc>
      </w:tr>
      <w:tr>
        <w:trPr>
          <w:trHeight w:val="20"/>
        </w:trPr>
        <w:tc>
          <w:tcPr>
            <w:tcW w:w="5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effective tax rate was 16.1% in the three months ended March 31, 2021 compared to 16.6% for the same period in 2020.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23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month periods ended March 31,2021 and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420" w:type="dxa"/>
            <w:vAlign w:val="bottom"/>
          </w:tcPr>
          <w:p>
            <w:pPr>
              <w:spacing w:after="0"/>
              <w:rPr>
                <w:sz w:val="16"/>
                <w:szCs w:val="16"/>
                <w:color w:val="auto"/>
              </w:rPr>
            </w:pPr>
          </w:p>
        </w:tc>
      </w:tr>
      <w:tr>
        <w:trPr>
          <w:trHeight w:val="18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1014"/>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rPr>
              <w:t>2020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U.S.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146,425,317</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135,581,918</w:t>
            </w:r>
          </w:p>
        </w:tc>
      </w:tr>
      <w:tr>
        <w:trPr>
          <w:trHeight w:val="229"/>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69,415,184</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72,785,724</w:t>
            </w: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Japan</w:t>
            </w: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53,903,595</w:t>
            </w:r>
          </w:p>
        </w:tc>
        <w:tc>
          <w:tcPr>
            <w:tcW w:w="10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51,136,933</w:t>
            </w:r>
          </w:p>
        </w:tc>
      </w:tr>
      <w:tr>
        <w:trPr>
          <w:trHeight w:val="229"/>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31,745,988</w:t>
            </w:r>
          </w:p>
        </w:tc>
        <w:tc>
          <w:tcPr>
            <w:tcW w:w="10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45,950,481</w:t>
            </w:r>
          </w:p>
        </w:tc>
      </w:tr>
      <w:tr>
        <w:trPr>
          <w:trHeight w:val="229"/>
        </w:trPr>
        <w:tc>
          <w:tcPr>
            <w:tcW w:w="5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174,127,352</w:t>
            </w: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134,400,531</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475,617,436</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439,855,587</w:t>
            </w: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8,107,403</w:t>
            </w: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13,906,139</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483,724,839</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453,761,726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3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month periods ended March 31, 2021 and March 31, 2020:</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3"/>
          </w:tcPr>
          <w:p>
            <w:pPr>
              <w:jc w:val="right"/>
              <w:ind w:right="953"/>
              <w:spacing w:after="0"/>
              <w:rPr>
                <w:sz w:val="20"/>
                <w:szCs w:val="20"/>
                <w:color w:val="auto"/>
              </w:rPr>
            </w:pPr>
            <w:r>
              <w:rPr>
                <w:rFonts w:ascii="Arial" w:cs="Arial" w:eastAsia="Arial" w:hAnsi="Arial"/>
                <w:sz w:val="14"/>
                <w:szCs w:val="14"/>
                <w:b w:val="1"/>
                <w:bCs w:val="1"/>
                <w:color w:val="auto"/>
              </w:rPr>
              <w:t>Three Months Ended March 31,</w:t>
            </w:r>
          </w:p>
        </w:tc>
      </w:tr>
      <w:tr>
        <w:trPr>
          <w:trHeight w:val="228"/>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r>
      <w:tr>
        <w:trPr>
          <w:trHeight w:val="22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6080" w:type="dxa"/>
            <w:vAlign w:val="bottom"/>
            <w:gridSpan w:val="2"/>
          </w:tcPr>
          <w:p>
            <w:pPr>
              <w:ind w:left="240"/>
              <w:spacing w:after="0"/>
              <w:rPr>
                <w:sz w:val="20"/>
                <w:szCs w:val="20"/>
                <w:color w:val="auto"/>
              </w:rPr>
            </w:pPr>
            <w:r>
              <w:rPr>
                <w:rFonts w:ascii="Arial" w:cs="Arial" w:eastAsia="Arial" w:hAnsi="Arial"/>
                <w:sz w:val="18"/>
                <w:szCs w:val="18"/>
                <w:color w:val="auto"/>
              </w:rPr>
              <w:t>Automotive Mirrors &amp; Electronics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435,506,930</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401,085,314</w:t>
            </w:r>
          </w:p>
        </w:tc>
      </w:tr>
      <w:tr>
        <w:trPr>
          <w:trHeight w:val="230"/>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40,110,506</w:t>
            </w:r>
          </w:p>
        </w:tc>
        <w:tc>
          <w:tcPr>
            <w:tcW w:w="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38,770,273</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Total Automotive Products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475,617,436</w:t>
            </w:r>
          </w:p>
        </w:tc>
        <w:tc>
          <w:tcPr>
            <w:tcW w:w="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439,855,587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Other Segment</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5,804,158</w:t>
            </w:r>
          </w:p>
        </w:tc>
        <w:tc>
          <w:tcPr>
            <w:tcW w:w="5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6,168,751</w:t>
            </w:r>
          </w:p>
        </w:tc>
      </w:tr>
      <w:tr>
        <w:trPr>
          <w:trHeight w:val="230"/>
        </w:trPr>
        <w:tc>
          <w:tcPr>
            <w:tcW w:w="6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Windows Products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2,303,245</w:t>
            </w:r>
          </w:p>
        </w:tc>
        <w:tc>
          <w:tcPr>
            <w:tcW w:w="5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7,737,388</w:t>
            </w:r>
          </w:p>
        </w:tc>
      </w:tr>
      <w:tr>
        <w:trPr>
          <w:trHeight w:val="248"/>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8,107,403</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13,906,139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51435</wp:posOffset>
            </wp:positionV>
            <wp:extent cx="654939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9390" cy="146050"/>
                    </a:xfrm>
                    <a:prstGeom prst="rect">
                      <a:avLst/>
                    </a:prstGeom>
                    <a:noFill/>
                  </pic:spPr>
                </pic:pic>
              </a:graphicData>
            </a:graphic>
          </wp:anchor>
        </w:drawing>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March 31, 2021 was 2 years, with a weighted average discount rate of 1.2%.</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March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177800</wp:posOffset>
            </wp:positionV>
            <wp:extent cx="615505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55055" cy="120015"/>
                    </a:xfrm>
                    <a:prstGeom prst="rect">
                      <a:avLst/>
                    </a:prstGeom>
                    <a:noFill/>
                  </pic:spPr>
                </pic:pic>
              </a:graphicData>
            </a:graphic>
          </wp:anchor>
        </w:drawing>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6155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three months ended March 31, 2021)</w:t>
            </w:r>
          </w:p>
        </w:tc>
        <w:tc>
          <w:tcPr>
            <w:tcW w:w="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1,174,481</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1,044,745</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429,871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37,495</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2,692,426</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(17,007)</w:t>
            </w:r>
          </w:p>
        </w:tc>
      </w:tr>
      <w:tr>
        <w:trPr>
          <w:trHeight w:val="223"/>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2,675,419</w:t>
            </w:r>
          </w:p>
        </w:tc>
      </w:tr>
      <w:tr>
        <w:trPr>
          <w:trHeight w:val="614"/>
        </w:trPr>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189"/>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2021</w:t>
            </w:r>
          </w:p>
        </w:tc>
        <w:tc>
          <w:tcPr>
            <w:tcW w:w="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r>
      <w:tr>
        <w:trPr>
          <w:trHeight w:val="250"/>
        </w:trPr>
        <w:tc>
          <w:tcPr>
            <w:tcW w:w="7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1,524,418</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1,151,001</w:t>
            </w:r>
          </w:p>
        </w:tc>
      </w:tr>
      <w:tr>
        <w:trPr>
          <w:trHeight w:val="223"/>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September 18, 2020, the Company acquired the stock of Air-Craftglass, a Belgian company specializing in research and development of transparent products for the aviation industry, for an initial payment of $1.1 million. The Company funded the acquisition with a cash payment from cash on hand. The transaction also included contingent consideration based on future revenues. The Company is still in the process of verifying data and finalizing information related to the valuation and recording of identifiable intangible assets, deferred taxes, net working capital, contingent consideration liability, and the resulting effects on the amount of recorded goodwill. The Company expects to finalize these matters within the measurement period, which is currently expected to remain open through the second quarter of 2021.</w:t>
      </w:r>
    </w:p>
    <w:p>
      <w:pPr>
        <w:spacing w:after="0" w:line="23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Air-Craftglass is now a 100% owned subsidiary of the Company, and will be classified within the “Other” segment. The assets acquired and liabilities assumed as a part of this stock purchase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Air-Craftglass which were included in the Company’s condensed consolidated statements of income and comprehensive income for the year to date period ended March 31, 2021.</w:t>
      </w:r>
    </w:p>
    <w:p>
      <w:pPr>
        <w:spacing w:after="0" w:line="23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On December 14, 2020, the Company acquired the stock of Argil for $ 3.7 million, which was in addition to the previous $4.2 million cash equity investment by the Company in Argil. The Company funded the acquisition with a cash payment from cash on hand. Argil specializes in electrochromic technology and research and development, which the Company anticipates using to complement and expand its product offerings and leverage for manufacturing efficiencies. The Company is still in the process of verifying data and finalizing information related to the valuation and recording of identifiable intangible assets, deferred taxes, net working capital, and the resulting effects on the amount of recorded goodwill. The Company</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expects to finalize these matters within the measurement period, which is currently expected to remain open through the third quarter of 2021.</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Argil is now a 100% owned subsidiary of the Company, and has been classified within the “Automotive” segment. The assets acquired and liabilities assumed as part of this stock purchase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Argil which were included in the Company’s condensed consolidated statement of income and comprehensive income for the year to date period ended March 31, 2021.</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3, 2021 the Company acquired Guardian Optical Technologies ("Guardian") for approximately $12.0 million. Guardian is an Israeli research and development company that specializes in in-cabin sensing technologies for the automotive industry. The Company funded the acquisition with a cash payment from cash on hand. The Company is still in the process of verifying data and finalizing information related to the valuation and recording of identifiable intangible assets, deferred taxes, net working capital, contingent consideration liability, and the resulting effects on the amount of recorded goodwill. The Company expects to finalize these matters within the measurement period, which is currently expected to remain open through the fourth quarter of 2021.</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Guardian is now a 100% owned subsidiary of the Company, and is classified within the Automotive segment.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Guardian which were included in the Company’s condensed consolidated statement of income and comprehensive income for the year to date period ended March 31, 2021.</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 March 3, 2021: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Fair Value</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Personal Property</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R&amp;D</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11,994,440</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2,758,721</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14,800,161</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4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2,758,721</w:t>
            </w:r>
          </w:p>
        </w:tc>
      </w:tr>
      <w:tr>
        <w:trPr>
          <w:trHeight w:val="22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2,758,721</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12,041,440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Through March 31, 2021, the Company has incurred acquisition-related costs of approximately $350,000, which has been expensed as incurred in the "Selling, general &amp; administrative" section of its Condensed Consolidated Income Statement.</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21" w:name="page22"/>
    <w:bookmarkEnd w:id="21"/>
    <w:p>
      <w:pPr>
        <w:ind w:left="660" w:right="2560" w:hanging="647"/>
        <w:spacing w:after="0" w:line="557" w:lineRule="auto"/>
        <w:rPr>
          <w:sz w:val="20"/>
          <w:szCs w:val="20"/>
          <w:color w:val="auto"/>
        </w:rPr>
      </w:pPr>
      <w:r>
        <w:rPr>
          <w:rFonts w:ascii="Arial" w:cs="Arial" w:eastAsia="Arial" w:hAnsi="Arial"/>
          <w:sz w:val="17"/>
          <w:szCs w:val="17"/>
          <w:b w:val="1"/>
          <w:bCs w:val="1"/>
          <w:color w:val="auto"/>
        </w:rPr>
        <w:t xml:space="preserve">Item 2. Management’s Discussion and Analysis of Financial Condition and Results of Operations. </w:t>
      </w:r>
      <w:r>
        <w:rPr>
          <w:rFonts w:ascii="Arial" w:cs="Arial" w:eastAsia="Arial" w:hAnsi="Arial"/>
          <w:sz w:val="17"/>
          <w:szCs w:val="17"/>
          <w:b w:val="1"/>
          <w:bCs w:val="1"/>
          <w:u w:val="single" w:color="auto"/>
          <w:color w:val="auto"/>
        </w:rPr>
        <w:t>THREE MONTHS ENDED MARCH 31, 2021 VERSUS THREE MONTHS ENDED MARCH 31, 2020</w:t>
      </w:r>
    </w:p>
    <w:p>
      <w:pPr>
        <w:spacing w:after="0" w:line="1"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three months ended March 31, 2021 increased by $30.0 million or 7%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in 2020.</w:t>
      </w:r>
    </w:p>
    <w:p>
      <w:pPr>
        <w:spacing w:after="0" w:line="12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Automotive net sales for the first three months of 2021 were $475.6 million, up 8% compared with automotive net sales of $ 439.9 million for the first three months of 2020, driven by a 13% quarter over quarter increase in automotive mirror unit shipments. North American automotive mirror shipments in the three months ended March 31, 2021 increased 10% to 3.6 million units compared with the same quarter in 2020.</w:t>
      </w:r>
    </w:p>
    <w:p>
      <w:pPr>
        <w:spacing w:after="0" w:line="200" w:lineRule="exact"/>
        <w:rPr>
          <w:sz w:val="20"/>
          <w:szCs w:val="20"/>
          <w:color w:val="auto"/>
        </w:rPr>
      </w:pPr>
    </w:p>
    <w:p>
      <w:pPr>
        <w:spacing w:after="0" w:line="328" w:lineRule="exact"/>
        <w:rPr>
          <w:sz w:val="20"/>
          <w:szCs w:val="20"/>
          <w:color w:val="auto"/>
        </w:rPr>
      </w:pPr>
    </w:p>
    <w:p>
      <w:pPr>
        <w:jc w:val="both"/>
        <w:ind w:left="660" w:right="20"/>
        <w:spacing w:after="0" w:line="261"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2021, and 2020 </w:t>
      </w:r>
      <w:r>
        <w:rPr>
          <w:rFonts w:ascii="Arial" w:cs="Arial" w:eastAsia="Arial" w:hAnsi="Arial"/>
          <w:sz w:val="18"/>
          <w:szCs w:val="18"/>
          <w:i w:val="1"/>
          <w:iCs w:val="1"/>
          <w:color w:val="auto"/>
        </w:rPr>
        <w:t>(in thousands).</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3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r>
      <w:tr>
        <w:trPr>
          <w:trHeight w:val="183"/>
        </w:trPr>
        <w:tc>
          <w:tcPr>
            <w:tcW w:w="606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2021</w:t>
            </w:r>
          </w:p>
        </w:tc>
        <w:tc>
          <w:tcPr>
            <w:tcW w:w="166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2,073</w:t>
            </w:r>
          </w:p>
        </w:tc>
        <w:tc>
          <w:tcPr>
            <w:tcW w:w="1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2,019</w:t>
            </w:r>
          </w:p>
        </w:tc>
        <w:tc>
          <w:tcPr>
            <w:tcW w:w="114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3%</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7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1,493</w:t>
            </w:r>
          </w:p>
        </w:tc>
        <w:tc>
          <w:tcPr>
            <w:tcW w:w="16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1,234</w:t>
            </w:r>
          </w:p>
        </w:tc>
        <w:tc>
          <w:tcPr>
            <w:tcW w:w="11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21%</w:t>
            </w:r>
          </w:p>
        </w:tc>
      </w:tr>
      <w:tr>
        <w:trPr>
          <w:trHeight w:val="223"/>
        </w:trPr>
        <w:tc>
          <w:tcPr>
            <w:tcW w:w="6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3,566</w:t>
            </w:r>
          </w:p>
        </w:tc>
        <w:tc>
          <w:tcPr>
            <w:tcW w:w="1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3,253</w:t>
            </w:r>
          </w:p>
        </w:tc>
        <w:tc>
          <w:tcPr>
            <w:tcW w:w="11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10%</w:t>
            </w:r>
          </w:p>
        </w:tc>
      </w:tr>
      <w:tr>
        <w:trPr>
          <w:trHeight w:val="270"/>
        </w:trPr>
        <w:tc>
          <w:tcPr>
            <w:tcW w:w="60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5,779</w:t>
            </w:r>
          </w:p>
        </w:tc>
        <w:tc>
          <w:tcPr>
            <w:tcW w:w="1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5,032</w:t>
            </w:r>
          </w:p>
        </w:tc>
        <w:tc>
          <w:tcPr>
            <w:tcW w:w="11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15%</w:t>
            </w: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7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2,436</w:t>
            </w:r>
          </w:p>
        </w:tc>
        <w:tc>
          <w:tcPr>
            <w:tcW w:w="16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2,108</w:t>
            </w:r>
          </w:p>
        </w:tc>
        <w:tc>
          <w:tcPr>
            <w:tcW w:w="11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16%</w:t>
            </w:r>
          </w:p>
        </w:tc>
      </w:tr>
      <w:tr>
        <w:trPr>
          <w:trHeight w:val="223"/>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8,215</w:t>
            </w:r>
          </w:p>
        </w:tc>
        <w:tc>
          <w:tcPr>
            <w:tcW w:w="1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7,141</w:t>
            </w:r>
          </w:p>
        </w:tc>
        <w:tc>
          <w:tcPr>
            <w:tcW w:w="11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15%</w:t>
            </w:r>
          </w:p>
        </w:tc>
      </w:tr>
      <w:tr>
        <w:trPr>
          <w:trHeight w:val="270"/>
        </w:trPr>
        <w:tc>
          <w:tcPr>
            <w:tcW w:w="60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7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7,852</w:t>
            </w:r>
          </w:p>
        </w:tc>
        <w:tc>
          <w:tcPr>
            <w:tcW w:w="1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7,051</w:t>
            </w:r>
          </w:p>
        </w:tc>
        <w:tc>
          <w:tcPr>
            <w:tcW w:w="114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11%</w:t>
            </w:r>
          </w:p>
        </w:tc>
      </w:tr>
      <w:tr>
        <w:trPr>
          <w:trHeight w:val="229"/>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7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3,929</w:t>
            </w:r>
          </w:p>
        </w:tc>
        <w:tc>
          <w:tcPr>
            <w:tcW w:w="16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3,343</w:t>
            </w:r>
          </w:p>
        </w:tc>
        <w:tc>
          <w:tcPr>
            <w:tcW w:w="11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9"/>
              </w:rPr>
              <w:t>18%</w:t>
            </w:r>
          </w:p>
        </w:tc>
      </w:tr>
      <w:tr>
        <w:trPr>
          <w:trHeight w:val="248"/>
        </w:trPr>
        <w:tc>
          <w:tcPr>
            <w:tcW w:w="6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Auto-Dimming Mirror Units</w:t>
            </w:r>
          </w:p>
        </w:tc>
        <w:tc>
          <w:tcPr>
            <w:tcW w:w="17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11,780</w:t>
            </w:r>
          </w:p>
        </w:tc>
        <w:tc>
          <w:tcPr>
            <w:tcW w:w="16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10,394</w:t>
            </w:r>
          </w:p>
        </w:tc>
        <w:tc>
          <w:tcPr>
            <w:tcW w:w="1140" w:type="dxa"/>
            <w:vAlign w:val="bottom"/>
            <w:tcBorders>
              <w:bottom w:val="single" w:sz="8" w:color="auto"/>
            </w:tcBorders>
            <w:shd w:val="clear" w:color="auto" w:fill="CCEEFF"/>
          </w:tcPr>
          <w:p>
            <w:pPr>
              <w:jc w:val="center"/>
              <w:ind w:right="212"/>
              <w:spacing w:after="0"/>
              <w:rPr>
                <w:sz w:val="20"/>
                <w:szCs w:val="20"/>
                <w:color w:val="auto"/>
              </w:rPr>
            </w:pPr>
            <w:r>
              <w:rPr>
                <w:rFonts w:ascii="Arial" w:cs="Arial" w:eastAsia="Arial" w:hAnsi="Arial"/>
                <w:sz w:val="18"/>
                <w:szCs w:val="18"/>
                <w:color w:val="auto"/>
                <w:w w:val="99"/>
              </w:rPr>
              <w:t>13%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38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62.1% for the first three months of 2021,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65.5% in the same quarter last year. The quarter over quarter increase in the gross profit margin was primarily the result of the Company's increase in order strength, positive incremental product mix and structural cost savings put in place during the second quarter of 2020. These improvements in gross margin were partially offset by raw material cost increases partially stemming from industry wide electronics and other part shortages and increased freight costs. On a quarter over quarter basis, each of the positive mix factors positively contributed approximately 100-150 basis points to the gross margin, while the combination of the freight and raw material cost increases negatively impacted the gross margin by approximately 100-150 basis points.</w:t>
      </w:r>
    </w:p>
    <w:p>
      <w:pPr>
        <w:spacing w:after="0" w:line="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("E, R &amp; D")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7% or $ 2.0 million when compared with the same quarter last year. The decrease in E, R &amp; D was primarily due reductions in wages and discretionary spending stemming from the structural cost reductions put in place in the second quarter of 2020.</w:t>
      </w:r>
    </w:p>
    <w:p>
      <w:pPr>
        <w:spacing w:after="0" w:line="13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Selling, general, and administrative expenses ("S, G &amp; A") for the first three months of 2021 decreased 0.1% or less than $0.1 million when compared with the same quarter last year. The Company recognized S,G &amp; A savings from the structural cost savings put in place in the second quarter of 2020, but those savings were mostly offset by increases in professional fees and outbound freight costs. A lack of international travel and the cancellation of all industry-based trade shows due to the COVID-19 pandemic also contributed to lower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2" w:name="page23"/>
    <w:bookmarkEnd w:id="22"/>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three months ended March 31, 2021 was $1.5 million compared with $2.2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quarter last year.</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16.1% for the three months ended March 31, 2021 compared to 16.6%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2020, as a result of increased foreign derived intangible income deductions, as well as increased discrete benefits from stock-based compensation.</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three months ended March 31, 2021 increased by $23.9 million or 27% to $113.5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$89.5 million in the same period last year. The increase in net income was driven by the quarter over quarter increase in sales, improved product mix, higher gross margins and the continued operating leverage as a result of the structural cost savings that were put in place during the second quarter of 2020.</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three months ended March 31, 2021 of $0.46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$0.36 for the three months ended March 31, 2020. The increase in earnings per share is the result of the higher net income and a lower diluted share count when compared to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cash and cash equivalents as of March 31, 2021 were $455.9 million, which increased $32.6 million compared to $423.4 million as of December 31, 2020. The increase was primarily due to cash flows from operations, which was partially offset by share repurchases, dividend payments, and capital expenditures, during the three months ended March 31, 2021.</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investments as of March 31, 2021 were $25.9 million, down from $27.2 million as of December 31, 2020, and long-term investments were $172.9 million as of March 31, 2021, compared to $162.0 million as of December 31, 2020. Changes in the investment balances were primarily driven by changes in fixed income investment purchases during the quarter.</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Accounts receivable as of March 31, 2021 decreased approximately $ 7.2 million compared to December 31, 2020, primarily due to the timing of sales during the most recently completed quarter. As of March 31, 2021, all of the Company's material tier one and OEM customers continue to be in good standing.</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as of March 31, 2021 were $233.1 million, compared to $226.3 million as of December 31, 2020, primarily due to increases in raw materials and finished goods.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Accounts payable as of March 31, 2021 increased approximately $22.3 million to $107.1 million when compared to December 31, 2020, primarily driven by month end payment timing.</w:t>
      </w:r>
    </w:p>
    <w:p>
      <w:pPr>
        <w:spacing w:after="0" w:line="1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Accrued liabilities as of March 31, 2021 increased approximately $ 23.2 million compared to December 31, 2020, primarily due to an increase in accrued salaries and wages as well as accrued income taxes.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 from operating activities for the three months ended March 31, 2021 increased $39.6 million to $190.8 million, compared with $151.3 million during the same three month period last year, primarily due to increased net income and changes in working capital.</w:t>
      </w:r>
    </w:p>
    <w:p>
      <w:pPr>
        <w:spacing w:after="0" w:line="1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Capital expenditures for the three months ended March 31, 2021 were approximately $12.6 million, compared with approximately $15.6 million for the same three month period last year.</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787,285,554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801,593,707</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172,934,410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162,028,068</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960,219,964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963,621,775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During the three months ended March 31, 2021, the Company repurchased 2,755,065 shares. The Company has 6,664,201 shares remaining under the plan as of March 31, 2021</w:t>
      </w:r>
      <w:r>
        <w:rPr>
          <w:rFonts w:ascii="Arial" w:cs="Arial" w:eastAsia="Arial" w:hAnsi="Arial"/>
          <w:sz w:val="18"/>
          <w:szCs w:val="18"/>
          <w:color w:val="FAAC16"/>
        </w:rPr>
        <w:t>,</w:t>
      </w:r>
      <w:r>
        <w:rPr>
          <w:rFonts w:ascii="Arial" w:cs="Arial" w:eastAsia="Arial" w:hAnsi="Arial"/>
          <w:sz w:val="18"/>
          <w:szCs w:val="18"/>
          <w:color w:val="auto"/>
        </w:rPr>
        <w:t xml:space="preserve"> as is further detailed in </w:t>
      </w:r>
      <w:hyperlink w:anchor="page36">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ectPr>
          <w:pgSz w:w="11900" w:h="16838" w:orient="portrait"/>
          <w:cols w:equalWidth="0" w:num="1">
            <w:col w:w="10580"/>
          </w:cols>
          <w:pgMar w:left="980" w:top="1183"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first quarter of 2021, the Company reported net sales of $483.7 million, which was an increase of 7% compared to net sales of $453.8 million in the first quarter of 2020. During the first quarter of 2021, vehicle production levels were negatively impacted by electronics and other part shortage issues. These shortages were the primary reason for the 12% reduction in North American light vehicle production compared to the beginning of the quarter forecasts. The part shortages also impacted light vehicle production levels in Europe and the Japan and Korea markets which were each down 3% versus the beginning of the quarter forecasts. The part shortages and corresponding change to light vehicle production are estimated to have reduced Company revenue in the first quarter of 2021 by approximately $45 million. Despite these issues, the first quarter of 2021 was the second highest sales quarter in Company history, behind only the fourth quarter of 2020.</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Interior and exterior auto-dimming mirrors and advanced electronic features were launched on 10 net new nameplates during the first quarter of 2021 (net of previously announced losses). Of these new launches in the first quarter of 2021, approximately 50% contained advanced features, which was primarily driven by HomeLink</w:t>
      </w:r>
      <w:r>
        <w:rPr>
          <w:rFonts w:ascii="Arial" w:cs="Arial" w:eastAsia="Arial" w:hAnsi="Arial"/>
          <w:sz w:val="23"/>
          <w:szCs w:val="23"/>
          <w:color w:val="auto"/>
          <w:vertAlign w:val="superscript"/>
        </w:rPr>
        <w:t>®</w:t>
      </w:r>
      <w:r>
        <w:rPr>
          <w:rFonts w:ascii="Arial" w:cs="Arial" w:eastAsia="Arial" w:hAnsi="Arial"/>
          <w:sz w:val="18"/>
          <w:szCs w:val="18"/>
          <w:color w:val="auto"/>
        </w:rPr>
        <w:t>,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and Full Display Mirror</w:t>
      </w:r>
      <w:r>
        <w:rPr>
          <w:rFonts w:ascii="Arial" w:cs="Arial" w:eastAsia="Arial" w:hAnsi="Arial"/>
          <w:sz w:val="23"/>
          <w:szCs w:val="23"/>
          <w:color w:val="auto"/>
          <w:vertAlign w:val="superscript"/>
        </w:rPr>
        <w:t>®</w:t>
      </w:r>
      <w:r>
        <w:rPr>
          <w:rFonts w:ascii="Arial" w:cs="Arial" w:eastAsia="Arial" w:hAnsi="Arial"/>
          <w:sz w:val="23"/>
          <w:szCs w:val="23"/>
          <w:color w:val="auto"/>
          <w:vertAlign w:val="subscript"/>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6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38"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As of the first quarter of 2021, the Company is shipping production Full Display Mirrors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eight different automaker customers, which are General Motors, Subaru, Toyota, Nissan, Jaguar Land Rover, Mitsubishi, Aston Martin, and Stellantis. As of the end of the first quarter of 2021, the Company is shipping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on 53 nameplates. The second quarter 2020 launch of the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Toyota Harrier was the first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launch with Digital Video Recording ("DVR") capability. This mirror and system launched in the Japan market, and combine the superior functionality of the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the added capability to record video from the rearward facing and forward-facing cameras simultaneously. Per OEM request, the data is stored to an SD storage card. This integrated solution provides consumers with the features they want, while allowing the OEM to control the integration and execution in the vehicle. The Company remains confident that on-going discussions with certain other customers, in the future, may cause such customers to consider adding the Full Display Mirror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into their product road-map for future vehicles.</w:t>
      </w:r>
    </w:p>
    <w:p>
      <w:pPr>
        <w:spacing w:after="0" w:line="15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0" w:right="339" w:bottom="1440" w:gutter="0" w:footer="0" w:header="0"/>
        </w:sectPr>
      </w:pPr>
    </w:p>
    <w:bookmarkStart w:id="25" w:name="page26"/>
    <w:bookmarkEnd w:id="25"/>
    <w:p>
      <w:pPr>
        <w:jc w:val="both"/>
        <w:spacing w:after="0" w:line="244" w:lineRule="auto"/>
        <w:rPr>
          <w:sz w:val="20"/>
          <w:szCs w:val="20"/>
          <w:color w:val="auto"/>
        </w:rPr>
      </w:pPr>
      <w:r>
        <w:rPr>
          <w:rFonts w:ascii="Arial" w:cs="Arial" w:eastAsia="Arial" w:hAnsi="Arial"/>
          <w:sz w:val="18"/>
          <w:szCs w:val="18"/>
          <w:color w:val="auto"/>
        </w:rPr>
        <w:t>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 In January 2020, the Company announced a collaboration with Aston Martin to bring CMS to future Aston Martin vehicles.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5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w:t>
      </w:r>
    </w:p>
    <w:p>
      <w:pPr>
        <w:spacing w:after="0" w:line="233"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6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7" w:right="339" w:bottom="1440" w:gutter="0" w:footer="0" w:header="0"/>
        </w:sectPr>
      </w:pPr>
    </w:p>
    <w:bookmarkStart w:id="27" w:name="page28"/>
    <w:bookmarkEnd w:id="27"/>
    <w:p>
      <w:pPr>
        <w:jc w:val="both"/>
        <w:spacing w:after="0" w:line="231" w:lineRule="auto"/>
        <w:rPr>
          <w:sz w:val="20"/>
          <w:szCs w:val="20"/>
          <w:color w:val="auto"/>
        </w:rPr>
      </w:pPr>
      <w:r>
        <w:rPr>
          <w:rFonts w:ascii="Arial" w:cs="Arial" w:eastAsia="Arial" w:hAnsi="Arial"/>
          <w:sz w:val="18"/>
          <w:szCs w:val="18"/>
          <w:color w:val="auto"/>
        </w:rPr>
        <w:t>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3rd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24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 January 2017, the Company signed an extension of its agreement, in the ordinary course of business, which enables the Company to offer the Integrated Toll Module system in Canada and Mexico. In September 2019, the Company signed a new agreement with TransCore, in the ordinary course of business, which extended the term of the partnership.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31"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9 platforms, which are: the A4, A5, A6, A7, Q5,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2022 and 2023, as well as the initial launch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its second OEM. The launch is targeted to begin production shipments in the first half of calendar year 2021.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30"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36"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In January 2018, the Company also announced that an agreement had been signed with Yonomi Inc., in the ordinary course of business, to access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home automation app that pairs with the vehicle and allows drivers to operate home automation devices from the vehicle. Drivers of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97"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8"/>
          <w:szCs w:val="18"/>
          <w:color w:val="auto"/>
        </w:rPr>
        <w:t>In November 2020, the Company announced a partnership, in the ordinary course of business, with PayByCar™, to pursue compatibility between the Company's Integrated Toll Module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 the automotive industry’s leading car-to-home automation system. HomeLink® consists of vehicle-integrated buttons that can be programmed to operate a myriad of home automation devices. Integration of Simplenight into the Company's HomeLink Connect® app is underway and will allow users to program their HomeLink® buttons and control cloud-based devices from their vehicles.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an aircraft with production starting in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2021, the Company will be continuing to work on the intelligent medical lighting system in order to assess system performance and work toward obtaining any necessary approvals.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Automotive revenues represent approximately 98% - 99% of the Company's total revenue, consisting of interior and exterior electrochromic automatic-dimming rearview mirrors and automotive electronics.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current forecasts for light vehicle production for the second quarter 2021, and full years 2021 and 2022 are based on the mid-April 2021 IHS Markit forecast for light vehicle production in North America, Europe, Japan/Korea and China. Light vehicle production in the Company's primary markets is expected to increase 46% for the second quarter of 2021 versus the same period last year as a result of rebounds in North America, Europe and Japan/Korea production as compared to the COVID-19 impacted second quarter of 2020. For calendar year 2021, light vehicle production in our primary markets is forecasted to increase 10% when compared to calendar year 2020. Second quarter 2021, and calendar years 2021 and 2022 forecasted vehicle production volumes are shown below:</w:t>
      </w:r>
    </w:p>
    <w:p>
      <w:pPr>
        <w:spacing w:after="0" w:line="247"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color w:val="auto"/>
        </w:rPr>
        <w:t>Light Vehicle Production (per IHS Markit Automotive mid-April light vehicle production forecast)</w:t>
      </w:r>
    </w:p>
    <w:p>
      <w:pPr>
        <w:spacing w:after="0" w:line="31"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i w:val="1"/>
          <w:iCs w:val="1"/>
          <w:color w:val="auto"/>
        </w:rPr>
        <w:t>(in Millions)</w:t>
      </w:r>
    </w:p>
    <w:tbl>
      <w:tblPr>
        <w:tblLayout w:type="fixed"/>
        <w:tblInd w:w="0" w:type="dxa"/>
        <w:tblCellMar>
          <w:top w:w="0" w:type="dxa"/>
          <w:left w:w="0" w:type="dxa"/>
          <w:bottom w:w="0" w:type="dxa"/>
          <w:right w:w="0" w:type="dxa"/>
        </w:tblCellMar>
      </w:tblPr>
      <w:tr>
        <w:trPr>
          <w:trHeight w:val="158"/>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Q2 2021</w:t>
            </w:r>
          </w:p>
        </w:tc>
        <w:tc>
          <w:tcPr>
            <w:tcW w:w="7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Q2 2020</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940" w:type="dxa"/>
            <w:vAlign w:val="bottom"/>
          </w:tcPr>
          <w:p>
            <w:pPr>
              <w:jc w:val="right"/>
              <w:ind w:right="95"/>
              <w:spacing w:after="0" w:line="157" w:lineRule="exact"/>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95"/>
              <w:spacing w:after="0" w:line="157" w:lineRule="exact"/>
              <w:rPr>
                <w:sz w:val="20"/>
                <w:szCs w:val="20"/>
                <w:color w:val="auto"/>
              </w:rPr>
            </w:pPr>
            <w:r>
              <w:rPr>
                <w:rFonts w:ascii="Arial" w:cs="Arial" w:eastAsia="Arial" w:hAnsi="Arial"/>
                <w:sz w:val="14"/>
                <w:szCs w:val="14"/>
                <w:b w:val="1"/>
                <w:bCs w:val="1"/>
                <w:color w:val="auto"/>
              </w:rPr>
              <w:t>Calendar</w:t>
            </w:r>
          </w:p>
        </w:tc>
        <w:tc>
          <w:tcPr>
            <w:tcW w:w="104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Calendar</w:t>
            </w:r>
          </w:p>
        </w:tc>
        <w:tc>
          <w:tcPr>
            <w:tcW w:w="1220" w:type="dxa"/>
            <w:vAlign w:val="bottom"/>
          </w:tcPr>
          <w:p>
            <w:pPr>
              <w:jc w:val="right"/>
              <w:ind w:right="95"/>
              <w:spacing w:after="0" w:line="157" w:lineRule="exact"/>
              <w:rPr>
                <w:sz w:val="20"/>
                <w:szCs w:val="20"/>
                <w:color w:val="auto"/>
              </w:rPr>
            </w:pPr>
            <w:r>
              <w:rPr>
                <w:rFonts w:ascii="Arial" w:cs="Arial" w:eastAsia="Arial" w:hAnsi="Arial"/>
                <w:sz w:val="14"/>
                <w:szCs w:val="14"/>
                <w:b w:val="1"/>
                <w:bCs w:val="1"/>
                <w:color w:val="auto"/>
              </w:rPr>
              <w:t>2022 vs 2021</w:t>
            </w:r>
          </w:p>
        </w:tc>
        <w:tc>
          <w:tcPr>
            <w:tcW w:w="1200" w:type="dxa"/>
            <w:vAlign w:val="bottom"/>
            <w:tcBorders>
              <w:right w:val="single" w:sz="8" w:color="auto"/>
            </w:tcBorders>
          </w:tcPr>
          <w:p>
            <w:pPr>
              <w:jc w:val="right"/>
              <w:ind w:right="95"/>
              <w:spacing w:after="0" w:line="157" w:lineRule="exact"/>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175"/>
        </w:trPr>
        <w:tc>
          <w:tcPr>
            <w:tcW w:w="19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rPr>
              <w:t>Year 2022</w:t>
            </w: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rPr>
              <w:t>Year 2021</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2020</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3.78</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16.86</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15.68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Europe</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4.70</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900" w:type="dxa"/>
            <w:vAlign w:val="bottom"/>
          </w:tcPr>
          <w:p>
            <w:pPr>
              <w:jc w:val="right"/>
              <w:spacing w:after="0"/>
              <w:rPr>
                <w:sz w:val="20"/>
                <w:szCs w:val="20"/>
                <w:color w:val="auto"/>
              </w:rPr>
            </w:pPr>
            <w:r>
              <w:rPr>
                <w:rFonts w:ascii="Arial" w:cs="Arial" w:eastAsia="Arial" w:hAnsi="Arial"/>
                <w:sz w:val="18"/>
                <w:szCs w:val="18"/>
                <w:color w:val="auto"/>
              </w:rPr>
              <w:t>109 %</w:t>
            </w:r>
          </w:p>
        </w:tc>
        <w:tc>
          <w:tcPr>
            <w:tcW w:w="1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20.06</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18.63</w:t>
            </w:r>
          </w:p>
        </w:tc>
        <w:tc>
          <w:tcPr>
            <w:tcW w:w="90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12.35</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11.74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5.94</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26.29</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24.87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Light Vehicle</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17.12</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11.72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75.56</w:t>
            </w: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70.92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40" w:type="dxa"/>
            <w:vAlign w:val="bottom"/>
            <w:shd w:val="clear" w:color="auto" w:fill="CCEEFF"/>
          </w:tcPr>
          <w:p>
            <w:pPr>
              <w:spacing w:after="0"/>
              <w:rPr>
                <w:sz w:val="14"/>
                <w:szCs w:val="14"/>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0"/>
        </w:trPr>
        <w:tc>
          <w:tcPr>
            <w:tcW w:w="196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Production</w:t>
            </w: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this light vehicle production forecast, the structural cost savings that were implemented in 2020, and the first quarter 2021 results, the Company is making no changes to its previously provided guidance for calendar year 2021 as shown below. However, over the last several quarters, the Company has been closely monitoring the tariff discussions between the US and the EU. Currently, EU Regulation 2018/0886 is scheduled to go into effect on June 1, 2021. The Company remains hopeful that a trade agreement can be reached before this date so that the increased tariffs do not take effect. If these tariffs do go into effect on June 1, 2021, the Company estimates an impact in 2021 of approximately $7 - $10 million in incremental expense that is not contemplated in the guidance for 2021 set forth below:</w:t>
      </w:r>
    </w:p>
    <w:p>
      <w:pPr>
        <w:spacing w:after="0" w:line="234" w:lineRule="exact"/>
        <w:rPr>
          <w:sz w:val="20"/>
          <w:szCs w:val="20"/>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is expected to be between $1.94 and $2.02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is expected to be between 39% and 40%</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$210 to $220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16% and 18%</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 are expected to be between $85 and $95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$105 and $110 million</w:t>
      </w:r>
    </w:p>
    <w:p>
      <w:pPr>
        <w:spacing w:after="0" w:line="200" w:lineRule="exact"/>
        <w:rPr>
          <w:sz w:val="20"/>
          <w:szCs w:val="20"/>
          <w:color w:val="auto"/>
        </w:rPr>
      </w:pPr>
    </w:p>
    <w:p>
      <w:pPr>
        <w:spacing w:after="0" w:line="2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Ongoing uncertainties remain around the impact of the COVID-19 pandemic on customer demand and restrictions on operations. COVID-19 has created unprecedented circumstances for the Company's industries, which included massive changes to production levels at its customers, which occurred in a very short time period. Beyond the impact of the COVID-19 pandemic, other ongoing uncertainties remain including: light vehicle production levels; impacts of already in place and potential additional future tariffs; impacts of regulation changes; automotive plant shutdowns; supplier part shortages;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previously announced share repurchase plan, the Company continue to will consider the appropriateness of any share repurchases for the remainder of 2021. This determination will take into account macroeconomic issues (including the impact of the COVID-19 pandemic), market trends, and other factors that the Company deems appropriate (including the market price of the stock, anti-dilutive effect of</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31" w:name="page32"/>
    <w:bookmarkEnd w:id="31"/>
    <w:p>
      <w:pPr>
        <w:jc w:val="both"/>
        <w:spacing w:after="0" w:line="246" w:lineRule="auto"/>
        <w:rPr>
          <w:sz w:val="20"/>
          <w:szCs w:val="20"/>
          <w:color w:val="auto"/>
        </w:rPr>
      </w:pPr>
      <w:r>
        <w:rPr>
          <w:rFonts w:ascii="Arial" w:cs="Arial" w:eastAsia="Arial" w:hAnsi="Arial"/>
          <w:sz w:val="18"/>
          <w:szCs w:val="18"/>
          <w:color w:val="auto"/>
        </w:rPr>
        <w:t>repurchases, tax rates, and available cash). As of March 31, 2021, the Company has 6.7 million shares remaining available for repurchase under the previously announced share repurchase plan.</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based on the mid-April 2021 light vehicle production estimates for 2022, the Company is providing revenue guidance for 2022, despite the fact that there continues to be significant uncertainty regarding macroeconomic conditions, underlying overall consumer demand for light vehicles worldwide, and the continued impact from the COVID-19 pandemic. The Company estimates that revenue for calendar year 2022 will be approximately 8% - 13% higher than estimated revenue in calendar year 2021.</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49"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6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3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2020.</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impairment of available for sale securities (mark-to-market adjustments). During the quarter ended March 31, 2021, material changes in risk factors were disclosed in the Company's report on Form 10-K for the year ended December 31, 2020 are set forth herein.</w:t>
      </w:r>
    </w:p>
    <w:p>
      <w:pPr>
        <w:spacing w:after="0" w:line="13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has been and will continue to be affected by uncertain economic conditions in North American and foreign markets that have and could continue to reduce demand for its products.</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33" w:name="page34"/>
    <w:bookmarkEnd w:id="33"/>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2021, and have concluded that as of that date, the Company's disclosure controls and procedures are effective.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2021 that materially affected, or are reasonably likely to materially affect, the Company's internal control over financial reporting.</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“plan,” “poised,” “predict,” “project,” “should,” “strategy,” “target,”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supply chain disruptions; our dependence on key management;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w:t>
      </w:r>
    </w:p>
    <w:p>
      <w:pPr>
        <w:spacing w:after="0" w:line="233"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that has affected, and will continue to affect, general economic and industry conditions, customers, suppliers, and the regulatory environment in which the Company operates. Includes content supplied by IHS Markit Light Vehicle Production Forecast of April 16, 2021 (http://www.gentex.com/forecast-disclaimer).</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Other Information</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May 3, 2021, Scott Ryan, Vice President and General Counsel of the Company, entered into a stock trading plan in accordance with Rule 10b5-1 of the Securities Exchange Act of 1934 providing for a third-party broker to sell shares of common stock of the Company that Mr. Ryan may acquire upon the vesting of 1,820 restricted shares awarded in 2017; 8,000 restricted shares awarded in 2018; 4,958 restricted shares awarded in 2019; and 11,722 performance shares (payable in common stock) that were awarded in 2019, subject to certain performance conditions. This plan also provides for a third-party broker to sell 4,580 shares of common stock issuable upon exercise of stock options awarded to Mr. Ryan in 2015. Further, this plan provides for a third-party broker to sell 4,644 shares Mr. Ryan purchased under the Employee Stock Purchase Plan acquired at various times from 2014 through 2019. Options will be exercised and/or shares will be sold under the stock trading plan on the open market over the period of time and according to the other parameters set forth under the stock trading plan. The stock trading plan terminates on April 15, 2022.</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3, 2021, Matt Chiodo, Vice President of Sales of the Company, entered into a stock trading plan in accordance with Rule 10b5-1 of the Securities Exchange Act of 1934 providing for a third-party broker to sell shares of common stock of the Company that Mr. Chiodo may acquire upon the vesting of 5,700 restricted shares of common stock awarded in 2017; 8,000 restricted shares awarded in 2018; 5,382 restricted shares awarded in 2019; and 12,726 performance shares (payable in common stock) that were awarded in 2019, subject to certain performance conditions . The shares will be sold under the stock trading plan on the open market over the period of time and according to the other parameters set forth under the stock trading plan. The stock trading plan terminates on April 15, 2022.</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Rule 10b5-1 trading plans are permitted under the Company’s insider trading policy and other policies, and, to the extent required, transactions under such trading plans will be disclosed publicly through Form 144 and/or Form 4 filings with the Securities and Exchange Commission. Except as may be required by law, the Company does not undertake any obligation to report Rule 10b5-1 plans by officers or directors of the Company in the future, or to report modifications or terminations of any such plans, whether or not any such plans were publicly announced.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2020. There have been no material changes to the risk factors previously disclosed in the Company’s report on Form 10-K for the year ended December 31, 2020, except to the extent described in Part I – Item 2 and Item 3 of this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74"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quarter of 2021, the Company repurchased 2,755,065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After the Company repurchased 2,755,065 shares during the first quarter of 2021, the Company has 6.7 million shares remaining under the plan as of March 31,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quarter ended March 31, 2021:</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5300" w:type="dxa"/>
            <w:vAlign w:val="bottom"/>
            <w:gridSpan w:val="3"/>
          </w:tcPr>
          <w:p>
            <w:pPr>
              <w:jc w:val="right"/>
              <w:ind w:right="1498"/>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75"/>
        </w:trPr>
        <w:tc>
          <w:tcPr>
            <w:tcW w:w="242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9,419,266</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February 2021</w:t>
            </w:r>
          </w:p>
        </w:tc>
        <w:tc>
          <w:tcPr>
            <w:tcW w:w="1800" w:type="dxa"/>
            <w:vAlign w:val="bottom"/>
          </w:tcPr>
          <w:p>
            <w:pPr>
              <w:jc w:val="right"/>
              <w:spacing w:after="0"/>
              <w:rPr>
                <w:sz w:val="20"/>
                <w:szCs w:val="20"/>
                <w:color w:val="auto"/>
              </w:rPr>
            </w:pPr>
            <w:r>
              <w:rPr>
                <w:rFonts w:ascii="Arial" w:cs="Arial" w:eastAsia="Arial" w:hAnsi="Arial"/>
                <w:sz w:val="18"/>
                <w:szCs w:val="18"/>
                <w:color w:val="auto"/>
              </w:rPr>
              <w:t>1,005,009</w:t>
            </w:r>
          </w:p>
        </w:tc>
        <w:tc>
          <w:tcPr>
            <w:tcW w:w="1440" w:type="dxa"/>
            <w:vAlign w:val="bottom"/>
          </w:tcPr>
          <w:p>
            <w:pPr>
              <w:jc w:val="right"/>
              <w:spacing w:after="0"/>
              <w:rPr>
                <w:sz w:val="20"/>
                <w:szCs w:val="20"/>
                <w:color w:val="auto"/>
              </w:rPr>
            </w:pPr>
            <w:r>
              <w:rPr>
                <w:rFonts w:ascii="Arial" w:cs="Arial" w:eastAsia="Arial" w:hAnsi="Arial"/>
                <w:sz w:val="18"/>
                <w:szCs w:val="18"/>
                <w:color w:val="auto"/>
              </w:rPr>
              <w:t>35.27</w:t>
            </w:r>
          </w:p>
        </w:tc>
        <w:tc>
          <w:tcPr>
            <w:tcW w:w="2060" w:type="dxa"/>
            <w:vAlign w:val="bottom"/>
          </w:tcPr>
          <w:p>
            <w:pPr>
              <w:jc w:val="right"/>
              <w:spacing w:after="0"/>
              <w:rPr>
                <w:sz w:val="20"/>
                <w:szCs w:val="20"/>
                <w:color w:val="auto"/>
              </w:rPr>
            </w:pPr>
            <w:r>
              <w:rPr>
                <w:rFonts w:ascii="Arial" w:cs="Arial" w:eastAsia="Arial" w:hAnsi="Arial"/>
                <w:sz w:val="18"/>
                <w:szCs w:val="18"/>
                <w:color w:val="auto"/>
              </w:rPr>
              <w:t>1,005,009</w:t>
            </w:r>
          </w:p>
        </w:tc>
        <w:tc>
          <w:tcPr>
            <w:tcW w:w="2060" w:type="dxa"/>
            <w:vAlign w:val="bottom"/>
          </w:tcPr>
          <w:p>
            <w:pPr>
              <w:jc w:val="right"/>
              <w:spacing w:after="0"/>
              <w:rPr>
                <w:sz w:val="20"/>
                <w:szCs w:val="20"/>
                <w:color w:val="auto"/>
              </w:rPr>
            </w:pPr>
            <w:r>
              <w:rPr>
                <w:rFonts w:ascii="Arial" w:cs="Arial" w:eastAsia="Arial" w:hAnsi="Arial"/>
                <w:sz w:val="18"/>
                <w:szCs w:val="18"/>
                <w:color w:val="auto"/>
              </w:rPr>
              <w:t>8,414,257</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1,750,056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1,750,056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6,664,201</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1st Quarter 2021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2,755,065</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35.46</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2,755,065</w:t>
            </w:r>
          </w:p>
        </w:tc>
        <w:tc>
          <w:tcPr>
            <w:tcW w:w="2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2021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2,755,065</w:t>
            </w:r>
          </w:p>
        </w:tc>
        <w:tc>
          <w:tcPr>
            <w:tcW w:w="1440" w:type="dxa"/>
            <w:vAlign w:val="bottom"/>
          </w:tcPr>
          <w:p>
            <w:pPr>
              <w:jc w:val="right"/>
              <w:spacing w:after="0"/>
              <w:rPr>
                <w:sz w:val="20"/>
                <w:szCs w:val="20"/>
                <w:color w:val="auto"/>
              </w:rPr>
            </w:pPr>
            <w:r>
              <w:rPr>
                <w:rFonts w:ascii="Arial" w:cs="Arial" w:eastAsia="Arial" w:hAnsi="Arial"/>
                <w:sz w:val="18"/>
                <w:szCs w:val="18"/>
                <w:color w:val="auto"/>
              </w:rPr>
              <w:t>35.46</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2,755,065</w:t>
            </w:r>
          </w:p>
        </w:tc>
        <w:tc>
          <w:tcPr>
            <w:tcW w:w="2060" w:type="dxa"/>
            <w:vAlign w:val="bottom"/>
          </w:tcPr>
          <w:p>
            <w:pPr>
              <w:jc w:val="right"/>
              <w:spacing w:after="0"/>
              <w:rPr>
                <w:sz w:val="20"/>
                <w:szCs w:val="20"/>
                <w:color w:val="auto"/>
              </w:rPr>
            </w:pPr>
            <w:r>
              <w:rPr>
                <w:rFonts w:ascii="Arial" w:cs="Arial" w:eastAsia="Arial" w:hAnsi="Arial"/>
                <w:sz w:val="18"/>
                <w:szCs w:val="18"/>
                <w:color w:val="auto"/>
              </w:rPr>
              <w:t>6,664,201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660" w:right="860"/>
        <w:spacing w:after="0" w:line="261" w:lineRule="auto"/>
        <w:rPr>
          <w:sz w:val="20"/>
          <w:szCs w:val="20"/>
          <w:color w:val="auto"/>
        </w:rPr>
      </w:pPr>
      <w:r>
        <w:rPr>
          <w:rFonts w:ascii="Arial" w:cs="Arial" w:eastAsia="Arial" w:hAnsi="Arial"/>
          <w:sz w:val="18"/>
          <w:szCs w:val="18"/>
          <w:color w:val="auto"/>
        </w:rPr>
        <w:t>As of March 31, 2021 the Company has repurchased 140,335,527 shares at a total cost of $2,295,209,819 under its share repurchase plan or as otherwise previously disclosed.</w:t>
      </w:r>
    </w:p>
    <w:p>
      <w:pPr>
        <w:spacing w:after="0" w:line="200" w:lineRule="exact"/>
        <w:rPr>
          <w:sz w:val="20"/>
          <w:szCs w:val="20"/>
          <w:color w:val="auto"/>
        </w:rPr>
      </w:pPr>
    </w:p>
    <w:p>
      <w:pPr>
        <w:spacing w:after="0" w:line="24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31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7">
        <w:r>
          <w:rPr>
            <w:rFonts w:ascii="Arial" w:cs="Arial" w:eastAsia="Arial" w:hAnsi="Arial"/>
            <w:sz w:val="18"/>
            <w:szCs w:val="18"/>
            <w:u w:val="single" w:color="auto"/>
            <w:color w:val="0000FF"/>
          </w:rPr>
          <w:t>38</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6, 2021</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23"/>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6, 2021</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23"/>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bl>
    <w:p>
      <w:pPr>
        <w:spacing w:after="0" w:line="13" w:lineRule="exact"/>
        <w:rPr>
          <w:sz w:val="20"/>
          <w:szCs w:val="20"/>
          <w:color w:val="auto"/>
        </w:rPr>
      </w:pPr>
    </w:p>
    <w:p>
      <w:pPr>
        <w:ind w:left="3480" w:right="1360"/>
        <w:spacing w:after="0" w:line="227"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6"/>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1320" w:type="dxa"/>
            <w:vAlign w:val="bottom"/>
          </w:tcPr>
          <w:p>
            <w:pPr>
              <w:ind w:left="20"/>
              <w:spacing w:after="0" w:line="188"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88" w:lineRule="exact"/>
              <w:rPr>
                <w:rFonts w:ascii="Arial" w:cs="Arial" w:eastAsia="Arial" w:hAnsi="Arial"/>
                <w:sz w:val="18"/>
                <w:szCs w:val="18"/>
                <w:color w:val="0000FF"/>
              </w:rPr>
            </w:pPr>
            <w:hyperlink w:anchor="page39">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(18 U.S.C. 1350).</w:t>
              </w:r>
            </w:hyperlink>
          </w:p>
        </w:tc>
        <w:tc>
          <w:tcPr>
            <w:tcW w:w="1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(18 U.S.C. 1350).</w:t>
              </w:r>
            </w:hyperlink>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320" w:right="300" w:hanging="1294"/>
        <w:spacing w:after="0" w:line="227" w:lineRule="auto"/>
        <w:tabs>
          <w:tab w:leader="none" w:pos="1320" w:val="left"/>
        </w:tabs>
        <w:numPr>
          <w:ilvl w:val="0"/>
          <w:numId w:val="21"/>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Sarbanes-Oxley Act of 2002 (18 U.S.C. 1350).</w:t>
        </w:r>
      </w:hyperlink>
    </w:p>
    <w:tbl>
      <w:tblPr>
        <w:tblLayout w:type="fixed"/>
        <w:tblInd w:w="0" w:type="dxa"/>
        <w:tblCellMar>
          <w:top w:w="0" w:type="dxa"/>
          <w:left w:w="0" w:type="dxa"/>
          <w:bottom w:w="0" w:type="dxa"/>
          <w:right w:w="0" w:type="dxa"/>
        </w:tblCellMar>
      </w:tblPr>
      <w:tr>
        <w:trPr>
          <w:trHeight w:val="189"/>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17"/>
        </w:trPr>
        <w:tc>
          <w:tcPr>
            <w:tcW w:w="1040" w:type="dxa"/>
            <w:vAlign w:val="bottom"/>
            <w:shd w:val="clear" w:color="auto" w:fill="CCEEFF"/>
          </w:tcPr>
          <w:p>
            <w:pPr>
              <w:spacing w:after="0"/>
              <w:rPr>
                <w:sz w:val="18"/>
                <w:szCs w:val="18"/>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92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0" w:lineRule="auto"/>
        <w:tabs>
          <w:tab w:leader="none" w:pos="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38"/>
        <w:spacing w:after="0" w:line="256" w:lineRule="auto"/>
        <w:tabs>
          <w:tab w:leader="none" w:pos="6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38"/>
        <w:spacing w:after="0" w:line="261" w:lineRule="auto"/>
        <w:tabs>
          <w:tab w:leader="none" w:pos="6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38"/>
        <w:spacing w:after="0" w:line="261" w:lineRule="auto"/>
        <w:tabs>
          <w:tab w:leader="none" w:pos="6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0"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8"/>
          <w:szCs w:val="18"/>
          <w:color w:val="auto"/>
        </w:rPr>
      </w:pPr>
    </w:p>
    <w:p>
      <w:pPr>
        <w:jc w:val="both"/>
        <w:ind w:left="660" w:hanging="238"/>
        <w:spacing w:after="0" w:line="256" w:lineRule="auto"/>
        <w:tabs>
          <w:tab w:leader="none" w:pos="6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hanging="238"/>
        <w:spacing w:after="0" w:line="256" w:lineRule="auto"/>
        <w:tabs>
          <w:tab w:leader="none" w:pos="6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hanging="238"/>
        <w:spacing w:after="0" w:line="261" w:lineRule="auto"/>
        <w:tabs>
          <w:tab w:leader="none" w:pos="6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38"/>
        <w:spacing w:after="0" w:line="261" w:lineRule="auto"/>
        <w:tabs>
          <w:tab w:leader="none" w:pos="6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27"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25" w:lineRule="exact"/>
        <w:rPr>
          <w:sz w:val="20"/>
          <w:szCs w:val="20"/>
          <w:color w:val="auto"/>
        </w:rPr>
      </w:pPr>
    </w:p>
    <w:p>
      <w:pPr>
        <w:ind w:left="240" w:hanging="232"/>
        <w:spacing w:after="0" w:line="261" w:lineRule="auto"/>
        <w:tabs>
          <w:tab w:leader="none" w:pos="2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2021, which this statement accompanies,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40" w:hanging="232"/>
        <w:spacing w:after="0" w:line="261" w:lineRule="auto"/>
        <w:tabs>
          <w:tab w:leader="none" w:pos="3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2021,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14"/>
    </w:lvl>
  </w:abstractNum>
  <w:abstractNum w:abstractNumId="17">
    <w:nsid w:val="628C895D"/>
    <w:multiLevelType w:val="hybridMultilevel"/>
    <w:lvl w:ilvl="0">
      <w:lvlJc w:val="left"/>
      <w:lvlText w:val="(%1)"/>
      <w:numFmt w:val="decimal"/>
      <w:start w:val="15"/>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2021-05-06T08:04:17Z</dcterms:created>
  <dcterms:modified xsi:type="dcterms:W3CDTF">2021-05-06T08:04:17Z</dcterms:modified>
</cp:coreProperties>
</file>