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XBRL</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3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0"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For the quarterly period ended September 30, 2020 or</w:t>
      </w:r>
    </w:p>
    <w:p>
      <w:pPr>
        <w:spacing w:after="0" w:line="287"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420" w:type="dxa"/>
            <w:vAlign w:val="bottom"/>
          </w:tcPr>
          <w:p>
            <w:pPr>
              <w:ind w:left="340"/>
              <w:spacing w:after="0"/>
              <w:rPr>
                <w:sz w:val="20"/>
                <w:szCs w:val="20"/>
                <w:color w:val="auto"/>
              </w:rPr>
            </w:pPr>
            <w:r>
              <w:rPr>
                <w:rFonts w:ascii="Arial" w:cs="Arial" w:eastAsia="Arial" w:hAnsi="Arial"/>
                <w:sz w:val="16"/>
                <w:szCs w:val="16"/>
                <w:color w:val="auto"/>
              </w:rPr>
              <w:t>For the transition period from</w:t>
            </w:r>
          </w:p>
        </w:tc>
        <w:tc>
          <w:tcPr>
            <w:tcW w:w="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to</w:t>
            </w:r>
          </w:p>
        </w:tc>
        <w:tc>
          <w:tcPr>
            <w:tcW w:w="5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4280" w:type="dxa"/>
            <w:vAlign w:val="bottom"/>
            <w:gridSpan w:val="6"/>
          </w:tcPr>
          <w:p>
            <w:pPr>
              <w:ind w:left="340"/>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0-10235</w:t>
            </w:r>
          </w:p>
        </w:tc>
        <w:tc>
          <w:tcPr>
            <w:tcW w:w="6980" w:type="dxa"/>
            <w:vAlign w:val="bottom"/>
            <w:gridSpan w:val="2"/>
            <w:vMerge w:val="restart"/>
          </w:tcPr>
          <w:p>
            <w:pPr>
              <w:jc w:val="center"/>
              <w:ind w:right="4223"/>
              <w:spacing w:after="0"/>
              <w:rPr>
                <w:sz w:val="20"/>
                <w:szCs w:val="20"/>
                <w:color w:val="auto"/>
              </w:rPr>
            </w:pPr>
            <w:r>
              <w:rPr>
                <w:rFonts w:ascii="Arial" w:cs="Arial" w:eastAsia="Arial" w:hAnsi="Arial"/>
                <w:sz w:val="22"/>
                <w:szCs w:val="22"/>
                <w:b w:val="1"/>
                <w:bCs w:val="1"/>
                <w:color w:val="auto"/>
                <w:w w:val="97"/>
              </w:rPr>
              <w:t>GENTEX CORPORATION</w:t>
            </w:r>
          </w:p>
        </w:tc>
        <w:tc>
          <w:tcPr>
            <w:tcW w:w="0" w:type="dxa"/>
            <w:vAlign w:val="bottom"/>
          </w:tcPr>
          <w:p>
            <w:pPr>
              <w:spacing w:after="0"/>
              <w:rPr>
                <w:sz w:val="1"/>
                <w:szCs w:val="1"/>
                <w:color w:val="auto"/>
              </w:rPr>
            </w:pPr>
          </w:p>
        </w:tc>
      </w:tr>
      <w:tr>
        <w:trPr>
          <w:trHeight w:val="224"/>
        </w:trPr>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540" w:type="dxa"/>
            <w:vAlign w:val="bottom"/>
            <w:gridSpan w:val="3"/>
          </w:tcPr>
          <w:p>
            <w:pPr>
              <w:jc w:val="center"/>
              <w:ind w:right="3663"/>
              <w:spacing w:after="0"/>
              <w:rPr>
                <w:sz w:val="20"/>
                <w:szCs w:val="20"/>
                <w:color w:val="auto"/>
              </w:rPr>
            </w:pPr>
            <w:r>
              <w:rPr>
                <w:rFonts w:ascii="Arial" w:cs="Arial" w:eastAsia="Arial" w:hAnsi="Arial"/>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41"/>
        </w:trPr>
        <w:tc>
          <w:tcPr>
            <w:tcW w:w="4280" w:type="dxa"/>
            <w:vAlign w:val="bottom"/>
            <w:gridSpan w:val="6"/>
          </w:tcPr>
          <w:p>
            <w:pPr>
              <w:jc w:val="center"/>
              <w:ind w:left="1224"/>
              <w:spacing w:after="0"/>
              <w:rPr>
                <w:sz w:val="20"/>
                <w:szCs w:val="20"/>
                <w:color w:val="auto"/>
              </w:rPr>
            </w:pPr>
            <w:r>
              <w:rPr>
                <w:rFonts w:ascii="Arial" w:cs="Arial" w:eastAsia="Arial" w:hAnsi="Arial"/>
                <w:sz w:val="18"/>
                <w:szCs w:val="18"/>
                <w:b w:val="1"/>
                <w:bCs w:val="1"/>
                <w:color w:val="auto"/>
                <w:w w:val="99"/>
              </w:rPr>
              <w:t>Michigan</w:t>
            </w:r>
          </w:p>
        </w:tc>
        <w:tc>
          <w:tcPr>
            <w:tcW w:w="2200" w:type="dxa"/>
            <w:vAlign w:val="bottom"/>
          </w:tcPr>
          <w:p>
            <w:pPr>
              <w:spacing w:after="0"/>
              <w:rPr>
                <w:sz w:val="20"/>
                <w:szCs w:val="20"/>
                <w:color w:val="auto"/>
              </w:rPr>
            </w:pPr>
          </w:p>
        </w:tc>
        <w:tc>
          <w:tcPr>
            <w:tcW w:w="4780" w:type="dxa"/>
            <w:vAlign w:val="bottom"/>
          </w:tcPr>
          <w:p>
            <w:pPr>
              <w:jc w:val="right"/>
              <w:ind w:right="2263"/>
              <w:spacing w:after="0"/>
              <w:rPr>
                <w:sz w:val="20"/>
                <w:szCs w:val="20"/>
                <w:color w:val="auto"/>
              </w:rPr>
            </w:pPr>
            <w:r>
              <w:rPr>
                <w:rFonts w:ascii="Arial" w:cs="Arial" w:eastAsia="Arial" w:hAnsi="Arial"/>
                <w:sz w:val="18"/>
                <w:szCs w:val="18"/>
                <w:b w:val="1"/>
                <w:bCs w:val="1"/>
                <w:color w:val="auto"/>
              </w:rPr>
              <w:t>38-2030505</w:t>
            </w:r>
          </w:p>
        </w:tc>
        <w:tc>
          <w:tcPr>
            <w:tcW w:w="0" w:type="dxa"/>
            <w:vAlign w:val="bottom"/>
          </w:tcPr>
          <w:p>
            <w:pPr>
              <w:spacing w:after="0"/>
              <w:rPr>
                <w:sz w:val="1"/>
                <w:szCs w:val="1"/>
                <w:color w:val="auto"/>
              </w:rPr>
            </w:pPr>
          </w:p>
        </w:tc>
      </w:tr>
      <w:tr>
        <w:trPr>
          <w:trHeight w:val="148"/>
        </w:trPr>
        <w:tc>
          <w:tcPr>
            <w:tcW w:w="4280" w:type="dxa"/>
            <w:vAlign w:val="bottom"/>
            <w:gridSpan w:val="6"/>
          </w:tcPr>
          <w:p>
            <w:pPr>
              <w:jc w:val="center"/>
              <w:ind w:left="1244"/>
              <w:spacing w:after="0" w:line="148" w:lineRule="exact"/>
              <w:rPr>
                <w:sz w:val="20"/>
                <w:szCs w:val="20"/>
                <w:color w:val="auto"/>
              </w:rPr>
            </w:pPr>
            <w:r>
              <w:rPr>
                <w:rFonts w:ascii="Arial" w:cs="Arial" w:eastAsia="Arial" w:hAnsi="Arial"/>
                <w:sz w:val="14"/>
                <w:szCs w:val="14"/>
                <w:color w:val="auto"/>
              </w:rPr>
              <w:t>(State or other jurisdiction of</w:t>
            </w:r>
          </w:p>
        </w:tc>
        <w:tc>
          <w:tcPr>
            <w:tcW w:w="2200" w:type="dxa"/>
            <w:vAlign w:val="bottom"/>
          </w:tcPr>
          <w:p>
            <w:pPr>
              <w:spacing w:after="0"/>
              <w:rPr>
                <w:sz w:val="12"/>
                <w:szCs w:val="12"/>
                <w:color w:val="auto"/>
              </w:rPr>
            </w:pPr>
          </w:p>
        </w:tc>
        <w:tc>
          <w:tcPr>
            <w:tcW w:w="4780" w:type="dxa"/>
            <w:vAlign w:val="bottom"/>
          </w:tcPr>
          <w:p>
            <w:pPr>
              <w:jc w:val="center"/>
              <w:ind w:right="783"/>
              <w:spacing w:after="0" w:line="148"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4"/>
        </w:trPr>
        <w:tc>
          <w:tcPr>
            <w:tcW w:w="4280" w:type="dxa"/>
            <w:vAlign w:val="bottom"/>
            <w:gridSpan w:val="6"/>
          </w:tcPr>
          <w:p>
            <w:pPr>
              <w:jc w:val="center"/>
              <w:ind w:left="1244"/>
              <w:spacing w:after="0"/>
              <w:rPr>
                <w:sz w:val="20"/>
                <w:szCs w:val="20"/>
                <w:color w:val="auto"/>
              </w:rPr>
            </w:pPr>
            <w:r>
              <w:rPr>
                <w:rFonts w:ascii="Arial" w:cs="Arial" w:eastAsia="Arial" w:hAnsi="Arial"/>
                <w:sz w:val="14"/>
                <w:szCs w:val="14"/>
                <w:color w:val="auto"/>
              </w:rPr>
              <w:t>incorporation or organization)</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45"/>
        </w:trPr>
        <w:tc>
          <w:tcPr>
            <w:tcW w:w="4280" w:type="dxa"/>
            <w:vAlign w:val="bottom"/>
            <w:gridSpan w:val="6"/>
          </w:tcPr>
          <w:p>
            <w:pPr>
              <w:jc w:val="center"/>
              <w:ind w:left="1244"/>
              <w:spacing w:after="0"/>
              <w:rPr>
                <w:sz w:val="20"/>
                <w:szCs w:val="20"/>
                <w:color w:val="auto"/>
              </w:rPr>
            </w:pPr>
            <w:r>
              <w:rPr>
                <w:rFonts w:ascii="Arial" w:cs="Arial" w:eastAsia="Arial" w:hAnsi="Arial"/>
                <w:sz w:val="16"/>
                <w:szCs w:val="16"/>
                <w:b w:val="1"/>
                <w:bCs w:val="1"/>
                <w:color w:val="auto"/>
              </w:rPr>
              <w:t>600 N. Centennial</w:t>
            </w:r>
          </w:p>
        </w:tc>
        <w:tc>
          <w:tcPr>
            <w:tcW w:w="22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gridSpan w:val="4"/>
          </w:tcPr>
          <w:p>
            <w:pPr>
              <w:jc w:val="center"/>
              <w:ind w:right="1088"/>
              <w:spacing w:after="0"/>
              <w:rPr>
                <w:sz w:val="20"/>
                <w:szCs w:val="20"/>
                <w:color w:val="auto"/>
              </w:rPr>
            </w:pPr>
            <w:r>
              <w:rPr>
                <w:rFonts w:ascii="Arial" w:cs="Arial" w:eastAsia="Arial" w:hAnsi="Arial"/>
                <w:sz w:val="16"/>
                <w:szCs w:val="16"/>
                <w:b w:val="1"/>
                <w:bCs w:val="1"/>
                <w:color w:val="auto"/>
              </w:rPr>
              <w:t>Zeeland</w:t>
            </w:r>
          </w:p>
        </w:tc>
        <w:tc>
          <w:tcPr>
            <w:tcW w:w="2200" w:type="dxa"/>
            <w:vAlign w:val="bottom"/>
          </w:tcPr>
          <w:p>
            <w:pPr>
              <w:spacing w:after="0"/>
              <w:rPr>
                <w:sz w:val="18"/>
                <w:szCs w:val="18"/>
                <w:color w:val="auto"/>
              </w:rPr>
            </w:pPr>
          </w:p>
        </w:tc>
        <w:tc>
          <w:tcPr>
            <w:tcW w:w="4780" w:type="dxa"/>
            <w:vAlign w:val="bottom"/>
            <w:vMerge w:val="restart"/>
          </w:tcPr>
          <w:p>
            <w:pPr>
              <w:jc w:val="right"/>
              <w:ind w:right="2503"/>
              <w:spacing w:after="0"/>
              <w:rPr>
                <w:sz w:val="20"/>
                <w:szCs w:val="20"/>
                <w:color w:val="auto"/>
              </w:rPr>
            </w:pPr>
            <w:r>
              <w:rPr>
                <w:rFonts w:ascii="Arial" w:cs="Arial" w:eastAsia="Arial" w:hAnsi="Arial"/>
                <w:sz w:val="18"/>
                <w:szCs w:val="18"/>
                <w:b w:val="1"/>
                <w:bCs w:val="1"/>
                <w:color w:val="auto"/>
              </w:rPr>
              <w:t>49464</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1860" w:type="dxa"/>
            <w:vAlign w:val="bottom"/>
            <w:gridSpan w:val="5"/>
          </w:tcPr>
          <w:p>
            <w:pPr>
              <w:jc w:val="center"/>
              <w:ind w:right="1048"/>
              <w:spacing w:after="0"/>
              <w:rPr>
                <w:sz w:val="20"/>
                <w:szCs w:val="20"/>
                <w:color w:val="auto"/>
              </w:rPr>
            </w:pPr>
            <w:r>
              <w:rPr>
                <w:rFonts w:ascii="Arial" w:cs="Arial" w:eastAsia="Arial" w:hAnsi="Arial"/>
                <w:sz w:val="16"/>
                <w:szCs w:val="16"/>
                <w:b w:val="1"/>
                <w:bCs w:val="1"/>
                <w:color w:val="auto"/>
              </w:rPr>
              <w:t>Michigan</w:t>
            </w:r>
          </w:p>
        </w:tc>
        <w:tc>
          <w:tcPr>
            <w:tcW w:w="2200" w:type="dxa"/>
            <w:vAlign w:val="bottom"/>
          </w:tcPr>
          <w:p>
            <w:pPr>
              <w:spacing w:after="0"/>
              <w:rPr>
                <w:sz w:val="20"/>
                <w:szCs w:val="20"/>
                <w:color w:val="auto"/>
              </w:rPr>
            </w:pP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80" w:type="dxa"/>
            <w:vAlign w:val="bottom"/>
            <w:gridSpan w:val="6"/>
          </w:tcPr>
          <w:p>
            <w:pPr>
              <w:jc w:val="center"/>
              <w:ind w:left="1224"/>
              <w:spacing w:after="0"/>
              <w:rPr>
                <w:sz w:val="20"/>
                <w:szCs w:val="20"/>
                <w:color w:val="auto"/>
              </w:rPr>
            </w:pPr>
            <w:r>
              <w:rPr>
                <w:rFonts w:ascii="Arial" w:cs="Arial" w:eastAsia="Arial" w:hAnsi="Arial"/>
                <w:sz w:val="14"/>
                <w:szCs w:val="14"/>
                <w:color w:val="auto"/>
              </w:rPr>
              <w:t>(Address of principal executive offices)</w:t>
            </w:r>
          </w:p>
        </w:tc>
        <w:tc>
          <w:tcPr>
            <w:tcW w:w="2200" w:type="dxa"/>
            <w:vAlign w:val="bottom"/>
          </w:tcPr>
          <w:p>
            <w:pPr>
              <w:spacing w:after="0"/>
              <w:rPr>
                <w:sz w:val="16"/>
                <w:szCs w:val="16"/>
                <w:color w:val="auto"/>
              </w:rPr>
            </w:pPr>
          </w:p>
        </w:tc>
        <w:tc>
          <w:tcPr>
            <w:tcW w:w="4780" w:type="dxa"/>
            <w:vAlign w:val="bottom"/>
          </w:tcPr>
          <w:p>
            <w:pPr>
              <w:jc w:val="center"/>
              <w:ind w:right="7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05"/>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jc w:val="right"/>
              <w:ind w:right="155"/>
              <w:spacing w:after="0"/>
              <w:rPr>
                <w:sz w:val="20"/>
                <w:szCs w:val="20"/>
                <w:color w:val="auto"/>
              </w:rPr>
            </w:pPr>
            <w:r>
              <w:rPr>
                <w:rFonts w:ascii="Arial" w:cs="Arial" w:eastAsia="Arial" w:hAnsi="Arial"/>
                <w:sz w:val="18"/>
                <w:szCs w:val="18"/>
                <w:b w:val="1"/>
                <w:bCs w:val="1"/>
                <w:color w:val="auto"/>
              </w:rPr>
              <w:t>(616) 772-1800</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540" w:type="dxa"/>
            <w:vAlign w:val="bottom"/>
            <w:gridSpan w:val="3"/>
          </w:tcPr>
          <w:p>
            <w:pPr>
              <w:jc w:val="center"/>
              <w:ind w:right="3643"/>
              <w:spacing w:after="0" w:line="158" w:lineRule="exact"/>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8840" w:type="dxa"/>
            <w:vAlign w:val="bottom"/>
            <w:gridSpan w:val="7"/>
          </w:tcPr>
          <w:p>
            <w:pPr>
              <w:jc w:val="right"/>
              <w:ind w:right="3883"/>
              <w:spacing w:after="0"/>
              <w:rPr>
                <w:sz w:val="20"/>
                <w:szCs w:val="20"/>
                <w:color w:val="auto"/>
              </w:rPr>
            </w:pPr>
            <w:r>
              <w:rPr>
                <w:rFonts w:ascii="Arial" w:cs="Arial" w:eastAsia="Arial" w:hAnsi="Arial"/>
                <w:sz w:val="11"/>
                <w:szCs w:val="11"/>
                <w:color w:val="auto"/>
              </w:rPr>
              <w:t>________________________________________________________</w:t>
            </w:r>
          </w:p>
        </w:tc>
        <w:tc>
          <w:tcPr>
            <w:tcW w:w="0" w:type="dxa"/>
            <w:vAlign w:val="bottom"/>
          </w:tcPr>
          <w:p>
            <w:pPr>
              <w:spacing w:after="0"/>
              <w:rPr>
                <w:sz w:val="1"/>
                <w:szCs w:val="1"/>
                <w:color w:val="auto"/>
              </w:rPr>
            </w:pPr>
          </w:p>
        </w:tc>
      </w:tr>
      <w:tr>
        <w:trPr>
          <w:trHeight w:val="417"/>
        </w:trPr>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gridSpan w:val="5"/>
          </w:tcPr>
          <w:p>
            <w:pPr>
              <w:jc w:val="center"/>
              <w:ind w:right="2923"/>
              <w:spacing w:after="0"/>
              <w:rPr>
                <w:sz w:val="20"/>
                <w:szCs w:val="20"/>
                <w:color w:val="auto"/>
              </w:rPr>
            </w:pPr>
            <w:r>
              <w:rPr>
                <w:rFonts w:ascii="Arial" w:cs="Arial" w:eastAsia="Arial" w:hAnsi="Arial"/>
                <w:sz w:val="14"/>
                <w:szCs w:val="14"/>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567"/>
        </w:trPr>
        <w:tc>
          <w:tcPr>
            <w:tcW w:w="428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2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Title of each class</w:t>
            </w: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Trading Symbol(s)</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3"/>
        </w:trPr>
        <w:tc>
          <w:tcPr>
            <w:tcW w:w="4280" w:type="dxa"/>
            <w:vAlign w:val="bottom"/>
            <w:tcBorders>
              <w:left w:val="single" w:sz="8" w:color="auto"/>
              <w:bottom w:val="single" w:sz="8" w:color="auto"/>
              <w:right w:val="single" w:sz="8" w:color="auto"/>
            </w:tcBorders>
            <w:gridSpan w:val="6"/>
          </w:tcPr>
          <w:p>
            <w:pPr>
              <w:ind w:left="40"/>
              <w:spacing w:after="0"/>
              <w:rPr>
                <w:sz w:val="20"/>
                <w:szCs w:val="20"/>
                <w:color w:val="auto"/>
              </w:rPr>
            </w:pPr>
            <w:r>
              <w:rPr>
                <w:rFonts w:ascii="Arial" w:cs="Arial" w:eastAsia="Arial" w:hAnsi="Arial"/>
                <w:sz w:val="14"/>
                <w:szCs w:val="14"/>
                <w:color w:val="auto"/>
              </w:rPr>
              <w:t>Common Stock, par value $0.06 per share</w:t>
            </w: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GNTX</w:t>
            </w: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NASDAQ Global Select Market</w:t>
            </w:r>
          </w:p>
        </w:tc>
        <w:tc>
          <w:tcPr>
            <w:tcW w:w="0" w:type="dxa"/>
            <w:vAlign w:val="bottom"/>
          </w:tcPr>
          <w:p>
            <w:pPr>
              <w:spacing w:after="0"/>
              <w:rPr>
                <w:sz w:val="1"/>
                <w:szCs w:val="1"/>
                <w:color w:val="auto"/>
              </w:rPr>
            </w:pPr>
          </w:p>
        </w:tc>
      </w:tr>
    </w:tbl>
    <w:p>
      <w:pPr>
        <w:spacing w:after="0" w:line="149" w:lineRule="exact"/>
        <w:rPr>
          <w:sz w:val="24"/>
          <w:szCs w:val="24"/>
          <w:color w:val="auto"/>
        </w:rPr>
      </w:pPr>
    </w:p>
    <w:p>
      <w:pPr>
        <w:ind w:right="120"/>
        <w:spacing w:after="0" w:line="25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tabs>
          <w:tab w:leader="none" w:pos="6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w:t>
      </w:r>
    </w:p>
    <w:p>
      <w:pPr>
        <w:spacing w:after="0" w:line="162" w:lineRule="exact"/>
        <w:rPr>
          <w:sz w:val="24"/>
          <w:szCs w:val="24"/>
          <w:color w:val="auto"/>
        </w:rPr>
      </w:pPr>
    </w:p>
    <w:p>
      <w:pPr>
        <w:ind w:right="540"/>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32" w:lineRule="exact"/>
        <w:rPr>
          <w:sz w:val="24"/>
          <w:szCs w:val="24"/>
          <w:color w:val="auto"/>
        </w:rPr>
      </w:pPr>
    </w:p>
    <w:p>
      <w:pPr>
        <w:ind w:right="26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4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40" w:type="dxa"/>
            <w:vAlign w:val="bottom"/>
          </w:tcPr>
          <w:p>
            <w:pPr>
              <w:ind w:left="294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5"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1" w:lineRule="exact"/>
        <w:rPr>
          <w:sz w:val="24"/>
          <w:szCs w:val="24"/>
          <w:color w:val="auto"/>
        </w:rPr>
      </w:pPr>
    </w:p>
    <w:p>
      <w:pPr>
        <w:spacing w:after="0" w:line="161" w:lineRule="exact"/>
        <w:tabs>
          <w:tab w:leader="none" w:pos="8040" w:val="left"/>
          <w:tab w:leader="none" w:pos="840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PRECEDING FIVE YEARS:</w:t>
      </w:r>
    </w:p>
    <w:p>
      <w:pPr>
        <w:spacing w:after="0" w:line="163" w:lineRule="exact"/>
        <w:rPr>
          <w:sz w:val="24"/>
          <w:szCs w:val="24"/>
          <w:color w:val="auto"/>
        </w:rPr>
      </w:pPr>
    </w:p>
    <w:p>
      <w:pPr>
        <w:ind w:right="560"/>
        <w:spacing w:after="0" w:line="291"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 Yes: No:</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6"/>
                <w:szCs w:val="16"/>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October 23, 2020</w:t>
            </w:r>
          </w:p>
        </w:tc>
      </w:tr>
      <w:tr>
        <w:trPr>
          <w:trHeight w:val="188"/>
        </w:trPr>
        <w:tc>
          <w:tcPr>
            <w:tcW w:w="528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$.06 Par Value</w:t>
            </w:r>
          </w:p>
        </w:tc>
        <w:tc>
          <w:tcPr>
            <w:tcW w:w="5520" w:type="dxa"/>
            <w:vAlign w:val="bottom"/>
          </w:tcPr>
          <w:p>
            <w:pPr>
              <w:jc w:val="right"/>
              <w:ind w:right="2288"/>
              <w:spacing w:after="0"/>
              <w:rPr>
                <w:sz w:val="20"/>
                <w:szCs w:val="20"/>
                <w:color w:val="auto"/>
              </w:rPr>
            </w:pPr>
            <w:r>
              <w:rPr>
                <w:rFonts w:ascii="Arial" w:cs="Arial" w:eastAsia="Arial" w:hAnsi="Arial"/>
                <w:sz w:val="14"/>
                <w:szCs w:val="14"/>
                <w:color w:val="auto"/>
              </w:rPr>
              <w:t>245,056,522</w:t>
            </w:r>
          </w:p>
        </w:tc>
      </w:tr>
    </w:tbl>
    <w:p>
      <w:pPr>
        <w:spacing w:after="0" w:line="200" w:lineRule="exact"/>
        <w:rPr>
          <w:sz w:val="24"/>
          <w:szCs w:val="24"/>
          <w:color w:val="auto"/>
        </w:rPr>
      </w:pPr>
    </w:p>
    <w:p>
      <w:pPr>
        <w:sectPr>
          <w:pgSz w:w="11900" w:h="16838" w:orient="portrait"/>
          <w:cols w:equalWidth="0" w:num="1">
            <w:col w:w="11260"/>
          </w:cols>
          <w:pgMar w:left="320" w:top="60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603" w:right="319" w:bottom="1440" w:gutter="0" w:footer="0" w:header="0"/>
          <w:type w:val="continuous"/>
        </w:sectPr>
      </w:pPr>
    </w:p>
    <w:bookmarkStart w:id="1" w:name="page2"/>
    <w:bookmarkEnd w:id="1"/>
    <w:p>
      <w:pPr>
        <w:jc w:val="center"/>
        <w:ind w:right="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Index</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9040" w:type="dxa"/>
            <w:vAlign w:val="bottom"/>
            <w:gridSpan w:val="4"/>
          </w:tcPr>
          <w:p>
            <w:pPr>
              <w:spacing w:after="0"/>
              <w:rPr>
                <w:sz w:val="20"/>
                <w:szCs w:val="20"/>
                <w:color w:val="auto"/>
              </w:rPr>
            </w:pPr>
            <w:r>
              <w:rPr>
                <w:rFonts w:ascii="Arial" w:cs="Arial" w:eastAsia="Arial" w:hAnsi="Arial"/>
                <w:sz w:val="22"/>
                <w:szCs w:val="22"/>
                <w:b w:val="1"/>
                <w:bCs w:val="1"/>
                <w:color w:val="auto"/>
              </w:rPr>
              <w:t>Part I - Financial Information</w:t>
            </w:r>
          </w:p>
        </w:tc>
        <w:tc>
          <w:tcPr>
            <w:tcW w:w="1480" w:type="dxa"/>
            <w:vAlign w:val="bottom"/>
          </w:tcPr>
          <w:p>
            <w:pPr>
              <w:ind w:left="960"/>
              <w:spacing w:after="0"/>
              <w:rPr>
                <w:sz w:val="20"/>
                <w:szCs w:val="20"/>
                <w:color w:val="auto"/>
              </w:rPr>
            </w:pPr>
            <w:r>
              <w:rPr>
                <w:rFonts w:ascii="Arial" w:cs="Arial" w:eastAsia="Arial" w:hAnsi="Arial"/>
                <w:sz w:val="22"/>
                <w:szCs w:val="22"/>
                <w:b w:val="1"/>
                <w:bCs w:val="1"/>
                <w:color w:val="auto"/>
                <w:w w:val="94"/>
              </w:rPr>
              <w:t>Page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Consolidated Financial Statements</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2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Balance Sheets</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r>
      <w:tr>
        <w:trPr>
          <w:trHeight w:val="229"/>
        </w:trPr>
        <w:tc>
          <w:tcPr>
            <w:tcW w:w="82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Unaudited Condensed Consolidated Statements of Income</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r>
      <w:tr>
        <w:trPr>
          <w:trHeight w:val="230"/>
        </w:trPr>
        <w:tc>
          <w:tcPr>
            <w:tcW w:w="82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Comprehensive Income</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r>
      <w:tr>
        <w:trPr>
          <w:trHeight w:val="229"/>
        </w:trPr>
        <w:tc>
          <w:tcPr>
            <w:tcW w:w="82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Unaudited Condensed Consolidated Statements of Cash Flows</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30"/>
        </w:trPr>
        <w:tc>
          <w:tcPr>
            <w:tcW w:w="820" w:type="dxa"/>
            <w:vAlign w:val="bottom"/>
          </w:tcPr>
          <w:p>
            <w:pPr>
              <w:spacing w:after="0"/>
              <w:rPr>
                <w:sz w:val="19"/>
                <w:szCs w:val="19"/>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Unaudited Condensed Consolidated Financial Statements</w:t>
              </w:r>
            </w:hyperlink>
          </w:p>
        </w:tc>
        <w:tc>
          <w:tcPr>
            <w:tcW w:w="1480" w:type="dxa"/>
            <w:vAlign w:val="bottom"/>
          </w:tcPr>
          <w:p>
            <w:pPr>
              <w:jc w:val="center"/>
              <w:ind w:left="849"/>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Management's Discussion and Analysis of Financial Condition and Results of Operations</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23">
              <w:r>
                <w:rPr>
                  <w:rFonts w:ascii="Arial" w:cs="Arial" w:eastAsia="Arial" w:hAnsi="Arial"/>
                  <w:sz w:val="18"/>
                  <w:szCs w:val="18"/>
                  <w:u w:val="single" w:color="auto"/>
                  <w:color w:val="0000FF"/>
                  <w:w w:val="99"/>
                </w:rPr>
                <w:t>24</w:t>
              </w:r>
            </w:hyperlink>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Quantitative and Qualitative Disclosures About Market Risk</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36">
              <w:r>
                <w:rPr>
                  <w:rFonts w:ascii="Arial" w:cs="Arial" w:eastAsia="Arial" w:hAnsi="Arial"/>
                  <w:sz w:val="18"/>
                  <w:szCs w:val="18"/>
                  <w:u w:val="single" w:color="auto"/>
                  <w:color w:val="0000FF"/>
                  <w:w w:val="99"/>
                </w:rPr>
                <w:t>36</w:t>
              </w:r>
            </w:hyperlink>
          </w:p>
        </w:tc>
      </w:tr>
      <w:tr>
        <w:trPr>
          <w:trHeight w:val="243"/>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Controls and Procedures</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36">
              <w:r>
                <w:rPr>
                  <w:rFonts w:ascii="Arial" w:cs="Arial" w:eastAsia="Arial" w:hAnsi="Arial"/>
                  <w:sz w:val="18"/>
                  <w:szCs w:val="18"/>
                  <w:u w:val="single" w:color="auto"/>
                  <w:color w:val="0000FF"/>
                  <w:w w:val="99"/>
                </w:rPr>
                <w:t>36</w:t>
              </w:r>
            </w:hyperlink>
          </w:p>
        </w:tc>
      </w:tr>
      <w:tr>
        <w:trPr>
          <w:trHeight w:val="527"/>
        </w:trPr>
        <w:tc>
          <w:tcPr>
            <w:tcW w:w="9040" w:type="dxa"/>
            <w:vAlign w:val="bottom"/>
            <w:gridSpan w:val="4"/>
          </w:tcPr>
          <w:p>
            <w:pPr>
              <w:spacing w:after="0"/>
              <w:rPr>
                <w:sz w:val="20"/>
                <w:szCs w:val="20"/>
                <w:color w:val="auto"/>
              </w:rPr>
            </w:pPr>
            <w:r>
              <w:rPr>
                <w:rFonts w:ascii="Arial" w:cs="Arial" w:eastAsia="Arial" w:hAnsi="Arial"/>
                <w:sz w:val="22"/>
                <w:szCs w:val="22"/>
                <w:b w:val="1"/>
                <w:bCs w:val="1"/>
                <w:color w:val="auto"/>
              </w:rPr>
              <w:t>Part II - Other Information</w:t>
            </w:r>
          </w:p>
        </w:tc>
        <w:tc>
          <w:tcPr>
            <w:tcW w:w="1480" w:type="dxa"/>
            <w:vAlign w:val="bottom"/>
          </w:tcPr>
          <w:p>
            <w:pPr>
              <w:spacing w:after="0"/>
              <w:rPr>
                <w:sz w:val="24"/>
                <w:szCs w:val="24"/>
                <w:color w:val="auto"/>
              </w:rPr>
            </w:pPr>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39">
              <w:r>
                <w:rPr>
                  <w:rFonts w:ascii="Arial" w:cs="Arial" w:eastAsia="Arial" w:hAnsi="Arial"/>
                  <w:sz w:val="18"/>
                  <w:szCs w:val="18"/>
                  <w:u w:val="single" w:color="auto"/>
                  <w:color w:val="0000FF"/>
                  <w:w w:val="99"/>
                </w:rPr>
                <w:t>39</w:t>
              </w:r>
            </w:hyperlink>
          </w:p>
        </w:tc>
      </w:t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Unregistered Sales of Equity Securities and Use of Proceeds</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39">
              <w:r>
                <w:rPr>
                  <w:rFonts w:ascii="Arial" w:cs="Arial" w:eastAsia="Arial" w:hAnsi="Arial"/>
                  <w:sz w:val="18"/>
                  <w:szCs w:val="18"/>
                  <w:u w:val="single" w:color="auto"/>
                  <w:color w:val="0000FF"/>
                  <w:w w:val="99"/>
                </w:rPr>
                <w:t>39</w:t>
              </w:r>
            </w:hyperlink>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Exhibits</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40</w:t>
              </w:r>
            </w:hyperlink>
          </w:p>
        </w:tc>
      </w:tr>
      <w:tr>
        <w:trPr>
          <w:trHeight w:val="198"/>
        </w:trPr>
        <w:tc>
          <w:tcPr>
            <w:tcW w:w="820" w:type="dxa"/>
            <w:vAlign w:val="bottom"/>
          </w:tcPr>
          <w:p>
            <w:pPr>
              <w:spacing w:after="0"/>
              <w:rPr>
                <w:sz w:val="17"/>
                <w:szCs w:val="17"/>
                <w:color w:val="auto"/>
              </w:rPr>
            </w:pPr>
          </w:p>
        </w:tc>
        <w:tc>
          <w:tcPr>
            <w:tcW w:w="8220" w:type="dxa"/>
            <w:vAlign w:val="bottom"/>
            <w:gridSpan w:val="3"/>
          </w:tcPr>
          <w:p>
            <w:pPr>
              <w:ind w:left="180"/>
              <w:spacing w:after="0" w:line="198" w:lineRule="exact"/>
              <w:rPr>
                <w:rFonts w:ascii="Arial" w:cs="Arial" w:eastAsia="Arial" w:hAnsi="Arial"/>
                <w:sz w:val="18"/>
                <w:szCs w:val="18"/>
                <w:u w:val="single" w:color="auto"/>
                <w:color w:val="0302FF"/>
              </w:rPr>
            </w:pPr>
            <w:hyperlink w:anchor="page40">
              <w:r>
                <w:rPr>
                  <w:rFonts w:ascii="Arial" w:cs="Arial" w:eastAsia="Arial" w:hAnsi="Arial"/>
                  <w:sz w:val="18"/>
                  <w:szCs w:val="18"/>
                  <w:u w:val="single" w:color="auto"/>
                  <w:color w:val="0302FF"/>
                </w:rPr>
                <w:t>Signatures</w:t>
              </w:r>
            </w:hyperlink>
          </w:p>
        </w:tc>
        <w:tc>
          <w:tcPr>
            <w:tcW w:w="1480" w:type="dxa"/>
            <w:vAlign w:val="bottom"/>
          </w:tcPr>
          <w:p>
            <w:pPr>
              <w:jc w:val="center"/>
              <w:ind w:left="869"/>
              <w:spacing w:after="0" w:line="198" w:lineRule="exact"/>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40</w:t>
              </w:r>
            </w:hyperlink>
          </w:p>
        </w:tc>
      </w:tr>
      <w:tr>
        <w:trPr>
          <w:trHeight w:val="20"/>
        </w:trPr>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302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820" w:type="dxa"/>
            <w:vAlign w:val="bottom"/>
          </w:tcPr>
          <w:p>
            <w:pPr>
              <w:spacing w:after="0"/>
              <w:rPr>
                <w:sz w:val="22"/>
                <w:szCs w:val="22"/>
                <w:color w:val="auto"/>
              </w:rPr>
            </w:pPr>
          </w:p>
        </w:tc>
        <w:tc>
          <w:tcPr>
            <w:tcW w:w="8220" w:type="dxa"/>
            <w:vAlign w:val="bottom"/>
            <w:gridSpan w:val="3"/>
          </w:tcPr>
          <w:p>
            <w:pPr>
              <w:ind w:left="18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 Index</w:t>
              </w:r>
            </w:hyperlink>
          </w:p>
        </w:tc>
        <w:tc>
          <w:tcPr>
            <w:tcW w:w="1480" w:type="dxa"/>
            <w:vAlign w:val="bottom"/>
          </w:tcPr>
          <w:p>
            <w:pPr>
              <w:jc w:val="center"/>
              <w:ind w:left="869"/>
              <w:spacing w:after="0"/>
              <w:rPr>
                <w:rFonts w:ascii="Arial" w:cs="Arial" w:eastAsia="Arial" w:hAnsi="Arial"/>
                <w:sz w:val="18"/>
                <w:szCs w:val="18"/>
                <w:u w:val="single" w:color="auto"/>
                <w:color w:val="0000FF"/>
                <w:w w:val="99"/>
              </w:rPr>
            </w:pPr>
            <w:hyperlink w:anchor="page40">
              <w:r>
                <w:rPr>
                  <w:rFonts w:ascii="Arial" w:cs="Arial" w:eastAsia="Arial" w:hAnsi="Arial"/>
                  <w:sz w:val="18"/>
                  <w:szCs w:val="18"/>
                  <w:u w:val="single" w:color="auto"/>
                  <w:color w:val="0000FF"/>
                  <w:w w:val="99"/>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88900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925"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As of September 30, 2020 and December 31,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4"/>
                <w:szCs w:val="14"/>
                <w:color w:val="auto"/>
              </w:rPr>
            </w:pPr>
          </w:p>
        </w:tc>
        <w:tc>
          <w:tcPr>
            <w:tcW w:w="188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1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880" w:type="dxa"/>
            <w:vAlign w:val="bottom"/>
          </w:tcPr>
          <w:p>
            <w:pPr>
              <w:jc w:val="right"/>
              <w:ind w:right="791"/>
              <w:spacing w:after="0"/>
              <w:rPr>
                <w:sz w:val="20"/>
                <w:szCs w:val="20"/>
                <w:color w:val="auto"/>
              </w:rPr>
            </w:pPr>
            <w:r>
              <w:rPr>
                <w:rFonts w:ascii="Arial" w:cs="Arial" w:eastAsia="Arial" w:hAnsi="Arial"/>
                <w:sz w:val="14"/>
                <w:szCs w:val="14"/>
                <w:b w:val="1"/>
                <w:bCs w:val="1"/>
                <w:color w:val="auto"/>
              </w:rPr>
              <w:t>(Note)</w:t>
            </w:r>
          </w:p>
        </w:tc>
      </w:tr>
      <w:tr>
        <w:trPr>
          <w:trHeight w:val="190"/>
        </w:trPr>
        <w:tc>
          <w:tcPr>
            <w:tcW w:w="130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CCEEFF"/>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rPr>
              <w:t>ASSETS</w:t>
            </w:r>
          </w:p>
        </w:tc>
        <w:tc>
          <w:tcPr>
            <w:tcW w:w="30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7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400,499,542</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296,321,622</w:t>
            </w: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52,578,480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140,384,053</w:t>
            </w: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268,457,875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235,410,326</w:t>
            </w: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233,358,102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248,941,855</w:t>
            </w: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20,424,567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29,319,036</w:t>
            </w:r>
          </w:p>
        </w:tc>
      </w:tr>
      <w:tr>
        <w:trPr>
          <w:trHeight w:val="223"/>
        </w:trPr>
        <w:tc>
          <w:tcPr>
            <w:tcW w:w="6780" w:type="dxa"/>
            <w:vAlign w:val="bottom"/>
            <w:gridSpan w:val="5"/>
          </w:tcPr>
          <w:p>
            <w:pPr>
              <w:ind w:left="4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975,318,566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950,376,892</w:t>
            </w:r>
          </w:p>
        </w:tc>
      </w:tr>
      <w:tr>
        <w:trPr>
          <w:trHeight w:val="229"/>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474,019,432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498,316,100</w:t>
            </w:r>
          </w:p>
        </w:tc>
      </w:tr>
      <w:tr>
        <w:trPr>
          <w:trHeight w:val="230"/>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311,216,556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159,011,362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139,909,323</w:t>
            </w: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247,911,399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250,375,000</w:t>
            </w:r>
          </w:p>
        </w:tc>
      </w:tr>
      <w:tr>
        <w:trPr>
          <w:trHeight w:val="230"/>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24,997,791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22,460,033</w:t>
            </w:r>
          </w:p>
        </w:tc>
      </w:tr>
      <w:tr>
        <w:trPr>
          <w:trHeight w:val="223"/>
        </w:trPr>
        <w:tc>
          <w:tcPr>
            <w:tcW w:w="67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743,137,108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720,110,201</w:t>
            </w:r>
          </w:p>
        </w:tc>
      </w:tr>
      <w:tr>
        <w:trPr>
          <w:trHeight w:val="223"/>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2,192,475,106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2,168,803,193</w:t>
            </w: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96"/>
        </w:trPr>
        <w:tc>
          <w:tcPr>
            <w:tcW w:w="13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89"/>
        </w:trPr>
        <w:tc>
          <w:tcPr>
            <w:tcW w:w="1300" w:type="dxa"/>
            <w:vAlign w:val="bottom"/>
          </w:tcPr>
          <w:p>
            <w:pPr>
              <w:spacing w:after="0"/>
              <w:rPr>
                <w:sz w:val="16"/>
                <w:szCs w:val="16"/>
                <w:color w:val="auto"/>
              </w:rPr>
            </w:pPr>
          </w:p>
        </w:tc>
        <w:tc>
          <w:tcPr>
            <w:tcW w:w="5480" w:type="dxa"/>
            <w:vAlign w:val="bottom"/>
            <w:gridSpan w:val="4"/>
          </w:tcPr>
          <w:p>
            <w:pPr>
              <w:jc w:val="center"/>
              <w:ind w:right="1280"/>
              <w:spacing w:after="0" w:line="189" w:lineRule="exact"/>
              <w:rPr>
                <w:sz w:val="20"/>
                <w:szCs w:val="20"/>
                <w:color w:val="auto"/>
              </w:rPr>
            </w:pPr>
            <w:r>
              <w:rPr>
                <w:rFonts w:ascii="Arial" w:cs="Arial" w:eastAsia="Arial" w:hAnsi="Arial"/>
                <w:sz w:val="18"/>
                <w:szCs w:val="18"/>
                <w:color w:val="auto"/>
                <w:w w:val="99"/>
              </w:rPr>
              <w:t>LIABILITIES AND SHAREHOLDERS’ INVESTMENT</w:t>
            </w: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0"/>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90,246,791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97,553,917</w:t>
            </w: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121,242,379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74,292,883</w:t>
            </w:r>
          </w:p>
        </w:tc>
      </w:tr>
      <w:tr>
        <w:trPr>
          <w:trHeight w:val="223"/>
        </w:trPr>
        <w:tc>
          <w:tcPr>
            <w:tcW w:w="6780" w:type="dxa"/>
            <w:vAlign w:val="bottom"/>
            <w:gridSpan w:val="5"/>
          </w:tcPr>
          <w:p>
            <w:pPr>
              <w:ind w:left="4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236,489,170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171,846,800</w:t>
            </w:r>
          </w:p>
        </w:tc>
      </w:tr>
      <w:tr>
        <w:trPr>
          <w:trHeight w:val="270"/>
        </w:trPr>
        <w:tc>
          <w:tcPr>
            <w:tcW w:w="1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29"/>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15,071,701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7,414,424</w:t>
            </w:r>
          </w:p>
        </w:tc>
      </w:tr>
      <w:tr>
        <w:trPr>
          <w:trHeight w:val="270"/>
        </w:trPr>
        <w:tc>
          <w:tcPr>
            <w:tcW w:w="1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r>
      <w:tr>
        <w:trPr>
          <w:trHeight w:val="230"/>
        </w:trPr>
        <w:tc>
          <w:tcPr>
            <w:tcW w:w="678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45,301,936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51,454,149</w:t>
            </w:r>
          </w:p>
        </w:tc>
      </w:tr>
      <w:tr>
        <w:trPr>
          <w:trHeight w:val="210"/>
        </w:trPr>
        <w:tc>
          <w:tcPr>
            <w:tcW w:w="13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30"/>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296,862,807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230,715,373</w:t>
            </w:r>
          </w:p>
        </w:tc>
      </w:tr>
      <w:tr>
        <w:trPr>
          <w:trHeight w:val="229"/>
        </w:trPr>
        <w:tc>
          <w:tcPr>
            <w:tcW w:w="13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SHAREHOLDERS’ INVESTMENT</w:t>
            </w: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14,703,703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15,076,651</w:t>
            </w:r>
          </w:p>
        </w:tc>
      </w:tr>
      <w:tr>
        <w:trPr>
          <w:trHeight w:val="230"/>
        </w:trPr>
        <w:tc>
          <w:tcPr>
            <w:tcW w:w="6780" w:type="dxa"/>
            <w:vAlign w:val="bottom"/>
            <w:gridSpan w:val="5"/>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830,408,683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807,928,139</w:t>
            </w:r>
          </w:p>
        </w:tc>
      </w:tr>
      <w:tr>
        <w:trPr>
          <w:trHeight w:val="229"/>
        </w:trPr>
        <w:tc>
          <w:tcPr>
            <w:tcW w:w="678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1,046,052,853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1,116,372,133</w:t>
            </w:r>
          </w:p>
        </w:tc>
      </w:tr>
      <w:tr>
        <w:trPr>
          <w:trHeight w:val="230"/>
        </w:trPr>
        <w:tc>
          <w:tcPr>
            <w:tcW w:w="678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4,447,060</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(1,289,103)</w:t>
            </w:r>
          </w:p>
        </w:tc>
      </w:tr>
      <w:tr>
        <w:trPr>
          <w:trHeight w:val="223"/>
        </w:trPr>
        <w:tc>
          <w:tcPr>
            <w:tcW w:w="67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Total shareholders’ investment</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1,895,612,299</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1,938,087,820</w:t>
            </w:r>
          </w:p>
        </w:tc>
      </w:tr>
      <w:tr>
        <w:trPr>
          <w:trHeight w:val="223"/>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2,192,475,106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2,168,803,193</w:t>
            </w:r>
          </w:p>
        </w:tc>
      </w:tr>
      <w:tr>
        <w:trPr>
          <w:trHeight w:val="21"/>
        </w:trPr>
        <w:tc>
          <w:tcPr>
            <w:tcW w:w="1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right="300"/>
        <w:spacing w:after="0" w:line="271" w:lineRule="auto"/>
        <w:rPr>
          <w:sz w:val="20"/>
          <w:szCs w:val="20"/>
          <w:color w:val="auto"/>
        </w:rPr>
      </w:pPr>
      <w:r>
        <w:rPr>
          <w:rFonts w:ascii="Arial" w:cs="Arial" w:eastAsia="Arial" w:hAnsi="Arial"/>
          <w:sz w:val="13"/>
          <w:szCs w:val="13"/>
          <w:color w:val="auto"/>
        </w:rPr>
        <w:t>Note: The condensed consolidated balance sheet at December 31, 2019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240"/>
          </w:cols>
          <w:pgMar w:left="320" w:top="92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3" w:name="page4"/>
    <w:bookmarkEnd w:id="3"/>
    <w:p>
      <w:pPr>
        <w:jc w:val="center"/>
        <w:spacing w:after="0" w:line="464"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and Nine Months Ended September 30, 2020 and 2019</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310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4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474,638,584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477,761,417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1,158,325,866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1,415,061,768</w:t>
            </w:r>
          </w:p>
        </w:tc>
      </w:tr>
      <w:tr>
        <w:trPr>
          <w:trHeight w:val="229"/>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286,401,872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297,440,131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769,556,865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888,558,373</w:t>
            </w:r>
          </w:p>
        </w:tc>
      </w:tr>
      <w:tr>
        <w:trPr>
          <w:trHeight w:val="223"/>
        </w:trPr>
        <w:tc>
          <w:tcPr>
            <w:tcW w:w="4440" w:type="dxa"/>
            <w:vAlign w:val="bottom"/>
          </w:tcPr>
          <w:p>
            <w:pPr>
              <w:ind w:left="4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188,236,712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180,321,286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388,769,001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526,503,395</w:t>
            </w:r>
          </w:p>
        </w:tc>
      </w:tr>
      <w:tr>
        <w:trPr>
          <w:trHeight w:val="230"/>
        </w:trPr>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27,812,730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29,398,725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86,421,121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85,847,249</w:t>
            </w:r>
          </w:p>
        </w:tc>
      </w:tr>
      <w:tr>
        <w:trPr>
          <w:trHeight w:val="230"/>
        </w:trPr>
        <w:tc>
          <w:tcPr>
            <w:tcW w:w="4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21,571,093</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22,786,881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65,206,080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63,019,167</w:t>
            </w:r>
          </w:p>
        </w:tc>
      </w:tr>
      <w:tr>
        <w:trPr>
          <w:trHeight w:val="223"/>
        </w:trPr>
        <w:tc>
          <w:tcPr>
            <w:tcW w:w="4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49,383,823</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52,185,606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151,627,201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148,866,416</w:t>
            </w:r>
          </w:p>
        </w:tc>
      </w:tr>
      <w:tr>
        <w:trPr>
          <w:trHeight w:val="210"/>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138,852,889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128,135,680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237,141,800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377,636,979</w:t>
            </w:r>
          </w:p>
        </w:tc>
      </w:tr>
      <w:tr>
        <w:trPr>
          <w:trHeight w:val="230"/>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1,825,257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3,353,510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5,733,939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8,756,638</w:t>
            </w:r>
          </w:p>
        </w:tc>
      </w:tr>
      <w:tr>
        <w:trPr>
          <w:trHeight w:val="230"/>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2,218,852</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3,423,881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376,983</w:t>
            </w:r>
          </w:p>
        </w:tc>
      </w:tr>
      <w:tr>
        <w:trPr>
          <w:trHeight w:val="223"/>
        </w:trPr>
        <w:tc>
          <w:tcPr>
            <w:tcW w:w="44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4,044,109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3,443,833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9,157,820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9,133,621</w:t>
            </w:r>
          </w:p>
        </w:tc>
      </w:tr>
      <w:tr>
        <w:trPr>
          <w:trHeight w:val="210"/>
        </w:trPr>
        <w:tc>
          <w:tcPr>
            <w:tcW w:w="4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w w:val="99"/>
              </w:rPr>
              <w:t>INCOME BEFORE PROVISION FOR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142,896,998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131,579,513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246,299,620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386,770,600</w:t>
            </w:r>
          </w:p>
        </w:tc>
      </w:tr>
      <w:tr>
        <w:trPr>
          <w:trHeight w:val="230"/>
        </w:trPr>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25,804,396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19,681,661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42,075,250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61,633,712</w:t>
            </w:r>
          </w:p>
        </w:tc>
      </w:tr>
      <w:tr>
        <w:trPr>
          <w:trHeight w:val="230"/>
        </w:trPr>
        <w:tc>
          <w:tcPr>
            <w:tcW w:w="44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r>
      <w:tr>
        <w:trPr>
          <w:trHeight w:val="223"/>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117,092,602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111,897,852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204,224,370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325,136,888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7"/>
        </w:trPr>
        <w:tc>
          <w:tcPr>
            <w:tcW w:w="4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44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0.120</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0.115</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0.360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0.345</w:t>
            </w:r>
          </w:p>
        </w:tc>
      </w:tr>
    </w:tbl>
    <w:p>
      <w:pPr>
        <w:spacing w:after="0" w:line="244" w:lineRule="exact"/>
        <w:rPr>
          <w:sz w:val="20"/>
          <w:szCs w:val="20"/>
          <w:color w:val="auto"/>
        </w:rPr>
      </w:pPr>
    </w:p>
    <w:p>
      <w:pPr>
        <w:ind w:left="180" w:hanging="154"/>
        <w:spacing w:after="0"/>
        <w:tabs>
          <w:tab w:leader="none" w:pos="18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Earnings Per Share has been adjusted to exclude the portion of net income allocated to participating securities as a result of share-based payment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 w:name="page5"/>
    <w:bookmarkEnd w:id="4"/>
    <w:p>
      <w:pPr>
        <w:jc w:val="center"/>
        <w:spacing w:after="0" w:line="457"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and Nine Months Ended September 30, 2020 and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117,092,602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111,897,852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7"/>
              </w:rPr>
              <w:t>204,224,370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$325,136,888</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1,823,667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(1,623,102)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1,268,204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460"/>
              <w:spacing w:after="0"/>
              <w:rPr>
                <w:sz w:val="20"/>
                <w:szCs w:val="20"/>
                <w:color w:val="auto"/>
              </w:rPr>
            </w:pPr>
            <w:r>
              <w:rPr>
                <w:rFonts w:ascii="Arial" w:cs="Arial" w:eastAsia="Arial" w:hAnsi="Arial"/>
                <w:sz w:val="18"/>
                <w:szCs w:val="18"/>
                <w:color w:val="auto"/>
                <w:w w:val="99"/>
              </w:rPr>
              <w:t>(1,799,789)</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gains on debt securities, net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457,438</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5,655,644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3,338,762</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(1,165,664)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1,538,973</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tax impact related to components of other</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1,187,685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701,140</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(1,261,726)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5,736,163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837,833</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118,800,418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110,636,126</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209,960,533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325,974,721</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September 30, 2020 and 2019</w:t>
      </w:r>
    </w:p>
    <w:p>
      <w:pPr>
        <w:sectPr>
          <w:pgSz w:w="11900" w:h="16838" w:orient="portrait"/>
          <w:cols w:equalWidth="0" w:num="1">
            <w:col w:w="11220"/>
          </w:cols>
          <w:pgMar w:left="340" w:top="1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2020</w:t>
      </w:r>
    </w:p>
    <w:p>
      <w:pPr>
        <w:spacing w:after="0" w:line="3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($0.12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vMerge w:val="restart"/>
          </w:tcPr>
          <w:p>
            <w:pPr>
              <w:jc w:val="center"/>
              <w:ind w:right="46"/>
              <w:spacing w:after="0"/>
              <w:rPr>
                <w:sz w:val="20"/>
                <w:szCs w:val="20"/>
                <w:color w:val="auto"/>
              </w:rPr>
            </w:pPr>
            <w:r>
              <w:rPr>
                <w:rFonts w:ascii="Arial" w:cs="Arial" w:eastAsia="Arial" w:hAnsi="Arial"/>
                <w:sz w:val="16"/>
                <w:szCs w:val="16"/>
                <w:b w:val="1"/>
                <w:bCs w:val="1"/>
                <w:color w:val="auto"/>
              </w:rPr>
              <w:t>Common</w:t>
            </w:r>
          </w:p>
        </w:tc>
        <w:tc>
          <w:tcPr>
            <w:tcW w:w="240" w:type="dxa"/>
            <w:vAlign w:val="bottom"/>
          </w:tcPr>
          <w:p>
            <w:pPr>
              <w:spacing w:after="0"/>
              <w:rPr>
                <w:sz w:val="16"/>
                <w:szCs w:val="16"/>
                <w:color w:val="auto"/>
              </w:rPr>
            </w:pPr>
          </w:p>
        </w:tc>
        <w:tc>
          <w:tcPr>
            <w:tcW w:w="106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6"/>
                <w:szCs w:val="16"/>
                <w:color w:val="auto"/>
              </w:rPr>
            </w:pPr>
          </w:p>
        </w:tc>
        <w:tc>
          <w:tcPr>
            <w:tcW w:w="1100" w:type="dxa"/>
            <w:vAlign w:val="bottom"/>
            <w:vMerge w:val="restart"/>
          </w:tcPr>
          <w:p>
            <w:pPr>
              <w:jc w:val="right"/>
              <w:ind w:right="206"/>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6"/>
              <w:spacing w:after="0"/>
              <w:rPr>
                <w:sz w:val="20"/>
                <w:szCs w:val="20"/>
                <w:color w:val="auto"/>
              </w:rPr>
            </w:pPr>
            <w:r>
              <w:rPr>
                <w:rFonts w:ascii="Arial" w:cs="Arial" w:eastAsia="Arial" w:hAnsi="Arial"/>
                <w:sz w:val="16"/>
                <w:szCs w:val="16"/>
                <w:b w:val="1"/>
                <w:bCs w:val="1"/>
                <w:color w:val="auto"/>
              </w:rPr>
              <w:t>Accumulated</w:t>
            </w:r>
          </w:p>
        </w:tc>
        <w:tc>
          <w:tcPr>
            <w:tcW w:w="1240" w:type="dxa"/>
            <w:vAlign w:val="bottom"/>
            <w:vMerge w:val="restart"/>
          </w:tcPr>
          <w:p>
            <w:pPr>
              <w:jc w:val="right"/>
              <w:ind w:right="32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2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246"/>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1300" w:type="dxa"/>
            <w:vAlign w:val="bottom"/>
          </w:tcPr>
          <w:p>
            <w:pPr>
              <w:jc w:val="center"/>
              <w:ind w:right="86"/>
              <w:spacing w:after="0" w:line="162" w:lineRule="exact"/>
              <w:rPr>
                <w:sz w:val="20"/>
                <w:szCs w:val="20"/>
                <w:color w:val="auto"/>
              </w:rPr>
            </w:pPr>
            <w:r>
              <w:rPr>
                <w:rFonts w:ascii="Arial" w:cs="Arial" w:eastAsia="Arial" w:hAnsi="Arial"/>
                <w:sz w:val="16"/>
                <w:szCs w:val="16"/>
                <w:b w:val="1"/>
                <w:bCs w:val="1"/>
                <w:color w:val="auto"/>
                <w:w w:val="98"/>
              </w:rPr>
              <w:t>Other</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14"/>
                <w:szCs w:val="14"/>
                <w:color w:val="auto"/>
              </w:rPr>
            </w:pPr>
          </w:p>
        </w:tc>
        <w:tc>
          <w:tcPr>
            <w:tcW w:w="1060" w:type="dxa"/>
            <w:vAlign w:val="bottom"/>
          </w:tcPr>
          <w:p>
            <w:pPr>
              <w:jc w:val="center"/>
              <w:ind w:right="146"/>
              <w:spacing w:after="0" w:line="162" w:lineRule="exact"/>
              <w:rPr>
                <w:sz w:val="20"/>
                <w:szCs w:val="20"/>
                <w:color w:val="auto"/>
              </w:rPr>
            </w:pPr>
            <w:r>
              <w:rPr>
                <w:rFonts w:ascii="Arial" w:cs="Arial" w:eastAsia="Arial" w:hAnsi="Arial"/>
                <w:sz w:val="16"/>
                <w:szCs w:val="16"/>
                <w:b w:val="1"/>
                <w:bCs w:val="1"/>
                <w:color w:val="auto"/>
              </w:rPr>
              <w:t>Stock</w:t>
            </w:r>
          </w:p>
        </w:tc>
        <w:tc>
          <w:tcPr>
            <w:tcW w:w="200" w:type="dxa"/>
            <w:vAlign w:val="bottom"/>
          </w:tcPr>
          <w:p>
            <w:pPr>
              <w:spacing w:after="0"/>
              <w:rPr>
                <w:sz w:val="14"/>
                <w:szCs w:val="14"/>
                <w:color w:val="auto"/>
              </w:rPr>
            </w:pPr>
          </w:p>
        </w:tc>
        <w:tc>
          <w:tcPr>
            <w:tcW w:w="1100" w:type="dxa"/>
            <w:vAlign w:val="bottom"/>
          </w:tcPr>
          <w:p>
            <w:pPr>
              <w:jc w:val="right"/>
              <w:ind w:right="306"/>
              <w:spacing w:after="0" w:line="162" w:lineRule="exact"/>
              <w:rPr>
                <w:sz w:val="20"/>
                <w:szCs w:val="20"/>
                <w:color w:val="auto"/>
              </w:rPr>
            </w:pPr>
            <w:r>
              <w:rPr>
                <w:rFonts w:ascii="Arial" w:cs="Arial" w:eastAsia="Arial" w:hAnsi="Arial"/>
                <w:sz w:val="16"/>
                <w:szCs w:val="16"/>
                <w:b w:val="1"/>
                <w:bCs w:val="1"/>
                <w:color w:val="auto"/>
              </w:rPr>
              <w:t>Paid-In</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Comprehensive</w:t>
            </w:r>
          </w:p>
        </w:tc>
        <w:tc>
          <w:tcPr>
            <w:tcW w:w="12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6"/>
        </w:trPr>
        <w:tc>
          <w:tcPr>
            <w:tcW w:w="1220" w:type="dxa"/>
            <w:vAlign w:val="bottom"/>
            <w:tcBorders>
              <w:bottom w:val="single" w:sz="8" w:color="auto"/>
            </w:tcBorders>
          </w:tcPr>
          <w:p>
            <w:pPr>
              <w:jc w:val="center"/>
              <w:ind w:right="6"/>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6"/>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06"/>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6"/>
              <w:spacing w:after="0"/>
              <w:rPr>
                <w:sz w:val="20"/>
                <w:szCs w:val="20"/>
                <w:color w:val="auto"/>
              </w:rPr>
            </w:pPr>
            <w:r>
              <w:rPr>
                <w:rFonts w:ascii="Arial" w:cs="Arial" w:eastAsia="Arial" w:hAnsi="Arial"/>
                <w:sz w:val="16"/>
                <w:szCs w:val="16"/>
                <w:b w:val="1"/>
                <w:bCs w:val="1"/>
                <w:color w:val="auto"/>
              </w:rPr>
              <w:t>Income (Loss)</w:t>
            </w: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Investment</w:t>
            </w:r>
          </w:p>
        </w:tc>
        <w:tc>
          <w:tcPr>
            <w:tcW w:w="0" w:type="dxa"/>
            <w:vAlign w:val="bottom"/>
          </w:tcPr>
          <w:p>
            <w:pPr>
              <w:spacing w:after="0"/>
              <w:rPr>
                <w:sz w:val="1"/>
                <w:szCs w:val="1"/>
                <w:color w:val="auto"/>
              </w:rPr>
            </w:pPr>
          </w:p>
        </w:tc>
      </w:tr>
      <w:tr>
        <w:trPr>
          <w:trHeight w:val="188"/>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245,775,488</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14,746,529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818,678,880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986,442,760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2,739,244</w:t>
            </w:r>
          </w:p>
        </w:tc>
        <w:tc>
          <w:tcPr>
            <w:tcW w:w="1240" w:type="dxa"/>
            <w:vAlign w:val="bottom"/>
          </w:tcPr>
          <w:p>
            <w:pPr>
              <w:jc w:val="right"/>
              <w:spacing w:after="0"/>
              <w:rPr>
                <w:sz w:val="20"/>
                <w:szCs w:val="20"/>
                <w:color w:val="auto"/>
              </w:rPr>
            </w:pPr>
            <w:r>
              <w:rPr>
                <w:rFonts w:ascii="Arial" w:cs="Arial" w:eastAsia="Arial" w:hAnsi="Arial"/>
                <w:sz w:val="14"/>
                <w:szCs w:val="14"/>
                <w:color w:val="auto"/>
              </w:rPr>
              <w:t>$ 1,822,607,413</w:t>
            </w:r>
          </w:p>
        </w:tc>
        <w:tc>
          <w:tcPr>
            <w:tcW w:w="0" w:type="dxa"/>
            <w:vAlign w:val="bottom"/>
          </w:tcPr>
          <w:p>
            <w:pPr>
              <w:spacing w:after="0"/>
              <w:rPr>
                <w:sz w:val="1"/>
                <w:szCs w:val="1"/>
                <w:color w:val="auto"/>
              </w:rPr>
            </w:pPr>
          </w:p>
        </w:tc>
      </w:tr>
      <w:tr>
        <w:trPr>
          <w:trHeight w:val="392"/>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461,983</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27,719</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7,938,770</w:t>
            </w:r>
          </w:p>
        </w:tc>
        <w:tc>
          <w:tcPr>
            <w:tcW w:w="20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7,966,489</w:t>
            </w:r>
          </w:p>
        </w:tc>
        <w:tc>
          <w:tcPr>
            <w:tcW w:w="0" w:type="dxa"/>
            <w:vAlign w:val="bottom"/>
          </w:tcPr>
          <w:p>
            <w:pPr>
              <w:spacing w:after="0"/>
              <w:rPr>
                <w:sz w:val="1"/>
                <w:szCs w:val="1"/>
                <w:color w:val="auto"/>
              </w:rPr>
            </w:pPr>
          </w:p>
        </w:tc>
      </w:tr>
      <w:tr>
        <w:trPr>
          <w:trHeight w:val="216"/>
        </w:trPr>
        <w:tc>
          <w:tcPr>
            <w:tcW w:w="1220" w:type="dxa"/>
            <w:vAlign w:val="bottom"/>
          </w:tcPr>
          <w:p>
            <w:pPr>
              <w:jc w:val="right"/>
              <w:ind w:right="26"/>
              <w:spacing w:after="0"/>
              <w:rPr>
                <w:sz w:val="20"/>
                <w:szCs w:val="20"/>
                <w:color w:val="auto"/>
              </w:rPr>
            </w:pPr>
            <w:r>
              <w:rPr>
                <w:rFonts w:ascii="Arial" w:cs="Arial" w:eastAsia="Arial" w:hAnsi="Arial"/>
                <w:sz w:val="14"/>
                <w:szCs w:val="14"/>
                <w:color w:val="auto"/>
              </w:rPr>
              <w:t>(1,175,756)</w:t>
            </w:r>
          </w:p>
        </w:tc>
        <w:tc>
          <w:tcPr>
            <w:tcW w:w="240" w:type="dxa"/>
            <w:vAlign w:val="bottom"/>
          </w:tcPr>
          <w:p>
            <w:pPr>
              <w:spacing w:after="0"/>
              <w:rPr>
                <w:sz w:val="18"/>
                <w:szCs w:val="18"/>
                <w:color w:val="auto"/>
              </w:rPr>
            </w:pPr>
          </w:p>
        </w:tc>
        <w:tc>
          <w:tcPr>
            <w:tcW w:w="1060" w:type="dxa"/>
            <w:vAlign w:val="bottom"/>
          </w:tcPr>
          <w:p>
            <w:pPr>
              <w:jc w:val="right"/>
              <w:ind w:right="26"/>
              <w:spacing w:after="0"/>
              <w:rPr>
                <w:sz w:val="20"/>
                <w:szCs w:val="20"/>
                <w:color w:val="auto"/>
              </w:rPr>
            </w:pPr>
            <w:r>
              <w:rPr>
                <w:rFonts w:ascii="Arial" w:cs="Arial" w:eastAsia="Arial" w:hAnsi="Arial"/>
                <w:sz w:val="14"/>
                <w:szCs w:val="14"/>
                <w:color w:val="auto"/>
              </w:rPr>
              <w:t>(70,545)</w:t>
            </w:r>
          </w:p>
        </w:tc>
        <w:tc>
          <w:tcPr>
            <w:tcW w:w="200" w:type="dxa"/>
            <w:vAlign w:val="bottom"/>
          </w:tcPr>
          <w:p>
            <w:pPr>
              <w:spacing w:after="0"/>
              <w:rPr>
                <w:sz w:val="18"/>
                <w:szCs w:val="18"/>
                <w:color w:val="auto"/>
              </w:rPr>
            </w:pPr>
          </w:p>
        </w:tc>
        <w:tc>
          <w:tcPr>
            <w:tcW w:w="1100" w:type="dxa"/>
            <w:vAlign w:val="bottom"/>
          </w:tcPr>
          <w:p>
            <w:pPr>
              <w:jc w:val="right"/>
              <w:ind w:right="46"/>
              <w:spacing w:after="0"/>
              <w:rPr>
                <w:sz w:val="20"/>
                <w:szCs w:val="20"/>
                <w:color w:val="auto"/>
              </w:rPr>
            </w:pPr>
            <w:r>
              <w:rPr>
                <w:rFonts w:ascii="Arial" w:cs="Arial" w:eastAsia="Arial" w:hAnsi="Arial"/>
                <w:sz w:val="14"/>
                <w:szCs w:val="14"/>
                <w:color w:val="auto"/>
              </w:rPr>
              <w:t>(3,515,510)</w:t>
            </w:r>
          </w:p>
        </w:tc>
        <w:tc>
          <w:tcPr>
            <w:tcW w:w="200" w:type="dxa"/>
            <w:vAlign w:val="bottom"/>
          </w:tcPr>
          <w:p>
            <w:pPr>
              <w:spacing w:after="0"/>
              <w:rPr>
                <w:sz w:val="18"/>
                <w:szCs w:val="18"/>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(28,074,807)</w:t>
            </w:r>
          </w:p>
        </w:tc>
        <w:tc>
          <w:tcPr>
            <w:tcW w:w="200" w:type="dxa"/>
            <w:vAlign w:val="bottom"/>
          </w:tcPr>
          <w:p>
            <w:pPr>
              <w:spacing w:after="0"/>
              <w:rPr>
                <w:sz w:val="18"/>
                <w:szCs w:val="18"/>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(31,660,862)</w:t>
            </w:r>
          </w:p>
        </w:tc>
        <w:tc>
          <w:tcPr>
            <w:tcW w:w="0" w:type="dxa"/>
            <w:vAlign w:val="bottom"/>
          </w:tcPr>
          <w:p>
            <w:pPr>
              <w:spacing w:after="0"/>
              <w:rPr>
                <w:sz w:val="1"/>
                <w:szCs w:val="1"/>
                <w:color w:val="auto"/>
              </w:rPr>
            </w:pPr>
          </w:p>
        </w:tc>
      </w:tr>
      <w:tr>
        <w:trPr>
          <w:trHeight w:val="540"/>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7,306,543</w:t>
            </w:r>
          </w:p>
        </w:tc>
        <w:tc>
          <w:tcPr>
            <w:tcW w:w="200" w:type="dxa"/>
            <w:vAlign w:val="bottom"/>
          </w:tcPr>
          <w:p>
            <w:pPr>
              <w:spacing w:after="0"/>
              <w:rPr>
                <w:sz w:val="24"/>
                <w:szCs w:val="24"/>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7,306,543</w:t>
            </w:r>
          </w:p>
        </w:tc>
        <w:tc>
          <w:tcPr>
            <w:tcW w:w="0" w:type="dxa"/>
            <w:vAlign w:val="bottom"/>
          </w:tcPr>
          <w:p>
            <w:pPr>
              <w:spacing w:after="0"/>
              <w:rPr>
                <w:sz w:val="1"/>
                <w:szCs w:val="1"/>
                <w:color w:val="auto"/>
              </w:rPr>
            </w:pPr>
          </w:p>
        </w:tc>
      </w:tr>
      <w:tr>
        <w:trPr>
          <w:trHeight w:val="243"/>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26"/>
              <w:spacing w:after="0"/>
              <w:rPr>
                <w:sz w:val="20"/>
                <w:szCs w:val="20"/>
                <w:color w:val="auto"/>
              </w:rPr>
            </w:pPr>
            <w:r>
              <w:rPr>
                <w:rFonts w:ascii="Arial" w:cs="Arial" w:eastAsia="Arial" w:hAnsi="Arial"/>
                <w:sz w:val="14"/>
                <w:szCs w:val="14"/>
                <w:color w:val="auto"/>
              </w:rPr>
              <w:t>(29,407,702)</w:t>
            </w:r>
          </w:p>
        </w:tc>
        <w:tc>
          <w:tcPr>
            <w:tcW w:w="200" w:type="dxa"/>
            <w:vAlign w:val="bottom"/>
          </w:tcPr>
          <w:p>
            <w:pPr>
              <w:spacing w:after="0"/>
              <w:rPr>
                <w:sz w:val="21"/>
                <w:szCs w:val="21"/>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(29,407,702)</w:t>
            </w:r>
          </w:p>
        </w:tc>
        <w:tc>
          <w:tcPr>
            <w:tcW w:w="0" w:type="dxa"/>
            <w:vAlign w:val="bottom"/>
          </w:tcPr>
          <w:p>
            <w:pPr>
              <w:spacing w:after="0"/>
              <w:rPr>
                <w:sz w:val="1"/>
                <w:szCs w:val="1"/>
                <w:color w:val="auto"/>
              </w:rPr>
            </w:pPr>
          </w:p>
        </w:tc>
      </w:tr>
      <w:tr>
        <w:trPr>
          <w:trHeight w:val="216"/>
        </w:trPr>
        <w:tc>
          <w:tcPr>
            <w:tcW w:w="122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6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ind w:right="86"/>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tcPr>
          <w:p>
            <w:pPr>
              <w:jc w:val="right"/>
              <w:ind w:right="66"/>
              <w:spacing w:after="0"/>
              <w:rPr>
                <w:sz w:val="20"/>
                <w:szCs w:val="20"/>
                <w:color w:val="auto"/>
              </w:rPr>
            </w:pPr>
            <w:r>
              <w:rPr>
                <w:rFonts w:ascii="Arial" w:cs="Arial" w:eastAsia="Arial" w:hAnsi="Arial"/>
                <w:sz w:val="14"/>
                <w:szCs w:val="14"/>
                <w:color w:val="auto"/>
              </w:rPr>
              <w:t>117,092,602</w:t>
            </w:r>
          </w:p>
        </w:tc>
        <w:tc>
          <w:tcPr>
            <w:tcW w:w="200" w:type="dxa"/>
            <w:vAlign w:val="bottom"/>
          </w:tcPr>
          <w:p>
            <w:pPr>
              <w:spacing w:after="0"/>
              <w:rPr>
                <w:sz w:val="18"/>
                <w:szCs w:val="18"/>
                <w:color w:val="auto"/>
              </w:rPr>
            </w:pPr>
          </w:p>
        </w:tc>
        <w:tc>
          <w:tcPr>
            <w:tcW w:w="1300" w:type="dxa"/>
            <w:vAlign w:val="bottom"/>
          </w:tcPr>
          <w:p>
            <w:pPr>
              <w:jc w:val="right"/>
              <w:ind w:right="46"/>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117,092,602</w:t>
            </w:r>
          </w:p>
        </w:tc>
        <w:tc>
          <w:tcPr>
            <w:tcW w:w="0" w:type="dxa"/>
            <w:vAlign w:val="bottom"/>
          </w:tcPr>
          <w:p>
            <w:pPr>
              <w:spacing w:after="0"/>
              <w:rPr>
                <w:sz w:val="1"/>
                <w:szCs w:val="1"/>
                <w:color w:val="auto"/>
              </w:rPr>
            </w:pPr>
          </w:p>
        </w:tc>
      </w:tr>
      <w:tr>
        <w:trPr>
          <w:trHeight w:val="211"/>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1,707,816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1,707,816</w:t>
            </w:r>
          </w:p>
        </w:tc>
        <w:tc>
          <w:tcPr>
            <w:tcW w:w="0" w:type="dxa"/>
            <w:vAlign w:val="bottom"/>
          </w:tcPr>
          <w:p>
            <w:pPr>
              <w:spacing w:after="0"/>
              <w:rPr>
                <w:sz w:val="1"/>
                <w:szCs w:val="1"/>
                <w:color w:val="auto"/>
              </w:rPr>
            </w:pPr>
          </w:p>
        </w:tc>
      </w:tr>
      <w:tr>
        <w:trPr>
          <w:trHeight w:val="183"/>
        </w:trPr>
        <w:tc>
          <w:tcPr>
            <w:tcW w:w="12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245,061,715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14,703,703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830,408,683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1,046,052,853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4,447,060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$ 1,895,612,299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-1448435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-1071245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-591185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-299720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-16510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11"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JULY 1, 2019</w:t>
      </w:r>
    </w:p>
    <w:p>
      <w:pPr>
        <w:spacing w:after="0" w:line="3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($0.115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254,779,119</w:t>
            </w:r>
          </w:p>
        </w:tc>
        <w:tc>
          <w:tcPr>
            <w:tcW w:w="3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15,286,747</w:t>
            </w: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777,238,253</w:t>
            </w:r>
          </w:p>
        </w:tc>
        <w:tc>
          <w:tcPr>
            <w:tcW w:w="12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$ 1,111,310,014</w:t>
            </w:r>
          </w:p>
        </w:tc>
        <w:tc>
          <w:tcPr>
            <w:tcW w:w="4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499,221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$ 1,904,334,235</w:t>
            </w:r>
          </w:p>
        </w:tc>
      </w:tr>
      <w:tr>
        <w:trPr>
          <w:trHeight w:val="391"/>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1,771,463</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106,287</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26,180,774</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26,287,061</w:t>
            </w:r>
          </w:p>
        </w:tc>
      </w:tr>
      <w:tr>
        <w:trPr>
          <w:trHeight w:val="216"/>
        </w:trPr>
        <w:tc>
          <w:tcPr>
            <w:tcW w:w="1220" w:type="dxa"/>
            <w:vAlign w:val="bottom"/>
          </w:tcPr>
          <w:p>
            <w:pPr>
              <w:jc w:val="right"/>
              <w:ind w:right="28"/>
              <w:spacing w:after="0"/>
              <w:rPr>
                <w:sz w:val="20"/>
                <w:szCs w:val="20"/>
                <w:color w:val="auto"/>
              </w:rPr>
            </w:pPr>
            <w:r>
              <w:rPr>
                <w:rFonts w:ascii="Arial" w:cs="Arial" w:eastAsia="Arial" w:hAnsi="Arial"/>
                <w:sz w:val="14"/>
                <w:szCs w:val="14"/>
                <w:color w:val="auto"/>
              </w:rPr>
              <w:t>(3,569,577)</w:t>
            </w:r>
          </w:p>
        </w:tc>
        <w:tc>
          <w:tcPr>
            <w:tcW w:w="30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(214,174)</w:t>
            </w:r>
          </w:p>
        </w:tc>
        <w:tc>
          <w:tcPr>
            <w:tcW w:w="2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(9,744,945)</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(86,665,884)</w:t>
            </w:r>
          </w:p>
        </w:tc>
        <w:tc>
          <w:tcPr>
            <w:tcW w:w="44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(96,625,003)</w:t>
            </w:r>
          </w:p>
        </w:tc>
      </w:tr>
      <w:tr>
        <w:trPr>
          <w:trHeight w:val="540"/>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5,788,286</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5,788,286</w:t>
            </w:r>
          </w:p>
        </w:tc>
      </w:tr>
      <w:tr>
        <w:trPr>
          <w:trHeight w:val="243"/>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(29,092,442)</w:t>
            </w:r>
          </w:p>
        </w:tc>
        <w:tc>
          <w:tcPr>
            <w:tcW w:w="440" w:type="dxa"/>
            <w:vAlign w:val="bottom"/>
          </w:tcPr>
          <w:p>
            <w:pPr>
              <w:spacing w:after="0"/>
              <w:rPr>
                <w:sz w:val="21"/>
                <w:szCs w:val="21"/>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(29,092,442)</w:t>
            </w:r>
          </w:p>
        </w:tc>
      </w:tr>
      <w:tr>
        <w:trPr>
          <w:trHeight w:val="216"/>
        </w:trPr>
        <w:tc>
          <w:tcPr>
            <w:tcW w:w="1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111,897,852</w:t>
            </w:r>
          </w:p>
        </w:tc>
        <w:tc>
          <w:tcPr>
            <w:tcW w:w="44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111,897,852</w:t>
            </w:r>
          </w:p>
        </w:tc>
      </w:tr>
      <w:tr>
        <w:trPr>
          <w:trHeight w:val="211"/>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(1,261,726)</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(1,261,726)</w:t>
            </w:r>
          </w:p>
        </w:tc>
      </w:tr>
      <w:tr>
        <w:trPr>
          <w:trHeight w:val="183"/>
        </w:trPr>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252,981,005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15,178,860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799,462,368</w:t>
            </w: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$ 1,107,449,540</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(762,505)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$ 1,921,328,263</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-1310640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-933450</wp:posOffset>
            </wp:positionV>
            <wp:extent cx="713232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-436245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-161925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40"/>
          </w:cols>
          <w:pgMar w:left="340" w:top="14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11" w:right="339" w:bottom="1440" w:gutter="0" w:footer="0" w:header="0"/>
          <w:type w:val="continuous"/>
        </w:sectPr>
      </w:pPr>
    </w:p>
    <w:bookmarkStart w:id="6" w:name="page7"/>
    <w:bookmarkEnd w:id="6"/>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CONDENSED CONSOLIDATED STATEMENTS OF SHAREHOLDERS' INVESTMENT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September 30, 2020 and 2019</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2020</w:t>
      </w:r>
    </w:p>
    <w:p>
      <w:pPr>
        <w:spacing w:after="0" w:line="3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6"/>
          <w:szCs w:val="16"/>
          <w:color w:val="auto"/>
        </w:rPr>
        <w:t>Issuance of common stock related to acquisitions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($0.36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2020</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JANUARY 1, 2019</w:t>
      </w:r>
    </w:p>
    <w:p>
      <w:pPr>
        <w:spacing w:after="0" w:line="3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Issuance of common stock from stock plan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Stock-based compensation expense related to stock options, employee stock purchases and restricted stock</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Dividends declared ($0.345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Common</w:t>
            </w:r>
          </w:p>
        </w:tc>
        <w:tc>
          <w:tcPr>
            <w:tcW w:w="240" w:type="dxa"/>
            <w:vAlign w:val="bottom"/>
          </w:tcPr>
          <w:p>
            <w:pPr>
              <w:spacing w:after="0"/>
              <w:rPr>
                <w:sz w:val="14"/>
                <w:szCs w:val="14"/>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1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1"/>
                <w:szCs w:val="11"/>
                <w:color w:val="auto"/>
              </w:rPr>
            </w:pPr>
          </w:p>
        </w:tc>
        <w:tc>
          <w:tcPr>
            <w:tcW w:w="116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6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1"/>
                <w:szCs w:val="11"/>
                <w:color w:val="auto"/>
              </w:rPr>
            </w:pPr>
          </w:p>
        </w:tc>
        <w:tc>
          <w:tcPr>
            <w:tcW w:w="10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1"/>
                <w:szCs w:val="11"/>
                <w:color w:val="auto"/>
              </w:rPr>
            </w:pPr>
          </w:p>
        </w:tc>
        <w:tc>
          <w:tcPr>
            <w:tcW w:w="11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2"/>
        </w:trPr>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7"/>
                <w:szCs w:val="17"/>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7"/>
                <w:szCs w:val="17"/>
                <w:color w:val="auto"/>
              </w:rPr>
            </w:pPr>
          </w:p>
        </w:tc>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95"/>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251,277,515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15,076,651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807,928,139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1,116,372,133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(1,289,103)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1,938,087,820</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1,815,270</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108,917</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23,568,264</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23,677,181</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163,718</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9,823</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3,549,406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3,559,229</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(8,194,788)</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(491,688)</w:t>
            </w:r>
          </w:p>
        </w:tc>
        <w:tc>
          <w:tcPr>
            <w:tcW w:w="2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4"/>
                <w:szCs w:val="14"/>
                <w:color w:val="auto"/>
              </w:rPr>
              <w:t>(23,730,322)</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(186,258,436)</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(210,480,446)</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19,093,196</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19,093,196</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(88,285,214)</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(88,285,214)</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204,224,370</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204,224,370</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5,736,163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5,736,163</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245,061,715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14,703,703</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830,408,683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1,046,052,853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4,447,060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1,895,612,299</w:t>
            </w:r>
          </w:p>
        </w:tc>
        <w:tc>
          <w:tcPr>
            <w:tcW w:w="0" w:type="dxa"/>
            <w:vAlign w:val="bottom"/>
          </w:tcPr>
          <w:p>
            <w:pPr>
              <w:spacing w:after="0"/>
              <w:rPr>
                <w:sz w:val="1"/>
                <w:szCs w:val="1"/>
                <w:color w:val="auto"/>
              </w:rPr>
            </w:pPr>
          </w:p>
        </w:tc>
      </w:tr>
      <w:tr>
        <w:trPr>
          <w:trHeight w:val="21"/>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259,328,613</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15,559,717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745,324,144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1,102,468,137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(1,600,338)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1,861,751,660</w:t>
            </w:r>
          </w:p>
        </w:tc>
        <w:tc>
          <w:tcPr>
            <w:tcW w:w="0" w:type="dxa"/>
            <w:vAlign w:val="bottom"/>
          </w:tcPr>
          <w:p>
            <w:pPr>
              <w:spacing w:after="0"/>
              <w:rPr>
                <w:sz w:val="1"/>
                <w:szCs w:val="1"/>
                <w:color w:val="auto"/>
              </w:rPr>
            </w:pPr>
          </w:p>
        </w:tc>
      </w:tr>
      <w:tr>
        <w:trPr>
          <w:trHeight w:val="378"/>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5,021,616</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301,297</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67,920,578</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68,221,875</w:t>
            </w:r>
          </w:p>
        </w:tc>
        <w:tc>
          <w:tcPr>
            <w:tcW w:w="0" w:type="dxa"/>
            <w:vAlign w:val="bottom"/>
          </w:tcPr>
          <w:p>
            <w:pPr>
              <w:spacing w:after="0"/>
              <w:rPr>
                <w:sz w:val="1"/>
                <w:szCs w:val="1"/>
                <w:color w:val="auto"/>
              </w:rPr>
            </w:pPr>
          </w:p>
        </w:tc>
      </w:tr>
      <w:tr>
        <w:trPr>
          <w:trHeight w:val="216"/>
        </w:trPr>
        <w:tc>
          <w:tcPr>
            <w:tcW w:w="1160" w:type="dxa"/>
            <w:vAlign w:val="bottom"/>
          </w:tcPr>
          <w:p>
            <w:pPr>
              <w:jc w:val="right"/>
              <w:ind w:right="28"/>
              <w:spacing w:after="0"/>
              <w:rPr>
                <w:sz w:val="20"/>
                <w:szCs w:val="20"/>
                <w:color w:val="auto"/>
              </w:rPr>
            </w:pPr>
            <w:r>
              <w:rPr>
                <w:rFonts w:ascii="Arial" w:cs="Arial" w:eastAsia="Arial" w:hAnsi="Arial"/>
                <w:sz w:val="14"/>
                <w:szCs w:val="14"/>
                <w:color w:val="auto"/>
              </w:rPr>
              <w:t>(11,369,224)</w:t>
            </w:r>
          </w:p>
        </w:tc>
        <w:tc>
          <w:tcPr>
            <w:tcW w:w="2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(682,154)</w:t>
            </w:r>
          </w:p>
        </w:tc>
        <w:tc>
          <w:tcPr>
            <w:tcW w:w="260" w:type="dxa"/>
            <w:vAlign w:val="bottom"/>
          </w:tcPr>
          <w:p>
            <w:pPr>
              <w:spacing w:after="0"/>
              <w:rPr>
                <w:sz w:val="18"/>
                <w:szCs w:val="18"/>
                <w:color w:val="auto"/>
              </w:rPr>
            </w:pPr>
          </w:p>
        </w:tc>
        <w:tc>
          <w:tcPr>
            <w:tcW w:w="1120" w:type="dxa"/>
            <w:vAlign w:val="bottom"/>
          </w:tcPr>
          <w:p>
            <w:pPr>
              <w:ind w:left="200"/>
              <w:spacing w:after="0"/>
              <w:rPr>
                <w:sz w:val="20"/>
                <w:szCs w:val="20"/>
                <w:color w:val="auto"/>
              </w:rPr>
            </w:pPr>
            <w:r>
              <w:rPr>
                <w:rFonts w:ascii="Arial" w:cs="Arial" w:eastAsia="Arial" w:hAnsi="Arial"/>
                <w:sz w:val="14"/>
                <w:szCs w:val="14"/>
                <w:color w:val="auto"/>
              </w:rPr>
              <w:t>(29,709,788)</w:t>
            </w:r>
          </w:p>
        </w:tc>
        <w:tc>
          <w:tcPr>
            <w:tcW w:w="24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(232,371,433)</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(262,763,375)</w:t>
            </w:r>
          </w:p>
        </w:tc>
        <w:tc>
          <w:tcPr>
            <w:tcW w:w="0" w:type="dxa"/>
            <w:vAlign w:val="bottom"/>
          </w:tcPr>
          <w:p>
            <w:pPr>
              <w:spacing w:after="0"/>
              <w:rPr>
                <w:sz w:val="1"/>
                <w:szCs w:val="1"/>
                <w:color w:val="auto"/>
              </w:rPr>
            </w:pPr>
          </w:p>
        </w:tc>
      </w:tr>
      <w:tr>
        <w:trPr>
          <w:trHeight w:val="540"/>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15,927,434</w:t>
            </w:r>
          </w:p>
        </w:tc>
        <w:tc>
          <w:tcPr>
            <w:tcW w:w="240" w:type="dxa"/>
            <w:vAlign w:val="bottom"/>
          </w:tcPr>
          <w:p>
            <w:pPr>
              <w:spacing w:after="0"/>
              <w:rPr>
                <w:sz w:val="24"/>
                <w:szCs w:val="24"/>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15,927,434</w:t>
            </w:r>
          </w:p>
        </w:tc>
        <w:tc>
          <w:tcPr>
            <w:tcW w:w="0" w:type="dxa"/>
            <w:vAlign w:val="bottom"/>
          </w:tcPr>
          <w:p>
            <w:pPr>
              <w:spacing w:after="0"/>
              <w:rPr>
                <w:sz w:val="1"/>
                <w:szCs w:val="1"/>
                <w:color w:val="auto"/>
              </w:rPr>
            </w:pPr>
          </w:p>
        </w:tc>
      </w:tr>
      <w:tr>
        <w:trPr>
          <w:trHeight w:val="243"/>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(87,784,052)</w:t>
            </w:r>
          </w:p>
        </w:tc>
        <w:tc>
          <w:tcPr>
            <w:tcW w:w="18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(87,784,052)</w:t>
            </w:r>
          </w:p>
        </w:tc>
        <w:tc>
          <w:tcPr>
            <w:tcW w:w="0" w:type="dxa"/>
            <w:vAlign w:val="bottom"/>
          </w:tcPr>
          <w:p>
            <w:pPr>
              <w:spacing w:after="0"/>
              <w:rPr>
                <w:sz w:val="1"/>
                <w:szCs w:val="1"/>
                <w:color w:val="auto"/>
              </w:rPr>
            </w:pPr>
          </w:p>
        </w:tc>
      </w:tr>
      <w:tr>
        <w:trPr>
          <w:trHeight w:val="216"/>
        </w:trPr>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325,136,888</w:t>
            </w:r>
          </w:p>
        </w:tc>
        <w:tc>
          <w:tcPr>
            <w:tcW w:w="18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325,136,888</w:t>
            </w:r>
          </w:p>
        </w:tc>
        <w:tc>
          <w:tcPr>
            <w:tcW w:w="0" w:type="dxa"/>
            <w:vAlign w:val="bottom"/>
          </w:tcPr>
          <w:p>
            <w:pPr>
              <w:spacing w:after="0"/>
              <w:rPr>
                <w:sz w:val="1"/>
                <w:szCs w:val="1"/>
                <w:color w:val="auto"/>
              </w:rPr>
            </w:pPr>
          </w:p>
        </w:tc>
      </w:tr>
      <w:tr>
        <w:trPr>
          <w:trHeight w:val="211"/>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837,833</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837,833</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252,981,005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15,178,860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799,462,368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1,107,449,540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(762,505)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1,921,328,263</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-3291205</wp:posOffset>
            </wp:positionV>
            <wp:extent cx="711517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-2914015</wp:posOffset>
            </wp:positionV>
            <wp:extent cx="711517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-2536825</wp:posOffset>
            </wp:positionV>
            <wp:extent cx="7115175"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34290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-2039620</wp:posOffset>
            </wp:positionV>
            <wp:extent cx="71151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-1765300</wp:posOffset>
            </wp:positionV>
            <wp:extent cx="711517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-1447800</wp:posOffset>
            </wp:positionV>
            <wp:extent cx="71151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-1071245</wp:posOffset>
            </wp:positionV>
            <wp:extent cx="71151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-590550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-2157730</wp:posOffset>
            </wp:positionH>
            <wp:positionV relativeFrom="paragraph">
              <wp:posOffset>-299720</wp:posOffset>
            </wp:positionV>
            <wp:extent cx="711517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40"/>
            <w:col w:w="7820"/>
          </w:cols>
          <w:pgMar w:left="36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95885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type w:val="continuous"/>
        </w:sectPr>
      </w:pPr>
    </w:p>
    <w:bookmarkStart w:id="7" w:name="page8"/>
    <w:bookmarkEnd w:id="7"/>
    <w:p>
      <w:pPr>
        <w:jc w:val="center"/>
        <w:ind w:left="340" w:right="2340"/>
        <w:spacing w:after="0" w:line="395"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Nine Months Ended September 30, 2020 and 2019</w:t>
      </w:r>
    </w:p>
    <w:tbl>
      <w:tblPr>
        <w:tblLayout w:type="fixed"/>
        <w:tblInd w:w="0" w:type="dxa"/>
        <w:tblCellMar>
          <w:top w:w="0" w:type="dxa"/>
          <w:left w:w="0" w:type="dxa"/>
          <w:bottom w:w="0" w:type="dxa"/>
          <w:right w:w="0" w:type="dxa"/>
        </w:tblCellMar>
      </w:tblPr>
      <w:tr>
        <w:trPr>
          <w:trHeight w:val="191"/>
        </w:trPr>
        <w:tc>
          <w:tcPr>
            <w:tcW w:w="7320" w:type="dxa"/>
            <w:vAlign w:val="bottom"/>
            <w:vMerge w:val="restart"/>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204,224,370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325,136,888</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78,489,026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79,331,513</w:t>
            </w:r>
          </w:p>
        </w:tc>
        <w:tc>
          <w:tcPr>
            <w:tcW w:w="0" w:type="dxa"/>
            <w:vAlign w:val="bottom"/>
          </w:tcPr>
          <w:p>
            <w:pPr>
              <w:spacing w:after="0"/>
              <w:rPr>
                <w:sz w:val="1"/>
                <w:szCs w:val="1"/>
                <w:color w:val="auto"/>
              </w:rPr>
            </w:pPr>
          </w:p>
        </w:tc>
      </w:tr>
      <w:tr>
        <w:trPr>
          <w:trHeight w:val="229"/>
        </w:trPr>
        <w:tc>
          <w:tcPr>
            <w:tcW w:w="7320" w:type="dxa"/>
            <w:vAlign w:val="bottom"/>
          </w:tcPr>
          <w:p>
            <w:pPr>
              <w:ind w:left="540"/>
              <w:spacing w:after="0"/>
              <w:rPr>
                <w:sz w:val="20"/>
                <w:szCs w:val="20"/>
                <w:color w:val="auto"/>
              </w:rPr>
            </w:pPr>
            <w:r>
              <w:rPr>
                <w:rFonts w:ascii="Arial" w:cs="Arial" w:eastAsia="Arial" w:hAnsi="Arial"/>
                <w:sz w:val="18"/>
                <w:szCs w:val="18"/>
                <w:color w:val="auto"/>
              </w:rPr>
              <w:t>(Gain) on disposal of assets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(281,542)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(148,376)</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495,697</w:t>
            </w:r>
          </w:p>
        </w:tc>
        <w:tc>
          <w:tcPr>
            <w:tcW w:w="0" w:type="dxa"/>
            <w:vAlign w:val="bottom"/>
          </w:tcPr>
          <w:p>
            <w:pPr>
              <w:spacing w:after="0"/>
              <w:rPr>
                <w:sz w:val="1"/>
                <w:szCs w:val="1"/>
                <w:color w:val="auto"/>
              </w:rPr>
            </w:pPr>
          </w:p>
        </w:tc>
      </w:tr>
      <w:tr>
        <w:trPr>
          <w:trHeight w:val="229"/>
        </w:trPr>
        <w:tc>
          <w:tcPr>
            <w:tcW w:w="7320" w:type="dxa"/>
            <w:vAlign w:val="bottom"/>
          </w:tcPr>
          <w:p>
            <w:pPr>
              <w:ind w:left="540"/>
              <w:spacing w:after="0"/>
              <w:rPr>
                <w:sz w:val="20"/>
                <w:szCs w:val="20"/>
                <w:color w:val="auto"/>
              </w:rPr>
            </w:pPr>
            <w:r>
              <w:rPr>
                <w:rFonts w:ascii="Arial" w:cs="Arial" w:eastAsia="Arial" w:hAnsi="Arial"/>
                <w:sz w:val="18"/>
                <w:szCs w:val="18"/>
                <w:color w:val="auto"/>
              </w:rPr>
              <w:t>(Gain) on sale of investments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(1,504,757)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(593,351)</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sale of investments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540"/>
              <w:spacing w:after="0"/>
              <w:rPr>
                <w:sz w:val="20"/>
                <w:szCs w:val="20"/>
                <w:color w:val="auto"/>
              </w:rPr>
            </w:pPr>
            <w:r>
              <w:rPr>
                <w:rFonts w:ascii="Arial" w:cs="Arial" w:eastAsia="Arial" w:hAnsi="Arial"/>
                <w:sz w:val="18"/>
                <w:szCs w:val="18"/>
                <w:color w:val="auto"/>
              </w:rPr>
              <w:t>Change in deferred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(9,559,993)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2,189,818</w:t>
            </w: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Stock-based compensation expense related to employee stock options, employee</w:t>
            </w:r>
          </w:p>
        </w:tc>
        <w:tc>
          <w:tcPr>
            <w:tcW w:w="3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23,266,906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15,927,434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purchases and restricted stock</w:t>
            </w:r>
          </w:p>
        </w:tc>
        <w:tc>
          <w:tcPr>
            <w:tcW w:w="3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(32,832,997)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(39,570,916)</w:t>
            </w:r>
          </w:p>
        </w:tc>
        <w:tc>
          <w:tcPr>
            <w:tcW w:w="0" w:type="dxa"/>
            <w:vAlign w:val="bottom"/>
          </w:tcPr>
          <w:p>
            <w:pPr>
              <w:spacing w:after="0"/>
              <w:rPr>
                <w:sz w:val="1"/>
                <w:szCs w:val="1"/>
                <w:color w:val="auto"/>
              </w:rPr>
            </w:pPr>
          </w:p>
        </w:tc>
      </w:tr>
      <w:tr>
        <w:trPr>
          <w:trHeight w:val="229"/>
        </w:trPr>
        <w:tc>
          <w:tcPr>
            <w:tcW w:w="732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15,659,539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(13,395,196)</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8,934,297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(2,729,945)</w:t>
            </w:r>
          </w:p>
        </w:tc>
        <w:tc>
          <w:tcPr>
            <w:tcW w:w="0" w:type="dxa"/>
            <w:vAlign w:val="bottom"/>
          </w:tcPr>
          <w:p>
            <w:pPr>
              <w:spacing w:after="0"/>
              <w:rPr>
                <w:sz w:val="1"/>
                <w:szCs w:val="1"/>
                <w:color w:val="auto"/>
              </w:rPr>
            </w:pPr>
          </w:p>
        </w:tc>
      </w:tr>
      <w:tr>
        <w:trPr>
          <w:trHeight w:val="230"/>
        </w:trPr>
        <w:tc>
          <w:tcPr>
            <w:tcW w:w="7320" w:type="dxa"/>
            <w:vAlign w:val="bottom"/>
          </w:tcPr>
          <w:p>
            <w:pPr>
              <w:ind w:left="7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(7,389,582)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2,499,481</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49,749,418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14,797,251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329,044,250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383,940,298</w:t>
            </w:r>
          </w:p>
        </w:tc>
        <w:tc>
          <w:tcPr>
            <w:tcW w:w="0" w:type="dxa"/>
            <w:vAlign w:val="bottom"/>
          </w:tcPr>
          <w:p>
            <w:pPr>
              <w:spacing w:after="0"/>
              <w:rPr>
                <w:sz w:val="1"/>
                <w:szCs w:val="1"/>
                <w:color w:val="auto"/>
              </w:rPr>
            </w:pPr>
          </w:p>
        </w:tc>
      </w:tr>
      <w:tr>
        <w:trPr>
          <w:trHeight w:val="155"/>
        </w:trPr>
        <w:tc>
          <w:tcPr>
            <w:tcW w:w="7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Activity in available-for-sale securities: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Sales proceeds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15,559,590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57,087,935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and calls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117,172,368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9,714,000</w:t>
            </w:r>
          </w:p>
        </w:tc>
        <w:tc>
          <w:tcPr>
            <w:tcW w:w="0" w:type="dxa"/>
            <w:vAlign w:val="bottom"/>
          </w:tcPr>
          <w:p>
            <w:pPr>
              <w:spacing w:after="0"/>
              <w:rPr>
                <w:sz w:val="1"/>
                <w:szCs w:val="1"/>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(59,933,780)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(66,360,636)</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Plant and equipment additions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(37,048,073)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(58,322,472)</w:t>
            </w: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sale of plant and equipment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331,465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1,937,207</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businesses, net of cash acquired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(8,043,217)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in other assets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(3,326,783)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(3,111,644)</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24,711,570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(59,055,610)</w:t>
            </w: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20"/>
              <w:spacing w:after="0"/>
              <w:rPr>
                <w:sz w:val="20"/>
                <w:szCs w:val="20"/>
                <w:color w:val="auto"/>
              </w:rPr>
            </w:pPr>
            <w:r>
              <w:rPr>
                <w:rFonts w:ascii="Arial" w:cs="Arial" w:eastAsia="Arial" w:hAnsi="Arial"/>
                <w:sz w:val="18"/>
                <w:szCs w:val="18"/>
                <w:color w:val="auto"/>
              </w:rPr>
              <w:t>Proceeds from borrowings on Credit Agreement</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borrowings on Credit Agreement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ind w:left="220"/>
              <w:spacing w:after="0"/>
              <w:rPr>
                <w:sz w:val="20"/>
                <w:szCs w:val="20"/>
                <w:color w:val="auto"/>
              </w:rPr>
            </w:pPr>
            <w:r>
              <w:rPr>
                <w:rFonts w:ascii="Arial" w:cs="Arial" w:eastAsia="Arial" w:hAnsi="Arial"/>
                <w:sz w:val="18"/>
                <w:szCs w:val="18"/>
                <w:color w:val="auto"/>
              </w:rPr>
              <w:t>Issuance of common stock from stock plan transactions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23,677,181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68,221,875</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(87,774,635)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(87,217,383)</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Repurchases of common stock</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(210,480,446)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(262,763,375)</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(249,577,900)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(281,758,883)</w:t>
            </w:r>
          </w:p>
        </w:tc>
        <w:tc>
          <w:tcPr>
            <w:tcW w:w="0" w:type="dxa"/>
            <w:vAlign w:val="bottom"/>
          </w:tcPr>
          <w:p>
            <w:pPr>
              <w:spacing w:after="0"/>
              <w:rPr>
                <w:sz w:val="1"/>
                <w:szCs w:val="1"/>
                <w:color w:val="auto"/>
              </w:rPr>
            </w:pPr>
          </w:p>
        </w:tc>
      </w:tr>
      <w:tr>
        <w:trPr>
          <w:trHeight w:val="129"/>
        </w:trPr>
        <w:tc>
          <w:tcPr>
            <w:tcW w:w="7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104,177,920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43,125,805</w:t>
            </w:r>
          </w:p>
        </w:tc>
        <w:tc>
          <w:tcPr>
            <w:tcW w:w="0" w:type="dxa"/>
            <w:vAlign w:val="bottom"/>
          </w:tcPr>
          <w:p>
            <w:pPr>
              <w:spacing w:after="0"/>
              <w:rPr>
                <w:sz w:val="1"/>
                <w:szCs w:val="1"/>
                <w:color w:val="auto"/>
              </w:rPr>
            </w:pPr>
          </w:p>
        </w:tc>
      </w:tr>
      <w:tr>
        <w:trPr>
          <w:trHeight w:val="149"/>
        </w:trPr>
        <w:tc>
          <w:tcPr>
            <w:tcW w:w="73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296,321,622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217,025,278</w:t>
            </w:r>
          </w:p>
        </w:tc>
        <w:tc>
          <w:tcPr>
            <w:tcW w:w="0" w:type="dxa"/>
            <w:vAlign w:val="bottom"/>
          </w:tcPr>
          <w:p>
            <w:pPr>
              <w:spacing w:after="0"/>
              <w:rPr>
                <w:sz w:val="1"/>
                <w:szCs w:val="1"/>
                <w:color w:val="auto"/>
              </w:rPr>
            </w:pPr>
          </w:p>
        </w:tc>
      </w:tr>
      <w:tr>
        <w:trPr>
          <w:trHeight w:val="128"/>
        </w:trPr>
        <w:tc>
          <w:tcPr>
            <w:tcW w:w="7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400,499,542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260,151,083</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5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2019 annual report on Form 10-K. In the opinion of management, the accompanying unaudited condensed consolidated financial statements contain all adjustments, consisting of only a normal and recurring nature, necessary to present fairly the financial position of the Company as of September 30, 2020, and the results of operations and cash flows for the interim periods presented.</w:t>
      </w:r>
    </w:p>
    <w:p>
      <w:pPr>
        <w:spacing w:after="0" w:line="208"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New Accounting Pronouncements</w:t>
      </w:r>
    </w:p>
    <w:p>
      <w:pPr>
        <w:spacing w:after="0" w:line="252"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 xml:space="preserve">Effective January 1, 2020, the Company adopted Accounting Standards Update ("ASU") 2016-13, </w:t>
      </w:r>
      <w:r>
        <w:rPr>
          <w:rFonts w:ascii="Arial" w:cs="Arial" w:eastAsia="Arial" w:hAnsi="Arial"/>
          <w:sz w:val="18"/>
          <w:szCs w:val="18"/>
          <w:i w:val="1"/>
          <w:iCs w:val="1"/>
          <w:color w:val="auto"/>
        </w:rPr>
        <w:t>Financial Instruments -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(Topic 326), Measurement of Credit Losses on Financial Instrument</w:t>
      </w:r>
      <w:r>
        <w:rPr>
          <w:rFonts w:ascii="Arial" w:cs="Arial" w:eastAsia="Arial" w:hAnsi="Arial"/>
          <w:sz w:val="18"/>
          <w:szCs w:val="18"/>
          <w:color w:val="auto"/>
        </w:rPr>
        <w:t>s. This guidance must be adopted using a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retrospective transition method through a cumulative-effect adjustment to retained earnings in the period of adoption. Based on the insignificant impact of this ASU on the Company's financial statements, a cumulative-effect adjustment to retained earnings was not deemed necessary. The standard requires a change in the measurement approach for credit losses on 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It also modifies the impairment model for available-for-sale debt securities and provides a simplified accounting model for purchased financial assets with credit deterioration since their origination. The adoption of this standard did not have a material impact on the Company's consolidated balance sheet, consolidated income statement, or consolidated statement of cash flows.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52" w:lineRule="exact"/>
        <w:rPr>
          <w:sz w:val="20"/>
          <w:szCs w:val="20"/>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acquisition in 2013 and recorded an additional $3.9 million in Goodwill as part of the acquisition of Vaporsens that occurred in the second quarter of 2020. See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 Vaporsens transaction. The carrying value of Goodwill as of September 30, 2020 and December 31, 2019 was $311.2 million and $307.4 million, respectively.</w:t>
      </w:r>
    </w:p>
    <w:p>
      <w:pPr>
        <w:spacing w:after="0" w:line="200" w:lineRule="exact"/>
        <w:rPr>
          <w:sz w:val="20"/>
          <w:szCs w:val="20"/>
          <w:color w:val="auto"/>
        </w:rPr>
      </w:pPr>
    </w:p>
    <w:p>
      <w:pPr>
        <w:spacing w:after="0" w:line="310" w:lineRule="exact"/>
        <w:rPr>
          <w:sz w:val="20"/>
          <w:szCs w:val="20"/>
          <w:color w:val="auto"/>
        </w:rPr>
      </w:pPr>
    </w:p>
    <w:tbl>
      <w:tblPr>
        <w:tblLayout w:type="fixed"/>
        <w:tblInd w:w="1300" w:type="dxa"/>
        <w:tblCellMar>
          <w:top w:w="0" w:type="dxa"/>
          <w:left w:w="0" w:type="dxa"/>
          <w:bottom w:w="0" w:type="dxa"/>
          <w:right w:w="0" w:type="dxa"/>
        </w:tblCellMar>
      </w:tblPr>
      <w:tr>
        <w:trPr>
          <w:trHeight w:val="189"/>
        </w:trPr>
        <w:tc>
          <w:tcPr>
            <w:tcW w:w="73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Carrying Amount</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307,365,845</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3,850,711</w:t>
            </w: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Divestitures</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311,216,556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 w:name="page10"/>
    <w:bookmarkEnd w:id="9"/>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of goodwill or other intangible assets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The impact of COVID-19 was again considered in the most recently completed quarter, but did not indicate the need for interim impairment testing.</w:t>
      </w:r>
    </w:p>
    <w:p>
      <w:pPr>
        <w:spacing w:after="0" w:line="204" w:lineRule="exact"/>
        <w:rPr>
          <w:sz w:val="20"/>
          <w:szCs w:val="20"/>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 Company also acquired In-Process Research &amp; Development as part of the acquisition of Vaporsens that occurred in the second quarter of 2020 and the acquisition of Air-Craftglass Production BV ("Air-Craftglass") in the third quarter of 2020. See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on these transactions.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3"/>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38,011,452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(23,982,357)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14,029,095</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Vaporsens Technology Licenses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292,943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(35,002)</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257,941</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(105,000,000)</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75,000,000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(30,100,000)</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Exclusive Licensing Agreement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96,000,000</w:t>
            </w: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Vaporsens In-Process R&amp;D</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11,000,000</w:t>
            </w: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Air-Craftglass In-Process R&amp;D</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1,011,399</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1,011,399</w:t>
            </w:r>
          </w:p>
        </w:tc>
        <w:tc>
          <w:tcPr>
            <w:tcW w:w="4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383,011,399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(135,100,000)</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247,911,399</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421,315,794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(159,117,359)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262,198,435</w:t>
            </w:r>
          </w:p>
        </w:tc>
        <w:tc>
          <w:tcPr>
            <w:tcW w:w="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As of December 31, 2019:</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02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Other Intangible Assets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Net</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75"/>
        </w:trPr>
        <w:tc>
          <w:tcPr>
            <w:tcW w:w="40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37,328,963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(22,491,010)</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14,837,953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Various</w:t>
            </w:r>
          </w:p>
        </w:tc>
        <w:tc>
          <w:tcPr>
            <w:tcW w:w="0" w:type="dxa"/>
            <w:vAlign w:val="bottom"/>
          </w:tcPr>
          <w:p>
            <w:pPr>
              <w:spacing w:after="0"/>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 Names and Trademarks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52,000,000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3"/>
          </w:tcPr>
          <w:p>
            <w:pPr>
              <w:jc w:val="right"/>
              <w:ind w:right="9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52,000,000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180,000,000</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Existing Customer Platforms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43,000,000</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(26,875,000)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16,125,000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Exclusive Licensing Agreement</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96,000,000</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Indefinite</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371,000,000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(120,625,000)</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250,375,000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408,328,963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(143,116,010)</w:t>
            </w: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265,212,953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Amortization expense on patents and intangible assets was approximately $5.6 million and $16.8 million during the three and nine months ended September 30, 2020, respectively, compared to approximately $5.6 million and $16.8 million for the same periods ended September 30, 2019, respectively.</w:t>
      </w:r>
    </w:p>
    <w:p>
      <w:pPr>
        <w:spacing w:after="0" w:line="1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Excluding the impact of any future acquisitions, the Company estimates amortization expense for each of the years ending December 31, 2020 and 2021 to be approximately $ 22 million annually, for the year ending December 31, 2022 to be approximately $21 million, for the year ending December 31, 2023 to be approximately $19 million, and for the year ending December 31, 2024 to be approximately $16 million.</w:t>
      </w: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follows the provisions of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with respect to a company’s use of fair-value measurements, including the effect of such measurements on earnings. The cost of securities sold is based on the specific identification method.</w:t>
      </w:r>
    </w:p>
    <w:p>
      <w:pPr>
        <w:spacing w:after="0" w:line="9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determines the fair value of its government securities, asset-backed securities, municipal bonds,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95"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Company's certificates of deposit are classified as available for sale and are considered as Level 1 assets. These investments are carried at cost, which approximates fair value.</w:t>
      </w:r>
    </w:p>
    <w:p>
      <w:pPr>
        <w:spacing w:after="0" w:line="171"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 xml:space="preserve">The Company also periodically makes technology investments in certain non-consolidated third-parties. These equity investments are accounted for in accordance with ASC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Equity investments that do not have readily determinable fair values, and where the Company has not identified any observable events that would cause adjustment of the valuation to date, such equity investments are held at cost. These technology investments totaled approximately $8.6 million and $9.0 million as of September 30, 2020 and December 31, 2019, respectively. These investments are classified within Long-Term Investments in the consolidated balance sheet.</w:t>
      </w:r>
    </w:p>
    <w:p>
      <w:pPr>
        <w:spacing w:after="0" w:line="109"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Assets or liabilities that have recurring fair value measurements are shown below as of September 30, 2020 and December 31, 2019:</w:t>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1" w:name="page12"/>
    <w:bookmarkEnd w:id="11"/>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4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Total as of</w:t>
            </w:r>
          </w:p>
        </w:tc>
        <w:tc>
          <w:tcPr>
            <w:tcW w:w="160" w:type="dxa"/>
            <w:vAlign w:val="bottom"/>
          </w:tcPr>
          <w:p>
            <w:pPr>
              <w:spacing w:after="0"/>
              <w:rPr>
                <w:sz w:val="11"/>
                <w:szCs w:val="11"/>
                <w:color w:val="auto"/>
              </w:rPr>
            </w:pPr>
          </w:p>
        </w:tc>
        <w:tc>
          <w:tcPr>
            <w:tcW w:w="160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14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400,499,542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400,499,542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14,105,245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14,105,245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23,235,183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11,025,844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11,025,844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2,941,743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42,012,670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42,012,670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3,913,968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3,913,968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8,975,930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95,487,532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95,487,532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603,468,122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408,625,718</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194,842,404</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860" w:type="dxa"/>
            <w:vAlign w:val="bottom"/>
            <w:vMerge w:val="restart"/>
          </w:tcPr>
          <w:p>
            <w:pPr>
              <w:spacing w:after="0"/>
              <w:rPr>
                <w:sz w:val="20"/>
                <w:szCs w:val="20"/>
                <w:color w:val="auto"/>
              </w:rPr>
            </w:pPr>
            <w:r>
              <w:rPr>
                <w:rFonts w:ascii="Arial" w:cs="Arial" w:eastAsia="Arial" w:hAnsi="Arial"/>
                <w:sz w:val="18"/>
                <w:szCs w:val="18"/>
                <w:color w:val="auto"/>
              </w:rPr>
              <w:t>As of December 31, 2019:</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9"/>
        </w:trPr>
        <w:tc>
          <w:tcPr>
            <w:tcW w:w="2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12"/>
          </w:tcPr>
          <w:p>
            <w:pPr>
              <w:ind w:left="6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as of</w:t>
            </w:r>
          </w:p>
        </w:tc>
        <w:tc>
          <w:tcPr>
            <w:tcW w:w="160" w:type="dxa"/>
            <w:vAlign w:val="bottom"/>
          </w:tcPr>
          <w:p>
            <w:pPr>
              <w:spacing w:after="0"/>
              <w:rPr>
                <w:sz w:val="11"/>
                <w:szCs w:val="11"/>
                <w:color w:val="auto"/>
              </w:rPr>
            </w:pPr>
          </w:p>
        </w:tc>
        <w:tc>
          <w:tcPr>
            <w:tcW w:w="160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14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Identical Assets</w:t>
            </w:r>
          </w:p>
        </w:tc>
        <w:tc>
          <w:tcPr>
            <w:tcW w:w="14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Inputs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gridSpan w:val="2"/>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296,321,622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296,321,622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50,099,795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50,099,795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29,219,685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29,219,685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58,432,823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58,432,823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2,631,750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2,631,750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25,791,029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25,791,029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3,557,798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22,815,998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22,815,998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Governmental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6,088,190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20"/>
              <w:spacing w:after="0"/>
              <w:rPr>
                <w:sz w:val="20"/>
                <w:szCs w:val="20"/>
                <w:color w:val="auto"/>
              </w:rPr>
            </w:pPr>
            <w:r>
              <w:rPr>
                <w:rFonts w:ascii="Arial" w:cs="Arial" w:eastAsia="Arial" w:hAnsi="Arial"/>
                <w:sz w:val="18"/>
                <w:szCs w:val="18"/>
                <w:color w:val="auto"/>
              </w:rPr>
              <w:t>Municipal Bonds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72,638,690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72,638,690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567,597,380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352,610,965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214,986,415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amortized cost, unrealized gains and losses, and market value of investment securities are shown as of September 30, 2020 and December 31, 2019:</w:t>
      </w:r>
    </w:p>
    <w:p>
      <w:pPr>
        <w:sectPr>
          <w:pgSz w:w="11900" w:h="16838" w:orient="portrait"/>
          <w:cols w:equalWidth="0" w:num="1">
            <w:col w:w="10580"/>
          </w:cols>
          <w:pgMar w:left="98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95885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8" w:right="339" w:bottom="1440" w:gutter="0" w:footer="0" w:header="0"/>
          <w:type w:val="continuous"/>
        </w:sectPr>
      </w:pPr>
    </w:p>
    <w:bookmarkStart w:id="12" w:name="page13"/>
    <w:bookmarkEnd w:id="12"/>
    <w:p>
      <w:pPr>
        <w:jc w:val="center"/>
        <w:ind w:right="6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3"/>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4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352"/>
              <w:spacing w:after="0"/>
              <w:rPr>
                <w:sz w:val="20"/>
                <w:szCs w:val="20"/>
                <w:color w:val="auto"/>
              </w:rPr>
            </w:pPr>
            <w:r>
              <w:rPr>
                <w:rFonts w:ascii="Arial" w:cs="Arial" w:eastAsia="Arial" w:hAnsi="Arial"/>
                <w:sz w:val="14"/>
                <w:szCs w:val="14"/>
                <w:b w:val="1"/>
                <w:bCs w:val="1"/>
                <w:color w:val="auto"/>
              </w:rPr>
              <w:t>Market Value</w:t>
            </w: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338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1,252,187</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18,278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1,270,465</w:t>
            </w:r>
          </w:p>
        </w:tc>
      </w:tr>
      <w:tr>
        <w:trPr>
          <w:trHeight w:val="230"/>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13,970,360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14,105,245</w:t>
            </w:r>
          </w:p>
        </w:tc>
      </w:tr>
      <w:tr>
        <w:trPr>
          <w:trHeight w:val="229"/>
        </w:trPr>
        <w:tc>
          <w:tcPr>
            <w:tcW w:w="338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23,105,527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23,235,183</w:t>
            </w:r>
          </w:p>
        </w:tc>
      </w:tr>
      <w:tr>
        <w:trPr>
          <w:trHeight w:val="229"/>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10,864,899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11,025,844</w:t>
            </w:r>
          </w:p>
        </w:tc>
      </w:tr>
      <w:tr>
        <w:trPr>
          <w:trHeight w:val="230"/>
        </w:trPr>
        <w:tc>
          <w:tcPr>
            <w:tcW w:w="338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2,941,743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2,941,743</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33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41,521,603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1,086,633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(595,566)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42,012,670</w:t>
            </w:r>
          </w:p>
        </w:tc>
      </w:tr>
      <w:tr>
        <w:trPr>
          <w:trHeight w:val="229"/>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3,754,312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3,913,968</w:t>
            </w:r>
          </w:p>
        </w:tc>
      </w:tr>
      <w:tr>
        <w:trPr>
          <w:trHeight w:val="229"/>
        </w:trPr>
        <w:tc>
          <w:tcPr>
            <w:tcW w:w="33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8,598,910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377,020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8,975,930</w:t>
            </w:r>
          </w:p>
        </w:tc>
      </w:tr>
      <w:tr>
        <w:trPr>
          <w:trHeight w:val="230"/>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89,916,703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5,580,670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95,487,532</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195,926,244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7,647,743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202,968,580</w:t>
            </w:r>
          </w:p>
        </w:tc>
      </w:tr>
      <w:tr>
        <w:trPr>
          <w:trHeight w:val="21"/>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3"/>
        </w:trPr>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4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 Value</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50,099,795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50,099,795</w:t>
            </w: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29,025,624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29,219,685</w:t>
            </w:r>
          </w:p>
        </w:tc>
      </w:tr>
      <w:tr>
        <w:trPr>
          <w:trHeight w:val="229"/>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58,343,911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99,917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58,432,823</w:t>
            </w: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2,631,750</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25,791,029</w:t>
            </w: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3,557,798</w:t>
            </w:r>
          </w:p>
        </w:tc>
      </w:tr>
      <w:tr>
        <w:trPr>
          <w:trHeight w:val="22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22,306,130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22,815,998</w:t>
            </w: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6,012,705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6,088,190</w:t>
            </w:r>
          </w:p>
        </w:tc>
      </w:tr>
      <w:tr>
        <w:trPr>
          <w:trHeight w:val="230"/>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71,997,996</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1,036,116</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(395,422)</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72,638,690</w:t>
            </w: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269,889,067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1,974,255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271,275,758</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September 30, 2020,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220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80" w:type="dxa"/>
            <w:vAlign w:val="bottom"/>
          </w:tcPr>
          <w:p>
            <w:pPr>
              <w:spacing w:after="0"/>
              <w:rPr>
                <w:sz w:val="16"/>
                <w:szCs w:val="16"/>
                <w:color w:val="auto"/>
              </w:rPr>
            </w:pPr>
          </w:p>
        </w:tc>
        <w:tc>
          <w:tcPr>
            <w:tcW w:w="178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24,572,356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24,572,356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Unrealized losses on investments as of December 31, 2019,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220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 Unrealized Losses</w:t>
            </w:r>
          </w:p>
        </w:tc>
        <w:tc>
          <w:tcPr>
            <w:tcW w:w="180" w:type="dxa"/>
            <w:vAlign w:val="bottom"/>
          </w:tcPr>
          <w:p>
            <w:pPr>
              <w:spacing w:after="0"/>
              <w:rPr>
                <w:sz w:val="16"/>
                <w:szCs w:val="16"/>
                <w:color w:val="auto"/>
              </w:rPr>
            </w:pPr>
          </w:p>
        </w:tc>
        <w:tc>
          <w:tcPr>
            <w:tcW w:w="1780" w:type="dxa"/>
            <w:vAlign w:val="bottom"/>
          </w:tcPr>
          <w:p>
            <w:pPr>
              <w:jc w:val="right"/>
              <w:ind w:right="175"/>
              <w:spacing w:after="0"/>
              <w:rPr>
                <w:sz w:val="20"/>
                <w:szCs w:val="20"/>
                <w:color w:val="auto"/>
              </w:rPr>
            </w:pPr>
            <w:r>
              <w:rPr>
                <w:rFonts w:ascii="Arial" w:cs="Arial" w:eastAsia="Arial" w:hAnsi="Arial"/>
                <w:sz w:val="14"/>
                <w:szCs w:val="14"/>
                <w:b w:val="1"/>
                <w:bCs w:val="1"/>
                <w:color w:val="auto"/>
              </w:rPr>
              <w:t>Aggregate Fair Value</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duration of less than one year</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90,721,081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Loss duration of greater than one year</w:t>
            </w:r>
          </w:p>
        </w:tc>
        <w:tc>
          <w:tcPr>
            <w:tcW w:w="7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90,721,081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358"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95885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8"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As stated in </w:t>
      </w:r>
      <w:hyperlink w:anchor="page9">
        <w:r>
          <w:rPr>
            <w:rFonts w:ascii="Arial" w:cs="Arial" w:eastAsia="Arial" w:hAnsi="Arial"/>
            <w:sz w:val="18"/>
            <w:szCs w:val="18"/>
            <w:u w:val="single" w:color="auto"/>
            <w:color w:val="0000FF"/>
          </w:rPr>
          <w:t>Note 1</w:t>
        </w:r>
      </w:hyperlink>
      <w:r>
        <w:rPr>
          <w:rFonts w:ascii="Arial" w:cs="Arial" w:eastAsia="Arial" w:hAnsi="Arial"/>
          <w:sz w:val="18"/>
          <w:szCs w:val="18"/>
          <w:color w:val="auto"/>
        </w:rPr>
        <w:t xml:space="preserve">, effective January 1, 2020, the Company adopted ASU 2016-13, </w:t>
      </w:r>
      <w:r>
        <w:rPr>
          <w:rFonts w:ascii="Arial" w:cs="Arial" w:eastAsia="Arial" w:hAnsi="Arial"/>
          <w:sz w:val="18"/>
          <w:szCs w:val="18"/>
          <w:i w:val="1"/>
          <w:iCs w:val="1"/>
          <w:color w:val="auto"/>
        </w:rPr>
        <w:t>Financial Instruments - 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 Measurement of Credit Losses on Financial Instrument</w:t>
      </w:r>
      <w:r>
        <w:rPr>
          <w:rFonts w:ascii="Arial" w:cs="Arial" w:eastAsia="Arial" w:hAnsi="Arial"/>
          <w:sz w:val="18"/>
          <w:szCs w:val="18"/>
          <w:color w:val="auto"/>
        </w:rPr>
        <w:t>s. The guidance modifies the impairment model for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and provides a simplified accounting model for purchased financial assets with credit deterioration since their origination. The Company utilized the guidance provided by ASC 326 to determine whether any of the available-for-sale debt securities held by the Company were impaired. No investments were considered to be impaired during the periods presented. The Company has the intention and current ability to hold its debt investments until the amortized cost basis has been recovered.</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September 30, 2020 have contractual maturities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49,192,972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30,466,413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113,325,115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192,984,500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(5)  Inventories</w:t>
            </w: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3"/>
        </w:trPr>
        <w:tc>
          <w:tcPr>
            <w:tcW w:w="6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Inventories consisted of the following at the respective balance sheet dates: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gridSpan w:val="2"/>
            <w:shd w:val="clear" w:color="auto" w:fill="BFE4FF"/>
          </w:tcPr>
          <w:p>
            <w:pPr>
              <w:jc w:val="right"/>
              <w:spacing w:after="0"/>
              <w:rPr>
                <w:sz w:val="20"/>
                <w:szCs w:val="20"/>
                <w:color w:val="auto"/>
              </w:rPr>
            </w:pPr>
            <w:r>
              <w:rPr>
                <w:rFonts w:ascii="Arial" w:cs="Arial" w:eastAsia="Arial" w:hAnsi="Arial"/>
                <w:sz w:val="18"/>
                <w:szCs w:val="18"/>
                <w:color w:val="auto"/>
              </w:rPr>
              <w:t>160,155,658</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164,974,553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30,308,212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33,069,255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42,894,232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50,898,047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233,358,102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248,941,855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Company allocates earnings to participating securities and computes earnings per share using the two-class method. Under the two-class method, net income per share is computed by dividing net income allocated to common shareholders by the weighted average number of common shares outstanding for the period. In applying the two-class method, net income is allocated to both common shares and participating securities based on their respective weighted average shares outstanding for the period. For a period of net loss, net loss is not allocated to participating securities.</w:t>
      </w:r>
    </w:p>
    <w:p>
      <w:pPr>
        <w:spacing w:after="0" w:line="203"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following table sets forth the computation of basic and diluted net income per common share under the two-class method for the three and nine months ended September 30, 2020 and September 30, 2019:</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30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Net (Loss)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117,092,602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111,897,852</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204,224,370</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325,136,888</w:t>
            </w:r>
          </w:p>
        </w:tc>
        <w:tc>
          <w:tcPr>
            <w:tcW w:w="0" w:type="dxa"/>
            <w:vAlign w:val="bottom"/>
          </w:tcPr>
          <w:p>
            <w:pPr>
              <w:spacing w:after="0"/>
              <w:rPr>
                <w:sz w:val="1"/>
                <w:szCs w:val="1"/>
                <w:color w:val="auto"/>
              </w:rPr>
            </w:pPr>
          </w:p>
        </w:tc>
      </w:tr>
      <w:tr>
        <w:trPr>
          <w:trHeight w:val="176"/>
        </w:trPr>
        <w:tc>
          <w:tcPr>
            <w:tcW w:w="468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Less: Dividends and undistributed earnings allocated</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1,697,281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1,389,659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2,906,048</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3,699,548</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 participating securities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Net (Loss) Income available to common shareholders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115,395,321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110,508,193</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201,318,322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321,437,340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241,898,117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251,075,859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243,240,699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252,811,950</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Income per share - 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95"/>
        </w:trPr>
        <w:tc>
          <w:tcPr>
            <w:tcW w:w="4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20"/>
              <w:spacing w:after="0" w:line="176" w:lineRule="exact"/>
              <w:rPr>
                <w:sz w:val="20"/>
                <w:szCs w:val="20"/>
                <w:color w:val="auto"/>
              </w:rPr>
            </w:pPr>
            <w:r>
              <w:rPr>
                <w:rFonts w:ascii="Arial" w:cs="Arial" w:eastAsia="Arial" w:hAnsi="Arial"/>
                <w:sz w:val="18"/>
                <w:szCs w:val="18"/>
                <w:color w:val="auto"/>
              </w:rPr>
              <w:t>Allocation of Net (Loss) Income used in basic</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115,395,321</w:t>
            </w:r>
          </w:p>
        </w:tc>
        <w:tc>
          <w:tcPr>
            <w:tcW w:w="10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110,508,193</w:t>
            </w:r>
          </w:p>
        </w:tc>
        <w:tc>
          <w:tcPr>
            <w:tcW w:w="1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201,318,322</w:t>
            </w:r>
          </w:p>
        </w:tc>
        <w:tc>
          <w:tcPr>
            <w:tcW w:w="26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321,437,340</w:t>
            </w: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computation</w:t>
            </w:r>
          </w:p>
        </w:tc>
        <w:tc>
          <w:tcPr>
            <w:tcW w:w="2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Reallocation of undistributed earnings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15,389</w:t>
            </w:r>
          </w:p>
        </w:tc>
        <w:tc>
          <w:tcPr>
            <w:tcW w:w="0" w:type="dxa"/>
            <w:vAlign w:val="bottom"/>
          </w:tcPr>
          <w:p>
            <w:pPr>
              <w:spacing w:after="0"/>
              <w:rPr>
                <w:sz w:val="1"/>
                <w:szCs w:val="1"/>
                <w:color w:val="auto"/>
              </w:rPr>
            </w:pPr>
          </w:p>
        </w:tc>
      </w:tr>
      <w:tr>
        <w:trPr>
          <w:trHeight w:val="156"/>
        </w:trPr>
        <w:tc>
          <w:tcPr>
            <w:tcW w:w="4680" w:type="dxa"/>
            <w:vAlign w:val="bottom"/>
          </w:tcPr>
          <w:p>
            <w:pPr>
              <w:ind w:left="220"/>
              <w:spacing w:after="0" w:line="156" w:lineRule="exact"/>
              <w:rPr>
                <w:sz w:val="20"/>
                <w:szCs w:val="20"/>
                <w:color w:val="auto"/>
              </w:rPr>
            </w:pPr>
            <w:r>
              <w:rPr>
                <w:rFonts w:ascii="Arial" w:cs="Arial" w:eastAsia="Arial" w:hAnsi="Arial"/>
                <w:sz w:val="18"/>
                <w:szCs w:val="18"/>
                <w:color w:val="auto"/>
              </w:rPr>
              <w:t>Net (Loss) Income available to common shareholders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115,400,063</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110,514,244</w:t>
            </w:r>
          </w:p>
        </w:tc>
        <w:tc>
          <w:tcPr>
            <w:tcW w:w="1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201,325,053</w:t>
            </w:r>
          </w:p>
        </w:tc>
        <w:tc>
          <w:tcPr>
            <w:tcW w:w="26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321,452,729</w:t>
            </w:r>
          </w:p>
        </w:tc>
        <w:tc>
          <w:tcPr>
            <w:tcW w:w="0" w:type="dxa"/>
            <w:vAlign w:val="bottom"/>
          </w:tcPr>
          <w:p>
            <w:pPr>
              <w:spacing w:after="0"/>
              <w:rPr>
                <w:sz w:val="1"/>
                <w:szCs w:val="1"/>
                <w:color w:val="auto"/>
              </w:rPr>
            </w:pPr>
          </w:p>
        </w:tc>
      </w:tr>
      <w:tr>
        <w:trPr>
          <w:trHeight w:val="229"/>
        </w:trPr>
        <w:tc>
          <w:tcPr>
            <w:tcW w:w="4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46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Number of shares used in basic computation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241,898,117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251,075,859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243,240,699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252,811,950</w:t>
            </w:r>
          </w:p>
        </w:tc>
        <w:tc>
          <w:tcPr>
            <w:tcW w:w="0" w:type="dxa"/>
            <w:vAlign w:val="bottom"/>
          </w:tcPr>
          <w:p>
            <w:pPr>
              <w:spacing w:after="0"/>
              <w:rPr>
                <w:sz w:val="1"/>
                <w:szCs w:val="1"/>
                <w:color w:val="auto"/>
              </w:rPr>
            </w:pPr>
          </w:p>
        </w:tc>
      </w:tr>
      <w:tr>
        <w:trPr>
          <w:trHeight w:val="175"/>
        </w:trPr>
        <w:tc>
          <w:tcPr>
            <w:tcW w:w="46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Additional weighted average dilutive common stock</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918,950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1,503,123</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1,026,916</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1,455,901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equivalents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242,817,067</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252,578,982</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244,267,615</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254,267,851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Net (Loss)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0.44</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0.82</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Shares related to stock plans not included in diluted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80" w:type="dxa"/>
            <w:vAlign w:val="bottom"/>
          </w:tcPr>
          <w:p>
            <w:pPr>
              <w:ind w:left="20"/>
              <w:spacing w:after="0" w:line="176" w:lineRule="exact"/>
              <w:rPr>
                <w:sz w:val="20"/>
                <w:szCs w:val="20"/>
                <w:color w:val="auto"/>
              </w:rPr>
            </w:pPr>
            <w:r>
              <w:rPr>
                <w:rFonts w:ascii="Arial" w:cs="Arial" w:eastAsia="Arial" w:hAnsi="Arial"/>
                <w:sz w:val="18"/>
                <w:szCs w:val="18"/>
                <w:color w:val="auto"/>
              </w:rPr>
              <w:t>average common shares outstanding because their effect</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412,775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412,775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170,386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would be anti-dilutive</w:t>
            </w:r>
          </w:p>
        </w:tc>
        <w:tc>
          <w:tcPr>
            <w:tcW w:w="22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Stock-Based Compensation Plans</w:t>
      </w:r>
    </w:p>
    <w:p>
      <w:pPr>
        <w:spacing w:after="0" w:line="158"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As of September 30, 2020, the Company had two equity incentive plans, which include the Gentex Corporation 2019 Omnibus Incentive Plan ("2019 Omnibus Plan"), and an employee stock purchase plan. Those plans and any prior material amendments thereto have previously been approved by shareholders.</w:t>
      </w:r>
    </w:p>
    <w:p>
      <w:pPr>
        <w:spacing w:after="0" w:line="8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2019 Omnibus Plan provides for the potential awards to: i) employees; and ii) non-employee directors of the Company or its subsidiaries, which potential awards may be stock options (both incentive stock options and non-qualified stock options), appreciation rights, restricted stock, restricted stock units, 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109" w:lineRule="exact"/>
        <w:rPr>
          <w:sz w:val="20"/>
          <w:szCs w:val="20"/>
          <w:color w:val="auto"/>
        </w:rPr>
      </w:pPr>
    </w:p>
    <w:p>
      <w:pPr>
        <w:jc w:val="both"/>
        <w:ind w:left="660" w:right="20"/>
        <w:spacing w:after="0" w:line="292" w:lineRule="auto"/>
        <w:rPr>
          <w:sz w:val="20"/>
          <w:szCs w:val="20"/>
          <w:color w:val="auto"/>
        </w:rPr>
      </w:pPr>
      <w:r>
        <w:rPr>
          <w:rFonts w:ascii="Arial" w:cs="Arial" w:eastAsia="Arial" w:hAnsi="Arial"/>
          <w:sz w:val="18"/>
          <w:szCs w:val="18"/>
          <w:color w:val="auto"/>
        </w:rPr>
        <w:t xml:space="preserve">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the consolidated financial statements in the Company's Annual Report on Form 10-K for the calendar year ended December 31, 2019, for additional information related to the Prior Plans.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 w:name="page16"/>
    <w:bookmarkEnd w:id="15"/>
    <w:p>
      <w:pPr>
        <w:jc w:val="center"/>
        <w:ind w:right="636"/>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36"/>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The Company recognized total compensation expense for share-based payments of $6,904,725 for the three months ended September 30, 2020, and total compensation expense for share-based payments of $22,865,087 for nine months ended September 30, 2020, which included approximately $4,173,710 in severance expense that was recognized during the second quarter 2020. The Company recognized compensation expense for share-based payments of $5,712,132 and $15,927,434 for the three and nine months ended September 30, 2019, respectively. A portion of the compensation cost for share based payment awards is capitalized as part of inventory.</w:t>
      </w:r>
    </w:p>
    <w:p>
      <w:pPr>
        <w:spacing w:after="0" w:line="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Omnibus Incentive Plan</w:t>
      </w:r>
    </w:p>
    <w:p>
      <w:pPr>
        <w:spacing w:after="0" w:line="254" w:lineRule="exact"/>
        <w:rPr>
          <w:sz w:val="20"/>
          <w:szCs w:val="20"/>
          <w:color w:val="auto"/>
        </w:rPr>
      </w:pPr>
    </w:p>
    <w:p>
      <w:pPr>
        <w:jc w:val="both"/>
        <w:ind w:left="4"/>
        <w:spacing w:after="0" w:line="260" w:lineRule="auto"/>
        <w:rPr>
          <w:sz w:val="20"/>
          <w:szCs w:val="20"/>
          <w:color w:val="auto"/>
        </w:rPr>
      </w:pPr>
      <w:r>
        <w:rPr>
          <w:rFonts w:ascii="Arial" w:cs="Arial" w:eastAsia="Arial" w:hAnsi="Arial"/>
          <w:sz w:val="18"/>
          <w:szCs w:val="18"/>
          <w:color w:val="auto"/>
        </w:rPr>
        <w:t>The 2019 Omnibus Incentive Plan covers 45,000,000 shares of common stock. The purpose of the 2019 Omnibus Incentive Plan is to attract and retain employees, officers, and directors of the Company and its subsidiaries and to motivate and provide such persons incentives and rewards for performance. As of September 30, 2020, 9,191,249 shares (net of shares from canceled/expired options) have been issued under the 2019 Omnibus Plan, which includes stock options (at a set conversion rate), restricted shares, and performance share awards.</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Employee Stock Options</w:t>
      </w:r>
    </w:p>
    <w:p>
      <w:pPr>
        <w:spacing w:after="0" w:line="15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Under the 2019 Omnibus Plan and the Employee Stock Option Plan, the option exercise price equals the stock’s market price on the date of grant. The options vest after one to five years, and expire after five to ten years. As of September 30, 2020, there was $7,153,596 of unearned compensation cost associated with stock options granted under the 2019 Omnibus Incentive Plan and the Employee Stock Option Plan, which is expected to be recognized over the remaining vesting periods.</w:t>
      </w:r>
    </w:p>
    <w:p>
      <w:pPr>
        <w:spacing w:after="0" w:line="88" w:lineRule="exact"/>
        <w:rPr>
          <w:sz w:val="20"/>
          <w:szCs w:val="20"/>
          <w:color w:val="auto"/>
        </w:rPr>
      </w:pPr>
    </w:p>
    <w:p>
      <w:pPr>
        <w:ind w:left="4" w:right="740"/>
        <w:spacing w:after="0" w:line="292"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with the following weighted-average assumptions for the indicated periods:</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332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22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48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3"/>
        </w:trPr>
        <w:tc>
          <w:tcPr>
            <w:tcW w:w="34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Dividend Yield </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r>
      <w:tr>
        <w:trPr>
          <w:trHeight w:val="230"/>
        </w:trPr>
        <w:tc>
          <w:tcPr>
            <w:tcW w:w="3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27.72 %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24.25 %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27.38 %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23.84 %</w:t>
            </w:r>
          </w:p>
        </w:tc>
      </w:tr>
      <w:tr>
        <w:trPr>
          <w:trHeight w:val="230"/>
        </w:trPr>
        <w:tc>
          <w:tcPr>
            <w:tcW w:w="3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30"/>
        </w:trPr>
        <w:tc>
          <w:tcPr>
            <w:tcW w:w="34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term of options (years) </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Weighted-avg. grant date fair value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bl>
    <w:p>
      <w:pPr>
        <w:spacing w:after="0" w:line="56" w:lineRule="exact"/>
        <w:rPr>
          <w:sz w:val="20"/>
          <w:szCs w:val="20"/>
          <w:color w:val="auto"/>
        </w:rPr>
      </w:pPr>
    </w:p>
    <w:p>
      <w:pPr>
        <w:ind w:left="324" w:hanging="324"/>
        <w:spacing w:after="0"/>
        <w:tabs>
          <w:tab w:leader="none" w:pos="324"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estimated cash dividend yield over the expected term of option grant.</w:t>
      </w:r>
    </w:p>
    <w:p>
      <w:pPr>
        <w:ind w:left="324" w:right="260" w:hanging="324"/>
        <w:spacing w:after="0" w:line="204" w:lineRule="auto"/>
        <w:tabs>
          <w:tab w:leader="none" w:pos="32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1" w:lineRule="exact"/>
        <w:rPr>
          <w:rFonts w:ascii="Arial" w:cs="Arial" w:eastAsia="Arial" w:hAnsi="Arial"/>
          <w:sz w:val="19"/>
          <w:szCs w:val="19"/>
          <w:color w:val="auto"/>
          <w:vertAlign w:val="superscript"/>
        </w:rPr>
      </w:pPr>
    </w:p>
    <w:p>
      <w:pPr>
        <w:ind w:left="324" w:hanging="324"/>
        <w:spacing w:after="0" w:line="187" w:lineRule="auto"/>
        <w:tabs>
          <w:tab w:leader="none" w:pos="324"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the U.S. Treasury yield over the expected term of the option grant.</w:t>
      </w:r>
    </w:p>
    <w:p>
      <w:pPr>
        <w:ind w:left="324" w:right="20" w:hanging="324"/>
        <w:spacing w:after="0" w:line="213" w:lineRule="auto"/>
        <w:tabs>
          <w:tab w:leader="none" w:pos="321"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Restricted Shares</w:t>
      </w:r>
    </w:p>
    <w:p>
      <w:pPr>
        <w:spacing w:after="0" w:line="158"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Restricted shares awarded under the 2019 Omnibus Plan and the Second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such plans. As of September 30, 2020, the Company had unearned stock-based compensation of $40,755,008 associated with the restricted stock grants issued under the 2019 Omnibus Plan and the prior plan. The unearned stock-based compensation related to these grants is being amortized to compensation expense over the applicable restriction periods. Amortization expense from restricted stock grants in the three months ended September 30, 2020 was $4,366,025 and amortization expense from restricted stock grants in the nine months ended September 30, 2020 was $16,271,774, which included $4,148,477 of severance related expense that occurred in the second quarter of 2020. Amortization expense from restricted stock grants for the three and nine months ended September 30, 2019 was $3,843,962 and $9,890,137, respectively.</w:t>
      </w: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5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 Shares</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w:t>
      </w:r>
    </w:p>
    <w:p>
      <w:pPr>
        <w:spacing w:after="0" w:line="204"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As of September 30, 2020, the Company had unearned stock-based compensation of $ 5,133,550 associated with these performance share grants. The unearned stock-based compensation related to these grants is being amortized to compensation expense over the applicable performance periods. Amortization expense from performance share grants in the three and nine months ended September 30, 2020 was $1,403,799 and $2,361,359, respectively. Amortization expense from performance share grants in the three and nine months ended September 30, 2019 was $263,392 and $633,576,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5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Company has an employee stock purchase plan covering 2,000,000 shares of common stock. Under the plan, the Company sells shares at 85% of the stock’s market price at date of purchase. Under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15% discounted value is recognized as compensation expense. As of September 30, 2020, the Company has issued 1,321,981 shares under this plan.</w:t>
      </w:r>
    </w:p>
    <w:p>
      <w:pPr>
        <w:spacing w:after="0" w:line="196"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debt investments, foreign currency translation adjustments, and derivatives.</w:t>
      </w:r>
    </w:p>
    <w:p>
      <w:pPr>
        <w:spacing w:after="0" w:line="190"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by component (all amounts shown are net of tax):</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86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(2,940,052)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(1,851,574)</w:t>
            </w:r>
          </w:p>
        </w:tc>
        <w:tc>
          <w:tcPr>
            <w:tcW w:w="2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(2,384,589)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(1,674,887)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1,823,667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(1,623,102)</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1,268,204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(1,799,789)</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1,823,667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(1,623,102)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1,268,204</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(1,799,789)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(1,116,385)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(3,474,676)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(1,116,385)</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(3,474,676)</w:t>
            </w: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available-for-sale debt securities: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5,679,296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2,350,795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left="12"/>
              <w:spacing w:after="0"/>
              <w:rPr>
                <w:sz w:val="20"/>
                <w:szCs w:val="20"/>
                <w:color w:val="auto"/>
              </w:rPr>
            </w:pPr>
            <w:r>
              <w:rPr>
                <w:rFonts w:ascii="Arial" w:cs="Arial" w:eastAsia="Arial" w:hAnsi="Arial"/>
                <w:sz w:val="18"/>
                <w:szCs w:val="18"/>
                <w:color w:val="auto"/>
                <w:w w:val="99"/>
              </w:rPr>
              <w:t>1,095,486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74,549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657,128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5,543,455</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3,106,369</w:t>
            </w:r>
          </w:p>
        </w:tc>
        <w:tc>
          <w:tcPr>
            <w:tcW w:w="0" w:type="dxa"/>
            <w:vAlign w:val="bottom"/>
          </w:tcPr>
          <w:p>
            <w:pPr>
              <w:spacing w:after="0"/>
              <w:rPr>
                <w:sz w:val="1"/>
                <w:szCs w:val="1"/>
                <w:color w:val="auto"/>
              </w:rPr>
            </w:pPr>
          </w:p>
        </w:tc>
      </w:tr>
      <w:tr>
        <w:trPr>
          <w:trHeight w:val="176"/>
        </w:trPr>
        <w:tc>
          <w:tcPr>
            <w:tcW w:w="5160" w:type="dxa"/>
            <w:vAlign w:val="bottom"/>
          </w:tcPr>
          <w:p>
            <w:pPr>
              <w:ind w:left="240"/>
              <w:spacing w:after="0" w:line="176" w:lineRule="exact"/>
              <w:rPr>
                <w:sz w:val="20"/>
                <w:szCs w:val="20"/>
                <w:color w:val="auto"/>
              </w:rPr>
            </w:pPr>
            <w:r>
              <w:rPr>
                <w:rFonts w:ascii="Arial" w:cs="Arial" w:eastAsia="Arial" w:hAnsi="Arial"/>
                <w:sz w:val="18"/>
                <w:szCs w:val="18"/>
                <w:color w:val="auto"/>
              </w:rPr>
              <w:t>Amounts reclassified from accumulated other comprehensive</w:t>
            </w: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(324,354)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(295,752)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(1,075,496)</w:t>
            </w: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(468,747)</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current-period change</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4,467,959</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2,637,622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Balance at end of period</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5,563,445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2,712,171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5,563,445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2,712,171</w:t>
            </w:r>
          </w:p>
        </w:tc>
        <w:tc>
          <w:tcPr>
            <w:tcW w:w="0" w:type="dxa"/>
            <w:vAlign w:val="bottom"/>
          </w:tcPr>
          <w:p>
            <w:pPr>
              <w:spacing w:after="0"/>
              <w:rPr>
                <w:sz w:val="1"/>
                <w:szCs w:val="1"/>
                <w:color w:val="auto"/>
              </w:rPr>
            </w:pPr>
          </w:p>
        </w:tc>
      </w:tr>
      <w:tr>
        <w:trPr>
          <w:trHeight w:val="88"/>
        </w:trPr>
        <w:tc>
          <w:tcPr>
            <w:tcW w:w="51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 end of period</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4,447,060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(762,505)</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4,447,060</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(762,505)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560"/>
        <w:spacing w:after="0" w:line="292"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and nine months ended September 30, 2020 and 2019.</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640" w:type="dxa"/>
            <w:vAlign w:val="bottom"/>
            <w:gridSpan w:val="2"/>
            <w:vMerge w:val="restart"/>
          </w:tcPr>
          <w:p>
            <w:pPr>
              <w:ind w:left="480"/>
              <w:spacing w:after="0"/>
              <w:rPr>
                <w:sz w:val="20"/>
                <w:szCs w:val="20"/>
                <w:color w:val="auto"/>
              </w:rPr>
            </w:pPr>
            <w:r>
              <w:rPr>
                <w:rFonts w:ascii="Arial" w:cs="Arial" w:eastAsia="Arial" w:hAnsi="Arial"/>
                <w:sz w:val="16"/>
                <w:szCs w:val="16"/>
                <w:b w:val="1"/>
                <w:bCs w:val="1"/>
                <w:color w:val="auto"/>
              </w:rPr>
              <w:t>Details about Accumulated Other</w:t>
            </w:r>
          </w:p>
        </w:tc>
        <w:tc>
          <w:tcPr>
            <w:tcW w:w="180" w:type="dxa"/>
            <w:vAlign w:val="bottom"/>
          </w:tcPr>
          <w:p>
            <w:pPr>
              <w:spacing w:after="0"/>
              <w:rPr>
                <w:sz w:val="16"/>
                <w:szCs w:val="16"/>
                <w:color w:val="auto"/>
              </w:rPr>
            </w:pPr>
          </w:p>
        </w:tc>
        <w:tc>
          <w:tcPr>
            <w:tcW w:w="4120" w:type="dxa"/>
            <w:vAlign w:val="bottom"/>
            <w:gridSpan w:val="10"/>
            <w:vMerge w:val="restart"/>
          </w:tcPr>
          <w:p>
            <w:pPr>
              <w:jc w:val="center"/>
              <w:ind w:right="81"/>
              <w:spacing w:after="0"/>
              <w:rPr>
                <w:sz w:val="20"/>
                <w:szCs w:val="20"/>
                <w:color w:val="auto"/>
              </w:rPr>
            </w:pPr>
            <w:r>
              <w:rPr>
                <w:rFonts w:ascii="Arial" w:cs="Arial" w:eastAsia="Arial" w:hAnsi="Arial"/>
                <w:sz w:val="16"/>
                <w:szCs w:val="16"/>
                <w:b w:val="1"/>
                <w:bCs w:val="1"/>
                <w:color w:val="auto"/>
              </w:rPr>
              <w:t>Amounts Reclassified from Other Comprehensive</w:t>
            </w:r>
          </w:p>
        </w:tc>
        <w:tc>
          <w:tcPr>
            <w:tcW w:w="120" w:type="dxa"/>
            <w:vAlign w:val="bottom"/>
          </w:tcPr>
          <w:p>
            <w:pPr>
              <w:spacing w:after="0"/>
              <w:rPr>
                <w:sz w:val="16"/>
                <w:szCs w:val="16"/>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162"/>
        </w:trPr>
        <w:tc>
          <w:tcPr>
            <w:tcW w:w="3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120" w:type="dxa"/>
            <w:vAlign w:val="bottom"/>
            <w:gridSpan w:val="10"/>
            <w:vMerge w:val="continue"/>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Statement of Consolidated</w:t>
            </w:r>
          </w:p>
        </w:tc>
        <w:tc>
          <w:tcPr>
            <w:tcW w:w="0" w:type="dxa"/>
            <w:vAlign w:val="bottom"/>
          </w:tcPr>
          <w:p>
            <w:pPr>
              <w:spacing w:after="0"/>
              <w:rPr>
                <w:sz w:val="1"/>
                <w:szCs w:val="1"/>
                <w:color w:val="auto"/>
              </w:rPr>
            </w:pP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6"/>
                <w:szCs w:val="16"/>
                <w:b w:val="1"/>
                <w:bCs w:val="1"/>
                <w:color w:val="auto"/>
              </w:rPr>
              <w:t>Comprehensive Income Components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9"/>
              </w:rPr>
              <w:t>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6"/>
                <w:szCs w:val="16"/>
                <w:b w:val="1"/>
                <w:bCs w:val="1"/>
                <w:color w:val="auto"/>
                <w:w w:val="99"/>
              </w:rPr>
              <w:t>Income</w:t>
            </w:r>
          </w:p>
        </w:tc>
        <w:tc>
          <w:tcPr>
            <w:tcW w:w="0" w:type="dxa"/>
            <w:vAlign w:val="bottom"/>
          </w:tcPr>
          <w:p>
            <w:pPr>
              <w:spacing w:after="0"/>
              <w:rPr>
                <w:sz w:val="1"/>
                <w:szCs w:val="1"/>
                <w:color w:val="auto"/>
              </w:rPr>
            </w:pPr>
          </w:p>
        </w:tc>
      </w:tr>
      <w:tr>
        <w:trPr>
          <w:trHeight w:val="142"/>
        </w:trPr>
        <w:tc>
          <w:tcPr>
            <w:tcW w:w="3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center"/>
              <w:ind w:right="101"/>
              <w:spacing w:after="0" w:line="142"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960" w:type="dxa"/>
            <w:vAlign w:val="bottom"/>
            <w:gridSpan w:val="4"/>
          </w:tcPr>
          <w:p>
            <w:pPr>
              <w:jc w:val="center"/>
              <w:ind w:right="10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6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Unrealized gains on available-for-sale debt</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Realized gain on sale</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vMerge w:val="restart"/>
          </w:tcPr>
          <w:p>
            <w:pPr>
              <w:ind w:left="20"/>
              <w:spacing w:after="0"/>
              <w:rPr>
                <w:sz w:val="20"/>
                <w:szCs w:val="20"/>
                <w:color w:val="auto"/>
              </w:rPr>
            </w:pPr>
            <w:r>
              <w:rPr>
                <w:rFonts w:ascii="Arial" w:cs="Arial" w:eastAsia="Arial" w:hAnsi="Arial"/>
                <w:sz w:val="18"/>
                <w:szCs w:val="18"/>
                <w:color w:val="auto"/>
              </w:rPr>
              <w:t>Investment income</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of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140"/>
              <w:spacing w:after="0"/>
              <w:rPr>
                <w:sz w:val="20"/>
                <w:szCs w:val="20"/>
                <w:color w:val="auto"/>
              </w:rPr>
            </w:pPr>
            <w:r>
              <w:rPr>
                <w:rFonts w:ascii="Arial" w:cs="Arial" w:eastAsia="Arial" w:hAnsi="Arial"/>
                <w:sz w:val="16"/>
                <w:szCs w:val="16"/>
                <w:color w:val="auto"/>
              </w:rPr>
              <w:t>410,575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374,370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1,361,387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160"/>
              <w:spacing w:after="0"/>
              <w:rPr>
                <w:sz w:val="20"/>
                <w:szCs w:val="20"/>
                <w:color w:val="auto"/>
              </w:rPr>
            </w:pPr>
            <w:r>
              <w:rPr>
                <w:rFonts w:ascii="Arial" w:cs="Arial" w:eastAsia="Arial" w:hAnsi="Arial"/>
                <w:sz w:val="16"/>
                <w:szCs w:val="16"/>
                <w:color w:val="auto"/>
              </w:rPr>
              <w:t>593,351</w:t>
            </w:r>
          </w:p>
        </w:tc>
        <w:tc>
          <w:tcPr>
            <w:tcW w:w="12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(285,891)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(124,604)</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324,354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ind w:left="100"/>
              <w:spacing w:after="0"/>
              <w:rPr>
                <w:sz w:val="20"/>
                <w:szCs w:val="20"/>
                <w:color w:val="auto"/>
              </w:rPr>
            </w:pPr>
            <w:r>
              <w:rPr>
                <w:rFonts w:ascii="Arial" w:cs="Arial" w:eastAsia="Arial" w:hAnsi="Arial"/>
                <w:sz w:val="16"/>
                <w:szCs w:val="16"/>
                <w:color w:val="auto"/>
              </w:rPr>
              <w:t>295,752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1,075,496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468,747</w:t>
            </w:r>
          </w:p>
        </w:tc>
        <w:tc>
          <w:tcPr>
            <w:tcW w:w="120" w:type="dxa"/>
            <w:vAlign w:val="bottom"/>
          </w:tcPr>
          <w:p>
            <w:pPr>
              <w:spacing w:after="0"/>
              <w:rPr>
                <w:sz w:val="18"/>
                <w:szCs w:val="18"/>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and Financing Arrangements</w:t>
      </w:r>
    </w:p>
    <w:p>
      <w:pPr>
        <w:spacing w:after="0" w:line="252"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On October 15, 2018, the Company entered into a Credit Agreement (“Credit Agreement”) with PNC as the administrative agent and sole lender.</w:t>
      </w:r>
    </w:p>
    <w:p>
      <w:pPr>
        <w:spacing w:after="0" w:line="1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Pursuant to this Credit Agreement, the Company has access to a $150 million senior revolving credit facility (“Revolver”). Under the terms of the Credit Agreement, the Company is entitled to further request an additional aggregate principal amount of up to $100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During the three months ended September 30, 2020, the Company made principal repayments of $50 million, plus accrued interest, on the Revolver. The Company used cash and cash equivalents to fund the payments. As of September 30, 2020, there was an outstanding balance of $25 million on the Revolver. The Company has the ability and intent to repay the full outstanding balance using cash, and anticipates paying the remaining balance during the fourth quarter of 2020; therefore, this balance has been classified as a current liability. The Revolver expires on October 15, 2023.</w:t>
      </w:r>
    </w:p>
    <w:p>
      <w:pPr>
        <w:spacing w:after="0" w:line="202" w:lineRule="exact"/>
        <w:rPr>
          <w:sz w:val="20"/>
          <w:szCs w:val="20"/>
          <w:color w:val="auto"/>
        </w:rPr>
      </w:pPr>
    </w:p>
    <w:p>
      <w:pPr>
        <w:jc w:val="both"/>
        <w:ind w:left="660"/>
        <w:spacing w:after="0" w:line="243" w:lineRule="auto"/>
        <w:rPr>
          <w:rFonts w:ascii="Arial" w:cs="Arial" w:eastAsia="Arial" w:hAnsi="Arial"/>
          <w:sz w:val="18"/>
          <w:szCs w:val="18"/>
          <w:color w:val="auto"/>
        </w:rPr>
      </w:pPr>
      <w:r>
        <w:rPr>
          <w:rFonts w:ascii="Arial" w:cs="Arial" w:eastAsia="Arial" w:hAnsi="Arial"/>
          <w:sz w:val="18"/>
          <w:szCs w:val="18"/>
          <w:color w:val="auto"/>
        </w:rPr>
        <w:t xml:space="preserve">As of September 30, 2020, the borrowing rate on its Revolver is derived from the one month LIBOR, and based on the Company's leverage ratio as of September 30, 2020, the interest rate on its borrowings is equal to 1.03%. During the three and nine months ended September 30, 2020, interest expense was $0.2 million and $0.6 million, respectively, which was recorded with the "Other income (loss), net" section of the </w:t>
      </w:r>
      <w:hyperlink w:anchor="page3">
        <w:r>
          <w:rPr>
            <w:rFonts w:ascii="Arial" w:cs="Arial" w:eastAsia="Arial" w:hAnsi="Arial"/>
            <w:sz w:val="18"/>
            <w:szCs w:val="18"/>
            <w:u w:val="single" w:color="auto"/>
            <w:color w:val="auto"/>
          </w:rPr>
          <w:t>Unaudited Consolidated Statements of Income</w:t>
        </w:r>
      </w:hyperlink>
      <w:r>
        <w:rPr>
          <w:rFonts w:ascii="Arial" w:cs="Arial" w:eastAsia="Arial" w:hAnsi="Arial"/>
          <w:sz w:val="18"/>
          <w:szCs w:val="18"/>
          <w:color w:val="auto"/>
        </w:rPr>
        <w:t>. Based on the loan balance as of September 30, 2020, a one percent increase in the Company's borrowing rate would increase net interest expense paid by the Company on its borrowings by approximately $0.1 million on an annual basis.</w:t>
      </w:r>
    </w:p>
    <w:p>
      <w:pPr>
        <w:spacing w:after="0" w:line="201"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the Company is in compliance with its covenants under the Credit Agreement.</w:t>
      </w:r>
    </w:p>
    <w:p>
      <w:pPr>
        <w:spacing w:after="0" w:line="25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Equity</w:t>
      </w:r>
    </w:p>
    <w:p>
      <w:pPr>
        <w:spacing w:after="0" w:line="252"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decrease in common stock during the nine months ended September 30, 2020, was primarily due to the repurchases of 8.2 million shares, partially offset by the issuance of 1.9 million shares of the Company’s common stock under the Company’s stock-based compensation plans and the issuance of 0.1 million shares of the Company's common stock as part of the acquisition of Vaporsens (see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The total net decrease was 6.2 million shares.</w:t>
      </w:r>
    </w:p>
    <w:p>
      <w:pPr>
        <w:spacing w:after="0" w:line="19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announced a $0.005 (1/2 cent) per share increase in its quarterly cash dividend rate during the first quarter of 2020. As such, the Company recorded a cash dividend of $0.120 per share during the third quarter of 2020 as compared to a cash dividend of $0.115 per share during the third quarter of 2019. The third quarter 2020 dividend of $29.4 million was declared on August 31, 2020, and was paid on October 21, 2020.</w:t>
      </w:r>
    </w:p>
    <w:p>
      <w:pPr>
        <w:spacing w:after="0" w:line="200" w:lineRule="exact"/>
        <w:rPr>
          <w:sz w:val="20"/>
          <w:szCs w:val="20"/>
          <w:color w:val="auto"/>
        </w:rPr>
      </w:pPr>
    </w:p>
    <w:p>
      <w:pPr>
        <w:spacing w:after="0" w:line="23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Contingencies</w:t>
      </w:r>
    </w:p>
    <w:p>
      <w:pPr>
        <w:spacing w:after="0" w:line="158"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regulatory,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2" w:lineRule="exact"/>
        <w:rPr>
          <w:sz w:val="20"/>
          <w:szCs w:val="20"/>
          <w:color w:val="auto"/>
        </w:rPr>
      </w:pPr>
    </w:p>
    <w:p>
      <w:pPr>
        <w:ind w:left="860" w:hanging="528"/>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Reporting</w:t>
      </w:r>
    </w:p>
    <w:p>
      <w:pPr>
        <w:spacing w:after="0" w:line="252" w:lineRule="exact"/>
        <w:rPr>
          <w:sz w:val="20"/>
          <w:szCs w:val="20"/>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Company's automotive segment develops and manufactures digital vision and connected car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During the second quarter of 2020, the Company also acquired Vaporsens, which specializes in nanofiber chemical sensing research and development, which was also combined in the "Other" segment, as shown below. Further information in regards to the Vaporsens transaction is included in </w:t>
      </w:r>
      <w:hyperlink w:anchor="page21">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316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2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54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464,673,587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464,280,707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1,126,597,020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1,376,704,413</w:t>
            </w:r>
          </w:p>
        </w:tc>
      </w:tr>
      <w:tr>
        <w:trPr>
          <w:trHeight w:val="229"/>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9,964,997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13,480,710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31,728,846</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38,357,355</w:t>
            </w:r>
          </w:p>
        </w:tc>
      </w:tr>
      <w:tr>
        <w:trPr>
          <w:trHeight w:val="223"/>
        </w:trPr>
        <w:tc>
          <w:tcPr>
            <w:tcW w:w="25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474,638,584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477,761,417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1,158,325,866</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1,415,061,768</w:t>
            </w: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2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254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138,428,628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123,342,538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233,149,936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364,590,462</w:t>
            </w:r>
          </w:p>
        </w:tc>
      </w:tr>
      <w:tr>
        <w:trPr>
          <w:trHeight w:val="229"/>
        </w:trPr>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4,793,142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3,991,864</w:t>
            </w: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13,046,517</w:t>
            </w:r>
          </w:p>
        </w:tc>
      </w:tr>
      <w:tr>
        <w:trPr>
          <w:trHeight w:val="223"/>
        </w:trPr>
        <w:tc>
          <w:tcPr>
            <w:tcW w:w="25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138,852,889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128,135,680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237,141,800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377,636,979</w:t>
            </w:r>
          </w:p>
        </w:tc>
      </w:tr>
      <w:tr>
        <w:trPr>
          <w:trHeight w:val="20"/>
        </w:trPr>
        <w:tc>
          <w:tcPr>
            <w:tcW w:w="2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effective tax rate was 17.1% in the nine months ended September 30, 2020 compared to 15.9% for the same period in 2019. Generally, effective tax rates for these periods differ from statutory federal income tax rates, due to provisions for state and local income taxes, permanent tax differences, and the foreign-derived intangible income tax deduction and research and development tax credits.</w:t>
      </w:r>
    </w:p>
    <w:p>
      <w:pPr>
        <w:spacing w:after="0" w:line="196"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following table shows the Company’s Automotive revenue and Other Products revenue disaggregated by geographical location for Automotive Products for the three and nine month periods ended September 30, 2020 and September 30, 2019:</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324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r>
      <w:tr>
        <w:trPr>
          <w:trHeight w:val="191"/>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U.S.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156,521,110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145,798,028</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347,952,489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431,729,037</w:t>
            </w:r>
          </w:p>
        </w:tc>
      </w:tr>
      <w:tr>
        <w:trPr>
          <w:trHeight w:val="230"/>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56,514,969</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74,047,596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153,166,702</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225,649,215</w:t>
            </w: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Japan</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64,353,263</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60,641,977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152,824,143</w:t>
            </w: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172,697,963</w:t>
            </w:r>
          </w:p>
        </w:tc>
      </w:tr>
      <w:tr>
        <w:trPr>
          <w:trHeight w:val="229"/>
        </w:trPr>
        <w:tc>
          <w:tcPr>
            <w:tcW w:w="2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Mexico</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33,342,171</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43,884,609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92,882,253</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130,473,702</w:t>
            </w:r>
          </w:p>
        </w:tc>
      </w:tr>
      <w:tr>
        <w:trPr>
          <w:trHeight w:val="230"/>
        </w:trPr>
        <w:tc>
          <w:tcPr>
            <w:tcW w:w="2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153,942,074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139,908,497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379,771,433</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416,154,496</w:t>
            </w:r>
          </w:p>
        </w:tc>
      </w:tr>
      <w:tr>
        <w:trPr>
          <w:trHeight w:val="223"/>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464,673,587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464,280,707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1,126,597,020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1,376,704,413</w:t>
            </w:r>
          </w:p>
        </w:tc>
      </w:tr>
      <w:tr>
        <w:trPr>
          <w:trHeight w:val="23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 (U.S.)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9,964,997</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13,480,710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31,728,846</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38,357,355</w:t>
            </w:r>
          </w:p>
        </w:tc>
      </w:tr>
      <w:tr>
        <w:trPr>
          <w:trHeight w:val="248"/>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474,638,584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477,761,417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1,158,325,866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1,415,061,768</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a pandemic;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6"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color w:val="auto"/>
        </w:rPr>
        <w:t>The following table disaggregates the Company’s Automotive revenue and Other revenue by major source for the three and nine month periods ended September 30, 2020 and September 30, 2019:</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350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17"/>
                <w:szCs w:val="17"/>
                <w:color w:val="auto"/>
              </w:rPr>
            </w:pPr>
          </w:p>
        </w:tc>
        <w:tc>
          <w:tcPr>
            <w:tcW w:w="29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2900" w:type="dxa"/>
            <w:vAlign w:val="bottom"/>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8"/>
        </w:trPr>
        <w:tc>
          <w:tcPr>
            <w:tcW w:w="35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Segment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Arial" w:cs="Arial" w:eastAsia="Arial" w:hAnsi="Arial"/>
                <w:sz w:val="18"/>
                <w:szCs w:val="18"/>
                <w:color w:val="auto"/>
              </w:rPr>
              <w:t>Automotive Mirrors &amp; Electronics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427,426,159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418,746,334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1,039,112,012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1,241,147,268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HomeLink Modules*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37,247,428</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45,534,373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87,485,008</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135,557,145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464,673,587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464,280,707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1,126,597,020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1,376,704,413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Other Segment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Fire Protection Products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6,378,303</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5,977,245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17,384,594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18,188,744</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Windows Products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3,586,694</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7,503,465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14,344,252</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20,168,611</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9,964,997</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13,480,710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31,728,846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38,357,355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where HomeLink electronics are integrated into interior auto-dimming mirrors.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-125095</wp:posOffset>
            </wp:positionV>
            <wp:extent cx="62407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has operating leases for corporate offices, warehouses, vehicles, and other equipment, which are included within "Plant and Equipment - Net" section of the Condensed Consolidated Balance Sheets. The leases have remaining lease terms of 1 year to 5 years. The weighted average remaining lease term for operating leases as of September 30, 2020 was 2 years, with a weighted average discount rate of 1.2%.</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as of September 30, 2020 were as follows:</w:t>
      </w:r>
    </w:p>
    <w:p>
      <w:pPr>
        <w:spacing w:after="0" w:line="30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-100330</wp:posOffset>
            </wp:positionV>
            <wp:extent cx="615505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5055" cy="128905"/>
                    </a:xfrm>
                    <a:prstGeom prst="rect">
                      <a:avLst/>
                    </a:prstGeom>
                    <a:noFill/>
                  </pic:spPr>
                </pic:pic>
              </a:graphicData>
            </a:graphic>
          </wp:anchor>
        </w:drawing>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(excluding the nine months ended September 30, 2020)</w:t>
            </w:r>
          </w:p>
        </w:tc>
        <w:tc>
          <w:tcPr>
            <w:tcW w:w="7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394,431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1,345,977</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825,645</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268,705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32,956</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r>
      <w:tr>
        <w:trPr>
          <w:trHeight w:val="223"/>
        </w:trPr>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future minimum lease payments</w:t>
            </w: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2,873,665</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(24,182)</w:t>
            </w:r>
          </w:p>
        </w:tc>
      </w:tr>
      <w:tr>
        <w:trPr>
          <w:trHeight w:val="223"/>
        </w:trPr>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2,849,483</w:t>
            </w:r>
          </w:p>
        </w:tc>
      </w:tr>
      <w:tr>
        <w:trPr>
          <w:trHeight w:val="614"/>
        </w:trPr>
        <w:tc>
          <w:tcPr>
            <w:tcW w:w="7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9"/>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Reported as of September 30, 2020</w:t>
            </w:r>
          </w:p>
        </w:tc>
        <w:tc>
          <w:tcPr>
            <w:tcW w:w="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r>
      <w:tr>
        <w:trPr>
          <w:trHeight w:val="250"/>
        </w:trPr>
        <w:tc>
          <w:tcPr>
            <w:tcW w:w="7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78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1,419,060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1,430,423</w:t>
            </w:r>
          </w:p>
        </w:tc>
      </w:tr>
      <w:tr>
        <w:trPr>
          <w:trHeight w:val="223"/>
        </w:trPr>
        <w:tc>
          <w:tcPr>
            <w:tcW w:w="7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2,849,483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On April 3, 2020, the Company acquired Vaporsens, Inc (“Vaporsens”) for $10.6 million in a stock purchase deal, which was in addition to the previous $3.0 million equity investment by the Company in Vaporsens. The Company funded the acquisition with $7.1 million in cash payments, with the remaining $3.5 million of consideration paid with common stock of the Company. Vaporsens specializes in nanofiber chemical sensing research and development, which the Company anticipates using to complement and expand its product offerings. Vaporsens is now a 100% owned subsidiary of the Company, and has been classified within the “Other” segment.</w:t>
      </w:r>
    </w:p>
    <w:p>
      <w:pPr>
        <w:spacing w:after="0" w:line="20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There were no revenues of the business of Vaporsens which were included in the Company’s consolidated statement of income and comprehensive income for the quarter or year to date periods ended September 30, 2020.</w:t>
      </w:r>
    </w:p>
    <w:p>
      <w:pPr>
        <w:spacing w:after="0" w:line="196"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following table summarizes the fair values of the assets acquired, and the liabilities assumed, as of the acquisition date of April 3, 2020. The valuation process is not complete and the final determination of the fair values may result in further adjustments to the values presented below:</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239"/>
        </w:trPr>
        <w:tc>
          <w:tcPr>
            <w:tcW w:w="74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Fair Value</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435,722</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Personal Property</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562,840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245,335</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In-Process R&amp;D</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11,000,000</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3,850,711</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16,094,608</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255,522</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Liability</w:t>
            </w:r>
          </w:p>
        </w:tc>
        <w:tc>
          <w:tcPr>
            <w:tcW w:w="4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2,220,086</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4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2,475,608</w:t>
            </w: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13,619,000</w:t>
            </w:r>
          </w:p>
        </w:tc>
      </w:tr>
      <w:tr>
        <w:trPr>
          <w:trHeight w:val="21"/>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allocation of the purchase price above is considered preliminary and was based upon valuation information available and estimates and assumptions made as of September 30, 2020. The Company is still in the process of verifying data and finalizing information related to the valuation and recording of identifiable intangible assets, deferred taxes, net working capital, and the resulting effects on the amount of recorded goodwill. The Company expects to finalize these matters within the measurement period, which is currently expected to remain open through the end of calendar year 2020.</w:t>
      </w:r>
    </w:p>
    <w:p>
      <w:pPr>
        <w:spacing w:after="0" w:line="20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September 18, 2020, the Company acquired Air-Craftglass, a Belgian company specializing in research and development for aircraft windows, for an initial payment of $1.1 million in a stock purchase deal. The Company funded the acquisition with a cash payment from cash on hand. The transaction also included contingent consideration based on future revenues. The Company is still in the process of verifying data and finalizing information related to the valuation and recording of identifiable intangible assets, deferred taxes, net working capital, contingent consideration liability, and the resulting effects on the amount of recorded goodwill. The Company expects to finalize these matters within the measurement period, which is currently expected to remain open through the second quarter of 2021.</w:t>
      </w:r>
    </w:p>
    <w:p>
      <w:pPr>
        <w:spacing w:after="0" w:line="203"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 xml:space="preserve">Air-Craftglass is now a 100% owned subsidiary of the Company, and will be classified within the “Other” segment. The assets acquired and liabilities assumed were recorded at fair value on the acquisition date. The Company accounted for the acquisition under the provisions of FASB ASC Topic 805, </w:t>
      </w:r>
      <w:r>
        <w:rPr>
          <w:rFonts w:ascii="Arial" w:cs="Arial" w:eastAsia="Arial" w:hAnsi="Arial"/>
          <w:sz w:val="18"/>
          <w:szCs w:val="18"/>
          <w:i w:val="1"/>
          <w:iCs w:val="1"/>
          <w:color w:val="auto"/>
        </w:rPr>
        <w:t>Business</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2" w:name="page23"/>
    <w:bookmarkEnd w:id="22"/>
    <w:p>
      <w:pPr>
        <w:jc w:val="center"/>
        <w:ind w:right="64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auto"/>
        </w:rPr>
        <w:t>Combinations</w:t>
      </w:r>
      <w:r>
        <w:rPr>
          <w:rFonts w:ascii="Arial" w:cs="Arial" w:eastAsia="Arial" w:hAnsi="Arial"/>
          <w:sz w:val="18"/>
          <w:szCs w:val="18"/>
          <w:color w:val="auto"/>
        </w:rPr>
        <w:t>. There were no revenues of the business of Air-Craftglass which were included in the the Company’s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and comprehensive income for the quarter or year to date periods ended September 30, 2020.</w:t>
      </w: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Through September 30, 2020, the Company has incurred acquisition-related costs of approximately $600,000, which has been expensed as incurred in the "Selling, general &amp; administrative" section of its Condensed Consolidated Income Statement.</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5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2020 VERSUS THIRD QUARTER 2019</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third quarter of 2020 decreased by $3.1 million or 1% when compared with the third quarter of 2019.</w:t>
      </w:r>
    </w:p>
    <w:p>
      <w:pPr>
        <w:spacing w:after="0" w:line="158" w:lineRule="exact"/>
        <w:rPr>
          <w:sz w:val="20"/>
          <w:szCs w:val="20"/>
          <w:color w:val="auto"/>
        </w:rPr>
      </w:pPr>
    </w:p>
    <w:p>
      <w:pPr>
        <w:jc w:val="both"/>
        <w:ind w:left="660"/>
        <w:spacing w:after="0" w:line="245" w:lineRule="auto"/>
        <w:rPr>
          <w:sz w:val="20"/>
          <w:szCs w:val="20"/>
          <w:color w:val="auto"/>
        </w:rPr>
      </w:pPr>
      <w:r>
        <w:rPr>
          <w:rFonts w:ascii="Arial" w:cs="Arial" w:eastAsia="Arial" w:hAnsi="Arial"/>
          <w:sz w:val="18"/>
          <w:szCs w:val="18"/>
          <w:color w:val="auto"/>
        </w:rPr>
        <w:t>Automotive net sales for the third quarter of 2020 were $464.7 million, compared with automotive net sales of $464.3 million in the third quarter of 2019. Automotive net sales were strong during the third quarter of 2020 despite the 3% quarter over quarter decrease in interior auto-dimming mirror unit shipments, which strength was primarily driven by ongoing revenue growth of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The 3% decrease in automotive mirror unit shipments in the third quarter of 2020 to 10.6 million units compared with 10.8 million units in the third quarter of 2019, was driven primarily by a 5% quarter over quarter decrease in international auto-dimming mirror unit shipments, stemming largely from the COVID-19 pandemic and related shutdowns.</w:t>
      </w:r>
    </w:p>
    <w:p>
      <w:pPr>
        <w:spacing w:after="0" w:line="213" w:lineRule="exact"/>
        <w:rPr>
          <w:sz w:val="20"/>
          <w:szCs w:val="20"/>
          <w:color w:val="auto"/>
        </w:rPr>
      </w:pPr>
    </w:p>
    <w:p>
      <w:pPr>
        <w:ind w:left="660" w:right="120"/>
        <w:spacing w:after="0" w:line="292"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and nine months ended September 30, 2020, and 2019 </w:t>
      </w:r>
      <w:r>
        <w:rPr>
          <w:rFonts w:ascii="Arial" w:cs="Arial" w:eastAsia="Arial" w:hAnsi="Arial"/>
          <w:sz w:val="18"/>
          <w:szCs w:val="18"/>
          <w:i w:val="1"/>
          <w:iCs w:val="1"/>
          <w:color w:val="auto"/>
        </w:rPr>
        <w:t>(in thousands).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Three Months Ended September 30,</w:t>
            </w:r>
          </w:p>
        </w:tc>
        <w:tc>
          <w:tcPr>
            <w:tcW w:w="30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35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5,040</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6,571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3,093</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3,961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(22)%</w:t>
            </w:r>
          </w:p>
        </w:tc>
      </w:tr>
      <w:tr>
        <w:trPr>
          <w:trHeight w:val="223"/>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North American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8,133</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10,532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w:t>
            </w:r>
          </w:p>
        </w:tc>
      </w:tr>
      <w:tr>
        <w:trPr>
          <w:trHeight w:val="270"/>
        </w:trPr>
        <w:tc>
          <w:tcPr>
            <w:tcW w:w="3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11,670</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15,785</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w:t>
            </w: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(6)%</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7,028</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6,025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w:t>
            </w:r>
          </w:p>
        </w:tc>
      </w:tr>
      <w:tr>
        <w:trPr>
          <w:trHeight w:val="223"/>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 Mirror Units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18,697</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21,810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r>
      <w:tr>
        <w:trPr>
          <w:trHeight w:val="270"/>
        </w:trPr>
        <w:tc>
          <w:tcPr>
            <w:tcW w:w="35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16,709</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22,356</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(25)%</w:t>
            </w: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(4)%</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10,121</w:t>
            </w: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9,986</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r>
      <w:tr>
        <w:trPr>
          <w:trHeight w:val="248"/>
        </w:trPr>
        <w:tc>
          <w:tcPr>
            <w:tcW w:w="3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Auto-Dimming Mirror Units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26,830</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32,342</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(17)%</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 Percent change and amounts may not total due to rounding.</w:t>
      </w:r>
    </w:p>
    <w:p>
      <w:pPr>
        <w:spacing w:after="0" w:line="2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Other net sales were $ 10.0 million in the third quarter of 2020, a decrease of 26%, compared to $13.5 million in the third quarter of 2019. This decrease is in large part attributable to a 52% quarter over quarter decline in variable dimmable aircraft windows sales, which decreased to $3.6 million in the third quarter of 2020 from $ 7.5 million in the third quarter of 2019. Fire protection sales increased by 7% in the third quarter of 2020 to $6.4 million, compared to $6.0 million in the third quarter of 2019.</w:t>
      </w:r>
    </w:p>
    <w:p>
      <w:pPr>
        <w:spacing w:after="0" w:line="19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decreased to 60.3% in the third quarter of 2020 versus 62.3%</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third quarter of 2019. The quarter over quarter net increase in gross margin was directly impacted by the increasing strength in orders during the third quarter of 2020, as well as the previously announced $35 million in annualized structural cost reductions that took place in the second quarter of 2020. Gross margin was also impacted positively by purchasing cost reductions and improvements in tariff related costs, which together were able to offset the typical impact caused by annual customer price reductions. On a quarter over quarter basis, the savings as a result of structural cost reductions that took place in the second quarter of 2020 had a positive impact of approximately 150 - 200 basis points on gross margin, and the above-referenced purchasing cost reductions and tariffs independently had a positive impact of approximately 50 - 100 basis points on gross margin, each on a quarter over quarter basis. These positive impacts were partially offset by annual customer price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reductions, which had a negative impact of approximately 200 - 250 basis points on gross margin on a quarter over quarter basis.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third quarter of 2020 decreased by 5%</w:t>
      </w:r>
      <w:r>
        <w:rPr>
          <w:rFonts w:ascii="Arial" w:cs="Arial" w:eastAsia="Arial" w:hAnsi="Arial"/>
          <w:sz w:val="18"/>
          <w:szCs w:val="18"/>
          <w:i w:val="1"/>
          <w:iCs w:val="1"/>
          <w:color w:val="auto"/>
        </w:rPr>
        <w:t xml:space="preserve"> </w:t>
      </w:r>
      <w:r>
        <w:rPr>
          <w:rFonts w:ascii="Arial" w:cs="Arial" w:eastAsia="Arial" w:hAnsi="Arial"/>
          <w:sz w:val="18"/>
          <w:szCs w:val="18"/>
          <w:color w:val="auto"/>
        </w:rPr>
        <w:t>or $1.6 million when compared with the third quarter of 2019, primarily due to reductions in wages and discretionary spending as a result of the structural cost reductions that took place in the second quarter 2020.</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 G &amp; A") expenses decreased by 5% or $1.2 million for the third quarter of 2020 compared to the third quarter of 2019. S, G &amp; A expenses remained at 5% of net sales in the third quarter of 2020, similar to the third quarter of 2019. S, G, &amp; A expenses decreased on a quarter over quarter basis primarily due to reductions in wages and discretionary spending.</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operating expenses were $49.4 million in the third quarter of 2020, which decreased by 5% or $2.8 million, from $52.2 million in the third quarter of 2019. The decrease in total operating expenses was primarily driven by reductions in wages and discretionary spending, such as decreased spending for trade shows and travel expenses.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third quarter of 2020 increased by $0.6 million when compared with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18.1% and income tax expense of $25.8 million in the third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15.0% effective tax rate and income tax expense of $19.7 million for the same quarter of 2019. Typically, effective tax rates for the Company differ from statutory federal income tax rates, due to provisions for state and local income taxes, permanent tax differences, research and development tax credits and the foreign-derived intangible income tax deduction.</w:t>
      </w:r>
    </w:p>
    <w:p>
      <w:pPr>
        <w:spacing w:after="0" w:line="8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third quarter of 2020 was $117.1 million, up from a net income of $111.9 million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2019.</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third quarter of 2020 of $0.48 which compared to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of $0.44 for the third quarter of 2019.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2020 VERSUS NINE MONTHS ENDED SEPTEMBER 30, 2019</w:t>
      </w:r>
    </w:p>
    <w:p>
      <w:pPr>
        <w:spacing w:after="0" w:line="16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nine months ended September 30, 2020 decreased by $256.7 million or 18% when compared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2019.</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Automotive net sales for the first nine months of 2020 were $1.13 billion, down 18% compared with automotive net sales of $1.38 billion for the first nine months of 2019, driven by a 17% period over period decrease in automotive mirror unit shipments. North American automotive mirror shipments in the nine months ended September 30, 2020 decreased 23% to 8.1 million units compared with the same period in 2019.</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66.4% for the first nine months of 2020, versus</w:t>
      </w:r>
      <w:r>
        <w:rPr>
          <w:rFonts w:ascii="Arial" w:cs="Arial" w:eastAsia="Arial" w:hAnsi="Arial"/>
          <w:sz w:val="18"/>
          <w:szCs w:val="18"/>
          <w:i w:val="1"/>
          <w:iCs w:val="1"/>
          <w:color w:val="auto"/>
        </w:rPr>
        <w:t xml:space="preserve"> </w:t>
      </w:r>
      <w:r>
        <w:rPr>
          <w:rFonts w:ascii="Arial" w:cs="Arial" w:eastAsia="Arial" w:hAnsi="Arial"/>
          <w:sz w:val="18"/>
          <w:szCs w:val="18"/>
          <w:color w:val="auto"/>
        </w:rPr>
        <w:t>62.8% in the same period last year. The period over period decrease in the gross profit margin was primarily the result of the Company's inability to leverage fixed overhead during the second quarter of 2020 as a result of COVID-19 related shutdowns and decreases in demand, as well as annual customer price reductions, which were partially offset by improvements in product mix related to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well as purchasing cost reductions and structural cost reductions. On a period over period basis, the inability to leverage fixed overhead had a negative impact of approximately 200 - 300 basis points, and annual customer price reductions had an additional negative impact of approximately 150 - 200 basis points, each on gross margin. Purchasing cost reductions, product mix improvements, and structural cost reductions each independently had a positive impact on gross margin on a period over period basis of approximately 50 - 100 basis points.</w:t>
      </w:r>
    </w:p>
    <w:p>
      <w:pPr>
        <w:spacing w:after="0" w:line="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 R &amp; D expenses for the nine months ended September 30, 2020 increased 1% or $0.6 million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the same period last year. The increase was primarily due to severance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25" w:name="page26"/>
    <w:bookmarkEnd w:id="25"/>
    <w:p>
      <w:pPr>
        <w:jc w:val="both"/>
        <w:spacing w:after="0" w:line="292" w:lineRule="auto"/>
        <w:rPr>
          <w:sz w:val="20"/>
          <w:szCs w:val="20"/>
          <w:color w:val="auto"/>
        </w:rPr>
      </w:pPr>
      <w:r>
        <w:rPr>
          <w:rFonts w:ascii="Arial" w:cs="Arial" w:eastAsia="Arial" w:hAnsi="Arial"/>
          <w:sz w:val="18"/>
          <w:szCs w:val="18"/>
          <w:color w:val="auto"/>
        </w:rPr>
        <w:t>related costs incurred in the second quarter of 2020 and staffing levels in the first six months of 2020, which were partially offset by lower overall expense levels as a result of the COVID-19 pandemic.</w:t>
      </w:r>
    </w:p>
    <w:p>
      <w:pPr>
        <w:spacing w:after="0" w:line="77"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S, G &amp; A expenses for the first nine months of 2020 increased 3% or $2.2 million when compared with the same period last year, primarily due to severance related costs, wages and benefits, other resources associated with mitigation of the impacts of the global COVID-19 pandemic, and increased legal and professional fees associated with acquisitions of new technology described in </w:t>
      </w:r>
      <w:hyperlink w:anchor="page21">
        <w:r>
          <w:rPr>
            <w:rFonts w:ascii="Arial" w:cs="Arial" w:eastAsia="Arial" w:hAnsi="Arial"/>
            <w:sz w:val="18"/>
            <w:szCs w:val="18"/>
            <w:u w:val="single" w:color="auto"/>
            <w:color w:val="0000FF"/>
          </w:rPr>
          <w:t>Note 16</w:t>
        </w:r>
      </w:hyperlink>
      <w:r>
        <w:rPr>
          <w:rFonts w:ascii="Arial" w:cs="Arial" w:eastAsia="Arial" w:hAnsi="Arial"/>
          <w:sz w:val="18"/>
          <w:szCs w:val="18"/>
          <w:color w:val="auto"/>
        </w:rPr>
        <w:t xml:space="preserve"> of the financial statements included in this Form 10-Q.</w:t>
      </w:r>
    </w:p>
    <w:p>
      <w:pPr>
        <w:spacing w:after="0" w:line="11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nine months ended September 30, 2020 was $9.2 million compared with $9.1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same period last year.</w:t>
      </w:r>
    </w:p>
    <w:p>
      <w:pPr>
        <w:spacing w:after="0" w:line="9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17.1% for the nine months ended September 30, 2020 compared to 15.9%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of 2019.</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nine months ended September 30, 2020 decreased by $120.9 million or 37% to $204.2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$325.1 million in the same period last year, due to the lower net sales and the corresponding decrease in gross profit, as well as the increases in operating expenses described above.</w:t>
      </w:r>
    </w:p>
    <w:p>
      <w:pPr>
        <w:spacing w:after="0" w:line="1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u w:val="single" w:color="auto"/>
          <w:color w:val="auto"/>
        </w:rPr>
        <w:t>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had earnings per diluted share for the nine months ended September 30, 2020 of $0.82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earnings per diluted share of $1.26 for the nine months ended September 30, 2019, primarily as a result of the COVID-19 pandemic and the related shutdowns as explained above.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46" w:lineRule="exact"/>
        <w:rPr>
          <w:sz w:val="20"/>
          <w:szCs w:val="20"/>
          <w:color w:val="auto"/>
        </w:rPr>
      </w:pPr>
    </w:p>
    <w:p>
      <w:pPr>
        <w:jc w:val="both"/>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The Company's cash and cash equivalents as of September 30, 2020 were $400.5 million, which increased $104.2 million compared to $296.3 million as of December 31, 2019. The increase was primarily due to cash flows from operations and the draw-down of $75 million on the Company's line of credit during the first quarter of 2020 (as described in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which was partially offset by share repurchases, dividend payments, capital expenditures, and repayment of $50 million on the line of credit during the nine months ended September 30, 2020.</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Short-term investments as of September 30, 2020 were $52.6 million, down from $140.4 million as of December 31, 2019, and long-term investments were $ 159.0 million as of September 30, 2020, compared to $139.9 million as of December 31, 2019. Changes in the investment balances were primarily driven by changes in fixed income investment maturities within the investment portfolio.</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Accounts receivable as of September 30, 2020 increased approximately $33.0 million compared to December 31, 2019, primarily due to the increase in sales during the most recently completed quarter. As of September 30, 2020, all of the Company's material tier one and OEM customers continue to be in good standing.</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Inventories as of September 30, 2020 were $233.4 million, compared to $ 248.9 million as of December 31, 2019, primarily due to decreases in finished goods and raw materials on hand. Throughout 2020, the Company's purchasing and supply chain teams have had to manage through supply chain stresses, which have included managing rolling shutdowns in the Company's supplier base, managing run-out situations on certain components, working through the second quarter order reductions, and now meeting rebounding demand that occurred in the third, and is expected to occur in the fourth, quarter of 2020.</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payable as of September 30, 2020 decreased approximately $7.3 million to $90.2 million when compared to December 31, 2019, primarily driven by lower purchases from suppliers in the quarter, lower levels of capital expenditures and less discretionary spending during the quarter.</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Accrued liabilities as of September 30, 2020 increased approximately $46.9 million compared to December 31, 2019, primarily due to an increase in accrued salaries and wages, accrued severance liabilities, and tax liabilities due to timing of certain wage and tax payments.</w:t>
      </w:r>
    </w:p>
    <w:p>
      <w:pPr>
        <w:spacing w:after="0" w:line="95" w:lineRule="exact"/>
        <w:rPr>
          <w:sz w:val="20"/>
          <w:szCs w:val="20"/>
          <w:color w:val="auto"/>
        </w:rPr>
      </w:pPr>
    </w:p>
    <w:p>
      <w:pPr>
        <w:jc w:val="both"/>
        <w:spacing w:after="0" w:line="271" w:lineRule="auto"/>
        <w:rPr>
          <w:rFonts w:ascii="Arial" w:cs="Arial" w:eastAsia="Arial" w:hAnsi="Arial"/>
          <w:sz w:val="18"/>
          <w:szCs w:val="18"/>
          <w:color w:val="auto"/>
        </w:rPr>
      </w:pPr>
      <w:r>
        <w:rPr>
          <w:rFonts w:ascii="Arial" w:cs="Arial" w:eastAsia="Arial" w:hAnsi="Arial"/>
          <w:sz w:val="18"/>
          <w:szCs w:val="18"/>
          <w:color w:val="auto"/>
        </w:rPr>
        <w:t xml:space="preserve">The current portion of long-term debt as of September 30, 2020 increased $25.0 million compared to December 31, 2019. This is a result of the draw-down of $75.0 million on the Company's $150 million line of credit during the first quarter of 2020, of which $50 million was paid off during the third quarter. See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for additional details.</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flow from operating activities for the nine months ended September 30, 2020 decreased $54.9 million to $329.0 million, compared with $383.9 million during the same nine month period last year, primarily due to lower net income, which was partially offset by changes in working capital.</w:t>
      </w:r>
    </w:p>
    <w:p>
      <w:pPr>
        <w:spacing w:after="0" w:line="9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Capital expenditures for the nine months ended September 30, 2020 were approximately $ 37.0 million, compared with approximately $58.3 million for the same nine month period last year, as a result of spending containment strategies.</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facility needs.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estimates that it currently has building capacity to manufacture approximately 33 - 36 million interior mirror units annually and approximately 14 - 17 million exterior mirror units annually, based on current product mix. The Company evaluates equipment capacity on an ongoing basis and adds equipment as needed.</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Management considers the current working capital and long-term investments, in addition to internally generated cash flow, its Credit Agreement, and credit worthiness, to be sufficient to cover anticipated cash needs for the foreseeable future considering its contractual obligations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is a summary of working capital and long-term investments: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4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738,829,396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778,530,092</w:t>
            </w:r>
          </w:p>
        </w:tc>
      </w:tr>
      <w:tr>
        <w:trPr>
          <w:trHeight w:val="229"/>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 Term Investments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159,011,362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139,909,323</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897,840,758</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918,439,415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spacing w:after="0" w:line="260" w:lineRule="auto"/>
        <w:rPr>
          <w:rFonts w:ascii="Arial" w:cs="Arial" w:eastAsia="Arial" w:hAnsi="Arial"/>
          <w:sz w:val="18"/>
          <w:szCs w:val="18"/>
          <w:color w:val="auto"/>
        </w:rPr>
      </w:pPr>
      <w:r>
        <w:rPr>
          <w:rFonts w:ascii="Arial" w:cs="Arial" w:eastAsia="Arial" w:hAnsi="Arial"/>
          <w:sz w:val="18"/>
          <w:szCs w:val="18"/>
          <w:color w:val="auto"/>
        </w:rPr>
        <w:t xml:space="preserve">The decrease in working capital as of September 30, 2020 is primarily due to lower sales and lower net income, as well as share repurchases, dividend payments and capital expenditures. In order to continue to maintain flexibility and liquidity during the COVID-19 pandemic, in the first quarter of 2020 the Company drew-down $ 75 million on its line of credit, of which $50 million was paid off in the third quarter of 2020, which is classified as short-term debt as discussed in </w:t>
      </w:r>
      <w:hyperlink w:anchor="page18">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financial statements included in this Form 10-Q. The Company believes it has the ability to repay the remaining balance in the fourth quarter of 2020.</w:t>
      </w:r>
    </w:p>
    <w:p>
      <w:pPr>
        <w:spacing w:after="0" w:line="202" w:lineRule="exact"/>
        <w:rPr>
          <w:sz w:val="20"/>
          <w:szCs w:val="20"/>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which remains a part of the broader publicly disclosed capital allocation strategy. During the third quarter of 2020, the Company repurchased 1,175,756 shares under the share repurchase plan. Future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During the nine months ended September 30, 2020, the Company repurchased 8,194,788 shares. The Company has 11,870,531 shares remaining under the plan as of September 30, 2020, as is further detailed in </w:t>
      </w:r>
      <w:hyperlink w:anchor="page39">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third quarter of 2020, the Company reported net sales of $474.6 million, which was a decrease of 1% compared to net sales of $477.8 million in the third quarter of 2019. The Company’s decrease of 1% in net sales was in comparison to global light vehicle production levels that dropped 4% for the third quarter of 2020 when compared to the third quarter of 2019. However, the light vehicle production declines were even more severe in Europe and the Japan/Korea markets, which each experienced a 8% quarter over quarter reduction, which was partially offset by the China market increase of 11%, while North America remained relatively flat. The Company's main revenue generating markets are North America, Europe, and Japan/Korea which were collectively down 5% quarter over quarter. The Company's overall revenue out-performance in comparison to production declines in the Company's primary underlying markets was largely due to the relative success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Interior and exterior auto-dimming mirrors and advanced electronic features were launched on 23 net new nameplates during the third quarter of 2020, net of previously announced losses. Of these new launches in the third quarter of 2020, approximately 50% contained advanced features, which was primarily driven by HomeLink</w:t>
      </w:r>
      <w:r>
        <w:rPr>
          <w:rFonts w:ascii="Arial" w:cs="Arial" w:eastAsia="Arial" w:hAnsi="Arial"/>
          <w:sz w:val="23"/>
          <w:szCs w:val="23"/>
          <w:color w:val="auto"/>
          <w:vertAlign w:val="superscript"/>
        </w:rPr>
        <w:t>®</w:t>
      </w:r>
      <w:r>
        <w:rPr>
          <w:rFonts w:ascii="Arial" w:cs="Arial" w:eastAsia="Arial" w:hAnsi="Arial"/>
          <w:sz w:val="18"/>
          <w:szCs w:val="18"/>
          <w:color w:val="auto"/>
        </w:rPr>
        <w:t>,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and Full Display Mirror</w:t>
      </w:r>
      <w:r>
        <w:rPr>
          <w:rFonts w:ascii="Arial" w:cs="Arial" w:eastAsia="Arial" w:hAnsi="Arial"/>
          <w:sz w:val="23"/>
          <w:szCs w:val="23"/>
          <w:color w:val="auto"/>
          <w:vertAlign w:val="superscript"/>
        </w:rPr>
        <w:t>®</w:t>
      </w:r>
      <w:r>
        <w:rPr>
          <w:rFonts w:ascii="Arial" w:cs="Arial" w:eastAsia="Arial" w:hAnsi="Arial"/>
          <w:sz w:val="23"/>
          <w:szCs w:val="23"/>
          <w:color w:val="auto"/>
          <w:vertAlign w:val="subscript"/>
        </w:rPr>
        <w:t>.</w:t>
      </w:r>
    </w:p>
    <w:p>
      <w:pPr>
        <w:spacing w:after="0" w:line="9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Despite challenging economic conditions created by the COVID-19 pandemic, the base inside auto-dimming mirror launches included new models in all of the Company's major markets, while advanced feature launches were led by new models for both HomeLink</w:t>
      </w:r>
      <w:r>
        <w:rPr>
          <w:rFonts w:ascii="Arial" w:cs="Arial" w:eastAsia="Arial" w:hAnsi="Arial"/>
          <w:sz w:val="23"/>
          <w:szCs w:val="23"/>
          <w:color w:val="auto"/>
          <w:vertAlign w:val="superscript"/>
        </w:rPr>
        <w:t>®</w:t>
      </w:r>
      <w:r>
        <w:rPr>
          <w:rFonts w:ascii="Arial" w:cs="Arial" w:eastAsia="Arial" w:hAnsi="Arial"/>
          <w:sz w:val="18"/>
          <w:szCs w:val="18"/>
          <w:color w:val="auto"/>
        </w:rPr>
        <w:t>,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and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5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offers bi-modal functionality. In mirror mode, the product functions as an auto-dimming rearview mirror which means that during nighttime driving, digital light</w:t>
      </w: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75" w:right="339" w:bottom="1440" w:gutter="0" w:footer="0" w:header="0"/>
        </w:sectPr>
      </w:pPr>
    </w:p>
    <w:bookmarkStart w:id="28" w:name="page29"/>
    <w:bookmarkEnd w:id="28"/>
    <w:p>
      <w:pPr>
        <w:jc w:val="both"/>
        <w:spacing w:after="0" w:line="245" w:lineRule="auto"/>
        <w:rPr>
          <w:sz w:val="20"/>
          <w:szCs w:val="20"/>
          <w:color w:val="auto"/>
        </w:rPr>
      </w:pPr>
      <w:r>
        <w:rPr>
          <w:rFonts w:ascii="Arial" w:cs="Arial" w:eastAsia="Arial" w:hAnsi="Arial"/>
          <w:sz w:val="18"/>
          <w:szCs w:val="18"/>
          <w:color w:val="auto"/>
        </w:rPr>
        <w:t>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essential, because in the event of any failure of the camera or display, the product is able to function as a mirror, which meets long-standing safety requirements in the automotive industry. In addition, the driver has the ability to switch between modes to accommodate usage preferences for various weather conditions, lighting conditions, and driving tasks.</w:t>
      </w:r>
    </w:p>
    <w:p>
      <w:pPr>
        <w:spacing w:after="0" w:line="213"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 the first quarter of 2020, the Company announced Aston Martin at CES, and began shipping to Mitsubishi, as OEMs for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As of the third quarter of 2020, the Company is shipping production Full Display Mirrors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eight automaker customers, which are General Motors, Subaru, Toyota, Nissan, Jaguar Land Rover, Mitsubishi, Aston Martin, and FCA. As of the end of the third quarter of 2020, the Company is shipping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50 nameplates, of which 18 nameplates were launched during 2020. The second quarter launch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Toyota Harrier was the first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launch with Digital Video Recording ("DVR") capability. This mirror and system launched in the Japan market, and combine the superior functionality of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the added capability to record video from the rearward facing and forward-facing cameras simultaneously. Per OEM request, the data is stored to an SD storage card. This integrated solution provides consumers with the features they want, while allowing the OEM to control the integration and execution in the vehicle. The Company remains confident that on-going discussions with certain other customers, in the future, may cause such customers to consider adding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into their product road-map for future vehicles.</w:t>
      </w:r>
    </w:p>
    <w:p>
      <w:pPr>
        <w:spacing w:after="0" w:line="14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2017, the Company introduced a new three-camera rear vision system that streams rear video in multiple composite views to its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generally as a camera monitoring system ("CMS"), uses three cameras to provide a comprehensive view of the sides and rear of the vehicle. The side-view cameras are discretely housed in downsized, automatic-dimming exterior mirrors. Their video feeds are combined with that of a roof-mounted or rear window based camera and stitched together into multiple composite views, which are streamed to the driver using the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thereby enhancing safety by allowing the system to fail safe. During any failures due to weather conditions or otherwise that disrupt the digital view, drivers can still safely use the interior and exterior mirrors. The system also supports user preference by permitting drivers to use standard mirror views, camera views, or both. The system can also be tuned to meet the various regulatory field-of-view requirements around the world by using different types of flat and curved glass, combined with simple alterations to the video viewing modes.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 In January 2020, the Company announced a collaboration with Aston Martin to bring CMS to future Aston Martin vehicles.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On March 31, 2014, the Alliance of Automobile Manufacturers petitioned the National Highway Traffic Safety Administration</w:t>
      </w:r>
    </w:p>
    <w:p>
      <w:pPr>
        <w:spacing w:after="0" w:line="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("NHTSA") to allow automakers to use cameras as an option to replace conventional rearview mirrors within the United States.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NHTSA published a report dated October 2018 related to camera monitoring systems for outside mirror replacements. On October 10, 2019, an Advanced Notice of Proposed Rulemaking (ANPRM) was published seeking public comment on permitting camera-based rear visibility systems, as an alternative to inside and outside rearview mirrors required under Federal motor vehicle safety standard (FMVSS) No. 111, “Rear Visibility,” which currently requires that vehicles be equipped with rearview mirrors to provide drivers with a view of objects that are to their side or to their side and rear. This ANPRM builds on NHTSA's prior efforts to obtain supporting technical information, data, and analysis on CMS so that the agency can determine whether these systems can provide the same level of safety as the rearview mirrors currently required under FMVSS No. 111. The ANPRM states that one reason</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8"/>
          <w:szCs w:val="18"/>
          <w:color w:val="auto"/>
        </w:rPr>
        <w:t>NHTSA is seeking additional information is because research conducted by NHTSA and others between 2006 and 2017 has consistently shown that prototype and preproduction camera-based rear visibility systems can exhibit safety-relevant performance issues.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18, 2019, a petition for temporary exemption from FMVSS 111 submitted by Audi of America was published requesting NHTSA to grant a two-year exemption to sell up to 2,500 vehicles for each twelve month period (up to 5,000 vehicles) that are equipped with camera monitoring systems and do not include FMVSS 111 compliant outside mirrors.</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CMS to replace mirrors in Japan and European countries. Since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is currently in production with a rear vision camera system that streams rear video to a rearview-mirror-integrated display using the Company's Full Display Mirror</w:t>
      </w:r>
      <w:r>
        <w:rPr>
          <w:rFonts w:ascii="Arial" w:cs="Arial" w:eastAsia="Arial" w:hAnsi="Arial"/>
          <w:sz w:val="23"/>
          <w:szCs w:val="23"/>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development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are the auto industry's most widely used and trusted car-to-home communication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3"/>
          <w:szCs w:val="23"/>
          <w:color w:val="auto"/>
          <w:vertAlign w:val="superscript"/>
        </w:rPr>
        <w:t>®</w:t>
      </w:r>
      <w:r>
        <w:rPr>
          <w:rFonts w:ascii="Arial" w:cs="Arial" w:eastAsia="Arial" w:hAnsi="Arial"/>
          <w:sz w:val="18"/>
          <w:szCs w:val="18"/>
          <w:color w:val="auto"/>
        </w:rPr>
        <w:t>, commonly referred to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which uses both RF and wireless cloud-based connectivity to deliver complete vehicle-to-home automation. With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button press communicates with the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 on the user’s smartphone. The app contains predefined, user-programmed actions, from single device operations to entire home automation scenes. The app, in turn, communicates to the home’s smart hub over the cloud 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3rd party software into the vehicle’s computer network. The Company also continues to work on providing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applications in newer markets like China. The unique attributes of the China market allow for potential different use cases of these products and offer the potential for additional growth opportunities for the of the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units on vehicles for the China market.</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nearly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 January 2017, the Company signed an extension of its agreement in the ordinary course of business, which enables the Company to offer the Integrated Toll Module system in Canada and Mexico. In September 2019, the Company signed a new agreement with TransCore, in the ordinary course of business, which extended the term of the partnership. The interior mirror is the optimal location for a vehicle-integrated toll transponder and it eliminates the need to affix multiple toll tags to the windshield and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0" w:name="page31"/>
    <w:bookmarkEnd w:id="30"/>
    <w:p>
      <w:pPr>
        <w:jc w:val="both"/>
        <w:spacing w:after="0" w:line="222" w:lineRule="auto"/>
        <w:rPr>
          <w:sz w:val="20"/>
          <w:szCs w:val="20"/>
          <w:color w:val="auto"/>
        </w:rPr>
      </w:pPr>
      <w:r>
        <w:rPr>
          <w:rFonts w:ascii="Arial" w:cs="Arial" w:eastAsia="Arial" w:hAnsi="Arial"/>
          <w:sz w:val="18"/>
          <w:szCs w:val="18"/>
          <w:color w:val="auto"/>
        </w:rPr>
        <w:t>helps automakers seamlessly integrate toll collection into the car. Since the Integrated Toll Module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North America. The Company believes that this product could potentially represent another growth opportunity over the next several years.</w:t>
      </w:r>
    </w:p>
    <w:p>
      <w:pPr>
        <w:spacing w:after="0" w:line="203"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The Company has its first OEM award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with Audi. In the first quarter of 2019, the Company began its first volume shipments of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to Audi. During the second quarter of 2019, the first consumers began registering their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systems online to activate the device and began using the system for normal tolling use. The Company continues to monitor and assess feedback from consumers, dealers, and the OEM in order to help others understand the use case and acceptance of this product. In late June of 2020, Audi published a press release on the 2021 Audi Q5, in which they announced it will implement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as well. During the third quarter of 2020, the Company made its first production shipments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6 new platforms for Audi. Currently, the Company is shipping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on 9 platforms, which are: the A4, A5, A6, A7, Q5, Q7, Q8, e-tron, and the e-tron Sportback. Over the next 18 months, the Company expects further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nameplate launches with Audi, as well as the initial launch of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at its second OEM. The launch is targeted to begin production shipments toward the end of calendar year 2020. In April 2020, the Company was honored with an Automotive News PACE Award for its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which recognizes automotive suppliers for superior innovation, technological advancement, and business performance.</w:t>
      </w:r>
    </w:p>
    <w:p>
      <w:pPr>
        <w:spacing w:after="0" w:line="207"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Further, the Company has previously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3"/>
          <w:szCs w:val="23"/>
          <w:color w:val="auto"/>
          <w:vertAlign w:val="superscript"/>
        </w:rPr>
        <w:t>®</w:t>
      </w:r>
      <w:r>
        <w:rPr>
          <w:rFonts w:ascii="Arial" w:cs="Arial" w:eastAsia="Arial" w:hAnsi="Arial"/>
          <w:sz w:val="18"/>
          <w:szCs w:val="18"/>
          <w:color w:val="auto"/>
        </w:rPr>
        <w:t>. The biometric system will allow HomeLink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208"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known as HomeLink Connect</w:t>
      </w:r>
      <w:r>
        <w:rPr>
          <w:rFonts w:ascii="Arial" w:cs="Arial" w:eastAsia="Arial" w:hAnsi="Arial"/>
          <w:sz w:val="23"/>
          <w:szCs w:val="23"/>
          <w:color w:val="auto"/>
          <w:vertAlign w:val="superscript"/>
        </w:rPr>
        <w:t>®</w:t>
      </w:r>
      <w:r>
        <w:rPr>
          <w:rFonts w:ascii="Arial" w:cs="Arial" w:eastAsia="Arial" w:hAnsi="Arial"/>
          <w:sz w:val="18"/>
          <w:szCs w:val="18"/>
          <w:color w:val="auto"/>
        </w:rPr>
        <w:t>. As discussed above,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home automation app that pairs with the vehicle and allows drivers to operate home automation devices from the vehicle. Drivers of HomeLink Connect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European New Car Assessment Program ("Euro NCAP") provides an incentive for automobiles sold in Europe to apply safety technologies that include driver assist features such as lane detection, vehicle detection, and pedestrian detection as standard equipment. Euro NCAP compliant driver assist systems are</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4" w:right="3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8"/>
          <w:szCs w:val="18"/>
          <w:color w:val="auto"/>
        </w:rPr>
        <w:t>also capable of including high beam assist as a function. The increased application of Euro NCAP on European vehicles has had the effect of replacing, and could potentially continue replacing,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on these vehicles.</w:t>
      </w:r>
    </w:p>
    <w:p>
      <w:pPr>
        <w:spacing w:after="0" w:line="10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December 8, 2015 NHTSA proposed changes to the NHTSA's 5-Star Safety Ratings for new vehicles (also known as the New Car Assessment Program or 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The NCAP implementation has been delayed. Under these proposed changes, the Company believes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 On October 16, 2019, NHTSA issued a press release comparing NCAP to other regions’ version of NCAP, identified new technologies that are not currently included in NCAP, and suggested Congress legislatively direct actions to improve NCAP. In March 2020, HR 6256 was introduced, which would require NHTSA to update NCAP.</w:t>
      </w:r>
    </w:p>
    <w:p>
      <w:pPr>
        <w:spacing w:after="0" w:line="20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On October 12, 2018, NHTSA published a Notice of Proposed Rulemaking ("NPRM") for amendments to Federal Motor Vehicle Safety Standard ("FMVSS") No. 108: </w:t>
      </w:r>
      <w:r>
        <w:rPr>
          <w:rFonts w:ascii="Arial" w:cs="Arial" w:eastAsia="Arial" w:hAnsi="Arial"/>
          <w:sz w:val="18"/>
          <w:szCs w:val="18"/>
          <w:i w:val="1"/>
          <w:iCs w:val="1"/>
          <w:color w:val="auto"/>
        </w:rPr>
        <w:t>Lamps, reflective devices, and associated equipment</w:t>
      </w:r>
      <w:r>
        <w:rPr>
          <w:rFonts w:ascii="Arial" w:cs="Arial" w:eastAsia="Arial" w:hAnsi="Arial"/>
          <w:sz w:val="18"/>
          <w:szCs w:val="18"/>
          <w:color w:val="auto"/>
        </w:rPr>
        <w:t>, and initiated a comment period. The NPRM proposes amendments that would permit the certification of adaptive driving beam headlighting systems, if the manufacturer chooses to equip vehicles with these systems. NHTSA proposes to establish appropriate performance requirements to ensure the safe introduction of adaptive driving beam headlighting systems if equipped on newly manufactured vehicles. The Company believes that its dynamic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lighting control system (dynamic forward lighting or DFL), which has been sold in markets outside of North America for several years, will meet the requirements of the new FMVSS 108 standards, if amended. The Company's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application has and will continue to be affected by increased competition by suppliers of multi-function driver assist camera products, which are able to achieve some of the same functionality as SmartBeam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but at a lower cost, due to other suppliers leveraging similar hardware costs, but offering products with multiple software features.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other aircraft manufacturers that have an interest in this technology regarding potential additional programs. In January 2019, the Company announced that its latest generation of dimmable aircraft windows will be offered as optional content on the new Boeing 777X. During the third quarter of 2019, the first production shipments of variably dimmable windows were made to Boeing for the 777X program. In January 2020, the Company announced that Airbus will also be offering the Company's dimmable aircraft windows on its aircraft with production starting in late 2020.</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Throughout 2020 the Company has been working on the intelligent medical lighting system in preparation for clinical trials in order to assess system performance and work toward obtaining any necessary approvals. The Company estimates that it could take 18 to 24 months to complete these trials, before a system could be available for commercial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Automotive revenues represent approximately 97% - 98% of the Company's total revenue, consisting of interior and exterior electrochromic automatic-dimming rearview mirrors and automotive electronics.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 The Company has been likewise affected by the COVID-19 pandemic.</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dimmable devices, electronics and other features that it offers for the automotive, aerospace and medical industry.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forecasts for light vehicle production for the fourth quarter and full year 2020 are based on IHS Markit's mid-October 2020 forecasts for light vehicle production in North America, Europe, China, and Japan/Korea. Based on this information, light vehicle production in the Company's primary markets are expected to be down 2% for the fourth quarter of 2020 versus the same quarter last year. For calendar year 2020, light vehicle production in the Company's primary markets is expected to be down 16% when compared to calendar year 2019. Fourth quarter 2020, and calendar years 2020 and 2021, forecasted vehicle production volumes are shown below:</w:t>
      </w:r>
    </w:p>
    <w:p>
      <w:pPr>
        <w:spacing w:after="0" w:line="236"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color w:val="auto"/>
        </w:rPr>
        <w:t>Light Vehicle Production (per IHS Markit Automotive mid-October light vehicle production forecast)</w:t>
      </w:r>
    </w:p>
    <w:p>
      <w:pPr>
        <w:spacing w:after="0" w:line="41" w:lineRule="exact"/>
        <w:rPr>
          <w:sz w:val="20"/>
          <w:szCs w:val="20"/>
          <w:color w:val="auto"/>
        </w:rPr>
      </w:pPr>
    </w:p>
    <w:p>
      <w:pPr>
        <w:jc w:val="center"/>
        <w:ind w:right="700"/>
        <w:spacing w:after="0"/>
        <w:rPr>
          <w:sz w:val="20"/>
          <w:szCs w:val="20"/>
          <w:color w:val="auto"/>
        </w:rPr>
      </w:pPr>
      <w:r>
        <w:rPr>
          <w:rFonts w:ascii="Arial" w:cs="Arial" w:eastAsia="Arial" w:hAnsi="Arial"/>
          <w:sz w:val="20"/>
          <w:szCs w:val="20"/>
          <w:b w:val="1"/>
          <w:bCs w:val="1"/>
          <w:i w:val="1"/>
          <w:iCs w:val="1"/>
          <w:color w:val="auto"/>
        </w:rPr>
        <w:t>(in Millions)</w:t>
      </w:r>
    </w:p>
    <w:tbl>
      <w:tblPr>
        <w:tblLayout w:type="fixed"/>
        <w:tblInd w:w="0" w:type="dxa"/>
        <w:tblCellMar>
          <w:top w:w="0" w:type="dxa"/>
          <w:left w:w="0" w:type="dxa"/>
          <w:bottom w:w="0" w:type="dxa"/>
          <w:right w:w="0" w:type="dxa"/>
        </w:tblCellMar>
      </w:tblPr>
      <w:tr>
        <w:trPr>
          <w:trHeight w:val="152"/>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Region</w:t>
            </w:r>
          </w:p>
        </w:tc>
        <w:tc>
          <w:tcPr>
            <w:tcW w:w="7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Q4 2020</w:t>
            </w:r>
          </w:p>
        </w:tc>
        <w:tc>
          <w:tcPr>
            <w:tcW w:w="7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Q4 2019</w:t>
            </w: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940" w:type="dxa"/>
            <w:vAlign w:val="bottom"/>
          </w:tcPr>
          <w:p>
            <w:pPr>
              <w:jc w:val="right"/>
              <w:ind w:right="95"/>
              <w:spacing w:after="0" w:line="152" w:lineRule="exact"/>
              <w:rPr>
                <w:sz w:val="20"/>
                <w:szCs w:val="20"/>
                <w:color w:val="auto"/>
              </w:rPr>
            </w:pPr>
            <w:r>
              <w:rPr>
                <w:rFonts w:ascii="Arial" w:cs="Arial" w:eastAsia="Arial" w:hAnsi="Arial"/>
                <w:sz w:val="14"/>
                <w:szCs w:val="14"/>
                <w:b w:val="1"/>
                <w:bCs w:val="1"/>
                <w:color w:val="auto"/>
              </w:rPr>
              <w:t>Calendar</w:t>
            </w:r>
          </w:p>
        </w:tc>
        <w:tc>
          <w:tcPr>
            <w:tcW w:w="940" w:type="dxa"/>
            <w:vAlign w:val="bottom"/>
          </w:tcPr>
          <w:p>
            <w:pPr>
              <w:jc w:val="right"/>
              <w:ind w:right="95"/>
              <w:spacing w:after="0" w:line="152" w:lineRule="exact"/>
              <w:rPr>
                <w:sz w:val="20"/>
                <w:szCs w:val="20"/>
                <w:color w:val="auto"/>
              </w:rPr>
            </w:pPr>
            <w:r>
              <w:rPr>
                <w:rFonts w:ascii="Arial" w:cs="Arial" w:eastAsia="Arial" w:hAnsi="Arial"/>
                <w:sz w:val="14"/>
                <w:szCs w:val="14"/>
                <w:b w:val="1"/>
                <w:bCs w:val="1"/>
                <w:color w:val="auto"/>
              </w:rPr>
              <w:t>Calendar</w:t>
            </w:r>
          </w:p>
        </w:tc>
        <w:tc>
          <w:tcPr>
            <w:tcW w:w="1040" w:type="dxa"/>
            <w:vAlign w:val="bottom"/>
            <w:gridSpan w:val="2"/>
          </w:tcPr>
          <w:p>
            <w:pPr>
              <w:ind w:left="120"/>
              <w:spacing w:after="0" w:line="152" w:lineRule="exact"/>
              <w:rPr>
                <w:sz w:val="20"/>
                <w:szCs w:val="20"/>
                <w:color w:val="auto"/>
              </w:rPr>
            </w:pPr>
            <w:r>
              <w:rPr>
                <w:rFonts w:ascii="Arial" w:cs="Arial" w:eastAsia="Arial" w:hAnsi="Arial"/>
                <w:sz w:val="14"/>
                <w:szCs w:val="14"/>
                <w:b w:val="1"/>
                <w:bCs w:val="1"/>
                <w:color w:val="auto"/>
              </w:rPr>
              <w:t>Calendar</w:t>
            </w:r>
          </w:p>
        </w:tc>
        <w:tc>
          <w:tcPr>
            <w:tcW w:w="1220" w:type="dxa"/>
            <w:vAlign w:val="bottom"/>
          </w:tcPr>
          <w:p>
            <w:pPr>
              <w:jc w:val="right"/>
              <w:ind w:right="95"/>
              <w:spacing w:after="0" w:line="152" w:lineRule="exact"/>
              <w:rPr>
                <w:sz w:val="20"/>
                <w:szCs w:val="20"/>
                <w:color w:val="auto"/>
              </w:rPr>
            </w:pPr>
            <w:r>
              <w:rPr>
                <w:rFonts w:ascii="Arial" w:cs="Arial" w:eastAsia="Arial" w:hAnsi="Arial"/>
                <w:sz w:val="14"/>
                <w:szCs w:val="14"/>
                <w:b w:val="1"/>
                <w:bCs w:val="1"/>
                <w:color w:val="auto"/>
              </w:rPr>
              <w:t>2021 vs 2020</w:t>
            </w:r>
          </w:p>
        </w:tc>
        <w:tc>
          <w:tcPr>
            <w:tcW w:w="1200" w:type="dxa"/>
            <w:vAlign w:val="bottom"/>
            <w:tcBorders>
              <w:right w:val="single" w:sz="8" w:color="auto"/>
            </w:tcBorders>
          </w:tcPr>
          <w:p>
            <w:pPr>
              <w:jc w:val="right"/>
              <w:ind w:right="95"/>
              <w:spacing w:after="0" w:line="152" w:lineRule="exact"/>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75"/>
        </w:trPr>
        <w:tc>
          <w:tcPr>
            <w:tcW w:w="19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b w:val="1"/>
                <w:bCs w:val="1"/>
                <w:color w:val="auto"/>
              </w:rPr>
              <w:t>Year 2021</w:t>
            </w: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rPr>
              <w:t>Year 2020</w:t>
            </w: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2019</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15.90</w:t>
            </w: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13.00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Europe</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18.97</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16.37</w:t>
            </w:r>
          </w:p>
        </w:tc>
        <w:tc>
          <w:tcPr>
            <w:tcW w:w="900" w:type="dxa"/>
            <w:vAlign w:val="bottom"/>
          </w:tcPr>
          <w:p>
            <w:pPr>
              <w:jc w:val="right"/>
              <w:spacing w:after="0"/>
              <w:rPr>
                <w:sz w:val="20"/>
                <w:szCs w:val="20"/>
                <w:color w:val="auto"/>
              </w:rPr>
            </w:pPr>
            <w:r>
              <w:rPr>
                <w:rFonts w:ascii="Arial" w:cs="Arial" w:eastAsia="Arial" w:hAnsi="Arial"/>
                <w:sz w:val="18"/>
                <w:szCs w:val="18"/>
                <w:color w:val="auto"/>
              </w:rPr>
              <w:t>21.14</w:t>
            </w:r>
          </w:p>
        </w:tc>
        <w:tc>
          <w:tcPr>
            <w:tcW w:w="140" w:type="dxa"/>
            <w:vAlign w:val="bottom"/>
          </w:tcPr>
          <w:p>
            <w:pPr>
              <w:spacing w:after="0"/>
              <w:rPr>
                <w:sz w:val="19"/>
                <w:szCs w:val="19"/>
                <w:color w:val="auto"/>
              </w:rPr>
            </w:pP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2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11.83</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China</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7.07</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24.18</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22.84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2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Light Vehicle</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19.13</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19.59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70.88</w:t>
            </w:r>
          </w:p>
        </w:tc>
        <w:tc>
          <w:tcPr>
            <w:tcW w:w="94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63.29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75.24</w:t>
            </w:r>
          </w:p>
        </w:tc>
        <w:tc>
          <w:tcPr>
            <w:tcW w:w="140" w:type="dxa"/>
            <w:vAlign w:val="bottom"/>
            <w:shd w:val="clear" w:color="auto" w:fill="CCEEFF"/>
          </w:tcPr>
          <w:p>
            <w:pPr>
              <w:spacing w:after="0"/>
              <w:rPr>
                <w:sz w:val="13"/>
                <w:szCs w:val="13"/>
                <w:color w:val="auto"/>
              </w:rPr>
            </w:pPr>
          </w:p>
        </w:tc>
        <w:tc>
          <w:tcPr>
            <w:tcW w:w="12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19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Production</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this light vehicle production forecast and the structural changes that the Company has made during 2020, the Company is updating previously provided guidance estimates for the second half of 2020. Given the magnitude of changes this year, the Company continues to believe that providing updated second half guidance will provide a more accurate representation of the new cost structure and financial performance for the remainder of 2020. Such guidance for the second half of 2020 reflects the Company's best estimate of the impact of the ongoing COVID-19 pandemic, as well as changes to the IHS Markit's estimates for light vehicle production for the remainder of 2020.</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the aforementioned, the Company currently estimates that top line revenue for the second half of calendar year 2020 will be between $940 and $960 million. Ongoing uncertainties remain around the impact of the COVID-19 pandemic on customer demand and restrictions on operations. COVID-19 has created unprecedented circumstances for the Company's industries, which included massive changes to production levels at its customers, which occurred in a very short time period. Beyond the impact of the COVID-19 pandemic, other ongoing uncertainties remain including: light vehicle production levels; impacts of already in place and potential additional future tariffs; impacts of regulation changes; automotive plant shutdowns; supplier part shortages; vehicle sales rates in Europe, Asia and North America; OEM strategies and cost pressures; customer inventory management and the impact of potential automotive customer (including their Tier 1 suppliers) and supplier bankruptcies; work stoppages; etc., all of which could disrupt shipments to these customers and make forecasting difficult.</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Based on updated net sales guidance for the remainder of calendar year 2020, as well as actual results for the first nine months of 2020 and anticipated product mix, the Company has estimated that the gross margin will be between 39% and 40% for the second half of calendar year 2020.</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updating the guidance range for operating expenses, which include E, R &amp; D expenses and S, G &amp; A expenses. The Company has estimated that its operating expenses are now expected to be approximately $95 - $100 million for the second half of calendar year 2020.</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Company's renewed focus on optimizing its cost structure over the remainder of the year, the Company now anticipates that capital expenditures for the second half of calendar year 2020 will be approximately $25 - $ 30 million, the majority of which will be equipment purchases. Capital expenditures in calendar year 2020 are currently anticipated to be financed from current cash and cash equivalents on hand and cash flows from operating activities.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1" w:right="339" w:bottom="1440" w:gutter="0" w:footer="0" w:header="0"/>
        </w:sectPr>
      </w:pPr>
    </w:p>
    <w:bookmarkStart w:id="34" w:name="page35"/>
    <w:bookmarkEnd w:id="34"/>
    <w:p>
      <w:pPr>
        <w:jc w:val="both"/>
        <w:spacing w:after="0" w:line="271" w:lineRule="auto"/>
        <w:rPr>
          <w:sz w:val="20"/>
          <w:szCs w:val="20"/>
          <w:color w:val="auto"/>
        </w:rPr>
      </w:pPr>
      <w:r>
        <w:rPr>
          <w:rFonts w:ascii="Arial" w:cs="Arial" w:eastAsia="Arial" w:hAnsi="Arial"/>
          <w:sz w:val="18"/>
          <w:szCs w:val="18"/>
          <w:color w:val="auto"/>
        </w:rPr>
        <w:t>Based on actual results for the first nine months of 2020, and expected projects in the remainder of the year, the Company now estimates that depreciation and amortization expense for the second half of calendar year 2020 will be approximately $50 - $55 million.</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now estimates its effective annual tax rate for the second half of calendar year 2020 to be in the range of 16% to 17%, which reflects the anticipated lower discrete benefits from stock option exercises of the Company's employees and reduced foreign-derived intangible income tax benefits due to geographical mix changes within its customer base.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previously announced share repurchase plan, and provided that business begins to return to more normalized levels, the Company will consider the appropriateness of any share repurchases for the remainder of 2020. This determination will take into account macroeconomic issues (including the impact of the COVID-19 pandemic), market trends, and other factors that the Company deems appropriate (including the market price of the stock, anti-dilutive effect of repurchases, and available cash). As of September 30, 2020, the Company has 11.9 million shares remaining available for repurchase under the previously announced share repurchase plan.</w:t>
      </w:r>
    </w:p>
    <w:p>
      <w:pPr>
        <w:spacing w:after="0" w:line="9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Additionally, based on the mid-October 2020 light vehicle production estimates for 2021, the Company is re-introducing revenue guidance for 2021, despite the fact that there continues to be significant uncertainty regarding macroeconomic conditions, underlying overall consumer demand for light vehicles worldwide, and the continued impact from the COVID-19 pandemic. The Company currently estimates that revenue for calendar year 2021 will be approximately 15 - 20% higher than estimated revenue in calendar year 2020.</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07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4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110"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2019.</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4"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and interest rate risk. Fluctuating interest rates could negatively impact the Company's financial performance due to outstanding debt and realized losses on the sale of fixed income investments and/or recognized losses due to impairment of available for sale securities (mark-to-market adjustments). As previously disclosed in the Company's report on Form 10-Q for the quarter ended June 30, 2020, material changes in risk factors disclosed in the Company's report on Form 10-K for the year ended December 31, 2019 are again set forth herein.</w:t>
      </w:r>
    </w:p>
    <w:p>
      <w:pPr>
        <w:spacing w:after="0" w:line="109"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has been and will continue to be affected by uncertain economic conditions in North American and foreign markets that have and will continue to reduce demand for its products.</w:t>
      </w:r>
    </w:p>
    <w:p>
      <w:pPr>
        <w:spacing w:after="0" w:line="9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September 30, 2020, and have concluded that as of that date, the Company's disclosure controls and procedures are effective.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September 30, 2020 that materially affected, or are reasonably likely to materially affect, the Company's internal control over financial reporting.</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5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"poised",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w:t>
      </w:r>
    </w:p>
    <w:p>
      <w:pPr>
        <w:sectPr>
          <w:pgSz w:w="11900" w:h="16838" w:orient="portrait"/>
          <w:cols w:equalWidth="0" w:num="1">
            <w:col w:w="11240"/>
          </w:cols>
          <w:pgMar w:left="320" w:top="118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type w:val="continuous"/>
        </w:sectPr>
      </w:pPr>
    </w:p>
    <w:bookmarkStart w:id="36" w:name="page37"/>
    <w:bookmarkEnd w:id="36"/>
    <w:p>
      <w:pPr>
        <w:jc w:val="both"/>
        <w:spacing w:after="0" w:line="252" w:lineRule="auto"/>
        <w:rPr>
          <w:sz w:val="20"/>
          <w:szCs w:val="20"/>
          <w:color w:val="auto"/>
        </w:rPr>
      </w:pPr>
      <w:r>
        <w:rPr>
          <w:rFonts w:ascii="Arial" w:cs="Arial" w:eastAsia="Arial" w:hAnsi="Arial"/>
          <w:sz w:val="18"/>
          <w:szCs w:val="18"/>
          <w:color w:val="auto"/>
        </w:rPr>
        <w:t>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(including the impact of customer employee strikes);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litigations including securities litigations relating to the conduct of our business; and the length and severity of the COVID-19 (coronavirus) pandemic, including its impact across our business on demand, operations and the global supply chain.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 Accordingly, any forward-looking statements should be read in conjunction with additional information about risks and uncertainties identified herein and under the heading "Risk Factors" in the Company's latest Form 10-K filed with the SEC, which risks now include the impacts of the COVID-19 pandemic that have affected, and will continue to affect, general economic and industry conditions, customers, suppliers, and the regulatory environment in which the Company operates. Includes content supplied by IHS Markit Light Vehicle Production Forecast (October 16, 2020) (http://www.gentex.com/ forecast-disclaimer).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Information</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November 4, 2020, Steve Downing, President and Chief Executive Officer of the Company, entered into a stock trading plan in accordance with Rule 10b5-1 of the Securities Exchange Act of 1934 providing for a third-party broker to sell shares of common stock of the Company that Mr. Downing may acquire upon the vesting of the 6,300 and 6,384 restricted shares of common stock awarded to Mr. Downing in 2016 and 2017, respectively, and in respect to 15,000 and 13,504 shares of common stock issuable upon exercise of stock options awarded to Mr. Downing in 2014 and 2015, respectively. Options will be exercised and/or shares will be sold under the stock trading plan on the open market over the period of time and according to the other parameters set forth under the stock trading plan. The stock trading plan terminates on October 15, 2021.</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4, 2020, Kevin Nash, Vice President of Finance and Chief Financial Officer of the Company, entered into a stock trading plan in accordance with Rule 10b5-1 of the Securities Exchange Act of 1934 providing for a third-party broker to sell shares of common stock of the Company that Mr. Nash may acquire upon the vesting of 6,552 restricted shares awarded in 2017; 3,150 restricted shares awarded in 2018; and 5,666 restricted shares in 2019; and 13,220 performance shares (payable in common stock) that were awarded in 2019, subject to certain performance conditions. This plan also provides for a third-party broker to sell 5,864 and 4,836 shares of common stock issuable upon exercise of stock options awarded to Mr. Nash in 2014 and 2015, respectively. Options will be exercised and/or shares will be sold under the stock trading plan on the open market over the period of time and according to the other parameters set forth under the stock trading plan. The stock trading plan terminates on March 15, 2022.</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November 4, 2020, Matt Chiodo, Vice President of Sales of the Company, entered into a stock trading plan in accordance with Rule 10b5-1 of the Securities Exchange Act of 1934 providing for a third-party broker to sell shares of common stock of the Company that Mr. Chiodo may acquire upon the vesting of the 5,000 restricted shares of common stock awarded to Mr. Chiodo on March 31, 2016. The shares will be sold under the stock trading plan on the open market over the period of time and according to the other parameters set forth under the stock trading plan. The stock trading plan terminates on April 14, 2021.</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November 4, 2020, Neil Boehm, Chief Technology Officer and Vice President of Engineering, entered into a stock trading plan in accordance with Rule 10b5-1 of the Securities Exchange Act of 1934 providing for a third-party broker to sell shares of common stock of the Company that Mr. Boehm may acquire upon the vesting of the 2,053 restricted shares of common stock awarded to Mr. Boehm in 2017, and in respect to 4,968 and 15,000 shares of common stock issuable upon exercise of stock options awarded to Mr. Boehm in 2016 and 2018, respectively. Options will be exercised and/or shares will be sold under the stock</w:t>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trading plan on the open market over the period of time and according to the other parameters set forth under the stock trading plan.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stock trading plan terminates on April 14, 2021.</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Rule 10b5-1 trading plans are permitted under the Company’s insider trading policy and other policies, and, to the extent required, transactions under such trading plans will be disclosed publicly through Form 144 and/or Form 4 filings with the Securities and Exchange Commission. Except as may be required by law, the Company does not undertake any obligation to report Rule 10b5-1 plans by officers or directors of the Company in the future, or to report modifications or terminations of any such plans, whether or not any such plans were publicly announced.</w:t>
      </w:r>
    </w:p>
    <w:p>
      <w:pPr>
        <w:spacing w:after="0" w:line="200" w:lineRule="exact"/>
        <w:rPr>
          <w:sz w:val="20"/>
          <w:szCs w:val="20"/>
          <w:color w:val="auto"/>
        </w:rPr>
      </w:pPr>
    </w:p>
    <w:p>
      <w:pPr>
        <w:spacing w:after="0" w:line="2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COVID-19 pandemic has had a significant impact on the macroeconomic environment and, in particular, on the Company's industries. Such impact has resultantly affected the ability of officers of the Company to achieve performance metrics under the Company's Amended and Restated Annual Incentive Performance-Based Bonus Plan ("Annual Incentive Plan") and Long-Term Incentive Plan. The performance metrics under the Annual Incentive Plan are revenue, operating income, and earnings per diluted share and the performance metrics under the Long-Term Incentive Plan are EBITDA and return on invested capital, over the performance period. Such performance metrics under the Annual Incentive Plan are intended to measure performance and align with overall business strategy, while the performance metrics under the Long-Term Incentive Plan are intended to drive profitable sales growth, optimize cost structure, and ensure capital is used in an effective manner, so as to provide shareholder returns.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Compensation Committee of the Company designed the performance metrics to property incentivize officers to perform well operationally and deliver shareholder returns. The Compensation Committee has met in 2020 to discuss the fact that macroeconomic factors and industry conditions, including significantly decreased light vehicle production, outside of the control of management have so impacted the ability to achieve targets for the performance metrics (set in February of 2020 before the COVID-19 pandemic was widespread), that such performance metrics may not now properly incentivize and award officers of the Company as intended by the Compensation Committee and the Board of Directors. As such, the Compensation Committee has been assessing any potential changes to officer compensation to ensure the proper incentives for performance remain in place, as well as to recognize and reward officers for the benefit of the Company's shareholders and other stakeholders. The Compensation Committee has not yet made any decisions nor has it made any recommendations to the Board of Directors. With that said, the Compensation Committee will continue to discuss and consider whether changes to officer incentives are appropriate and necessary, whether any changes (such as adjustments to targets for performance metrics) can be done in an objective manner (so as to factor in external factors outside of management's control such as the percentage decline in light vehicle production), and how any such changes would be implemented.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6"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2019. There have been material changes to the risk factors previously disclosed in the Company’s report on Form 10-K for the year ended December 31, 2019, as described in Part I – Item 2 and Item 3 of this Form 10-Q, and otherwise herein, as well as the addition of the following risk factor.</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Automotive Industry and General Economic Risks</w:t>
      </w:r>
    </w:p>
    <w:p>
      <w:pPr>
        <w:spacing w:after="0" w:line="34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 COVID-19 pandemic has already significantly impacted worldwide economic and industry conditions and has had and may continue to have a material adverse effect on our business, financial condition, and/or results of operations. The COVID-19 pandemic began to materially impact the Company's operations late in the first quarter of 2020 and continues to affect our business, financial condition, and/or results of operations, by virtue of governmental authorities imposing mandatory closures, work-from-home orders, and social disntancing protocols, as well as voluntary closures and other restrictions. Even as restrictions have eased and production has resumed by our customers in large part, production volumes have been, and are expected to continue to be, volatile.</w:t>
      </w:r>
    </w:p>
    <w:p>
      <w:pPr>
        <w:spacing w:after="0" w:line="20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full extent of the effect of the COVID-19 pandemic on the Company, our customers, our supply chain, and our industries still depends on future developments, which remain highly uncertain, including the duration and severity of the current outbreak, subsequent outbreaks, and resulting actions taken by the Company or the various governments to contain or mitigate the spread of the coronavirus. These actions have already included, and could include more, work stoppages, quarantines, shutdowns, shelter-in-place orders or other limitations, which already have and could continue to: materially adversely affect the Company's ability to adequately staff and maintain our operations; impair our ability to sustain existing levels of financial liquidity; and impact the Company's business, financial condition, and/or results of operations. Additionally, if the negative global economic effects caused by the COVID-19 pandemic continue, overall customer demand may continue to decrease, which could continue to have a material and adverse effect on the Company's business, financial condition, and/or results of operations.</w:t>
      </w:r>
    </w:p>
    <w:p>
      <w:pPr>
        <w:spacing w:after="0" w:line="208"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color w:val="auto"/>
        </w:rPr>
        <w:t>While we cannot predict the duration and scope of the COVID-19 pandemic, the overall negative financial impact to the Company's business, financial condition, and/or results of operations has been material, is not fully known, and is expected to last for an extended period of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 of Equity Securities</w:t>
      </w:r>
    </w:p>
    <w:p>
      <w:pPr>
        <w:spacing w:after="0" w:line="254"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Company has a previously announced share repurchase plan under which the Board of Directors has authorized the repurchase of shares of the Company's common stock, which remains a part of the broader publicly disclosed capital allocation strategy. During the third quarter of 2020, the Company repurchased 1,175,756 shares under the share repurchase plan. As previously disclosed, the Company will consider the appropriateness of continuing to repurchase additional shares of common stock in the future in support of the capital allocation strategy, but share repurchases may vary from time to time and will take into account macroeconomic events (including the COVID-19 pandemic), market trends, and other factors the Company deems appropriate (including the market price of the stock, anti-dilutive effect of repurchases, and available cash). During the nine months ended September 30, 2020, the Company repurchased 8,194,788 shares. The Company has 11.9 million shares remaining under the plan as of September 30,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each quarter of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9" w:name="page40"/>
    <w:bookmarkEnd w:id="39"/>
    <w:tbl>
      <w:tblPr>
        <w:tblLayout w:type="fixed"/>
        <w:tblInd w:w="66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5300" w:type="dxa"/>
            <w:vAlign w:val="bottom"/>
            <w:gridSpan w:val="3"/>
          </w:tcPr>
          <w:p>
            <w:pPr>
              <w:jc w:val="right"/>
              <w:ind w:right="1495"/>
              <w:spacing w:after="0"/>
              <w:rPr>
                <w:sz w:val="20"/>
                <w:szCs w:val="20"/>
                <w:color w:val="auto"/>
              </w:rPr>
            </w:pPr>
            <w:r>
              <w:rPr>
                <w:rFonts w:ascii="Arial" w:cs="Arial" w:eastAsia="Arial" w:hAnsi="Arial"/>
                <w:sz w:val="14"/>
                <w:szCs w:val="14"/>
                <w:b w:val="1"/>
                <w:bCs w:val="1"/>
                <w:color w:val="auto"/>
              </w:rPr>
              <w:t>Issuer Purchase of Equity Securities</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4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8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 Number of Shares</w:t>
            </w:r>
          </w:p>
        </w:tc>
        <w:tc>
          <w:tcPr>
            <w:tcW w:w="1440" w:type="dxa"/>
            <w:vAlign w:val="bottom"/>
            <w:vMerge w:val="continue"/>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 a</w:t>
            </w: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 Price Paid</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Publicly Announced Plan or</w:t>
            </w: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76"/>
        </w:trPr>
        <w:tc>
          <w:tcPr>
            <w:tcW w:w="242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Purchased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2020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20,065,319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February 2020</w:t>
            </w:r>
          </w:p>
        </w:tc>
        <w:tc>
          <w:tcPr>
            <w:tcW w:w="1800" w:type="dxa"/>
            <w:vAlign w:val="bottom"/>
          </w:tcPr>
          <w:p>
            <w:pPr>
              <w:jc w:val="right"/>
              <w:spacing w:after="0"/>
              <w:rPr>
                <w:sz w:val="20"/>
                <w:szCs w:val="20"/>
                <w:color w:val="auto"/>
              </w:rPr>
            </w:pPr>
            <w:r>
              <w:rPr>
                <w:rFonts w:ascii="Arial" w:cs="Arial" w:eastAsia="Arial" w:hAnsi="Arial"/>
                <w:sz w:val="18"/>
                <w:szCs w:val="18"/>
                <w:color w:val="auto"/>
              </w:rPr>
              <w:t>1,945,036</w:t>
            </w:r>
          </w:p>
        </w:tc>
        <w:tc>
          <w:tcPr>
            <w:tcW w:w="1440" w:type="dxa"/>
            <w:vAlign w:val="bottom"/>
          </w:tcPr>
          <w:p>
            <w:pPr>
              <w:jc w:val="right"/>
              <w:spacing w:after="0"/>
              <w:rPr>
                <w:sz w:val="20"/>
                <w:szCs w:val="20"/>
                <w:color w:val="auto"/>
              </w:rPr>
            </w:pPr>
            <w:r>
              <w:rPr>
                <w:rFonts w:ascii="Arial" w:cs="Arial" w:eastAsia="Arial" w:hAnsi="Arial"/>
                <w:sz w:val="18"/>
                <w:szCs w:val="18"/>
                <w:color w:val="auto"/>
              </w:rPr>
              <w:t>29.40</w:t>
            </w:r>
          </w:p>
        </w:tc>
        <w:tc>
          <w:tcPr>
            <w:tcW w:w="2060" w:type="dxa"/>
            <w:vAlign w:val="bottom"/>
          </w:tcPr>
          <w:p>
            <w:pPr>
              <w:jc w:val="right"/>
              <w:spacing w:after="0"/>
              <w:rPr>
                <w:sz w:val="20"/>
                <w:szCs w:val="20"/>
                <w:color w:val="auto"/>
              </w:rPr>
            </w:pPr>
            <w:r>
              <w:rPr>
                <w:rFonts w:ascii="Arial" w:cs="Arial" w:eastAsia="Arial" w:hAnsi="Arial"/>
                <w:sz w:val="18"/>
                <w:szCs w:val="18"/>
                <w:color w:val="auto"/>
              </w:rPr>
              <w:t>1,945,036</w:t>
            </w:r>
          </w:p>
        </w:tc>
        <w:tc>
          <w:tcPr>
            <w:tcW w:w="2060" w:type="dxa"/>
            <w:vAlign w:val="bottom"/>
          </w:tcPr>
          <w:p>
            <w:pPr>
              <w:jc w:val="right"/>
              <w:spacing w:after="0"/>
              <w:rPr>
                <w:sz w:val="20"/>
                <w:szCs w:val="20"/>
                <w:color w:val="auto"/>
              </w:rPr>
            </w:pPr>
            <w:r>
              <w:rPr>
                <w:rFonts w:ascii="Arial" w:cs="Arial" w:eastAsia="Arial" w:hAnsi="Arial"/>
                <w:sz w:val="18"/>
                <w:szCs w:val="18"/>
                <w:color w:val="auto"/>
              </w:rPr>
              <w:t>18,120,283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5,073,996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5,073,996</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1st Quarter 2020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7,019,032</w:t>
            </w:r>
          </w:p>
        </w:tc>
        <w:tc>
          <w:tcPr>
            <w:tcW w:w="1440" w:type="dxa"/>
            <w:vAlign w:val="bottom"/>
          </w:tcPr>
          <w:p>
            <w:pPr>
              <w:jc w:val="right"/>
              <w:spacing w:after="0"/>
              <w:rPr>
                <w:sz w:val="20"/>
                <w:szCs w:val="20"/>
                <w:color w:val="auto"/>
              </w:rPr>
            </w:pPr>
            <w:r>
              <w:rPr>
                <w:rFonts w:ascii="Arial" w:cs="Arial" w:eastAsia="Arial" w:hAnsi="Arial"/>
                <w:sz w:val="18"/>
                <w:szCs w:val="18"/>
                <w:color w:val="auto"/>
              </w:rPr>
              <w:t>25.48</w:t>
            </w:r>
          </w:p>
        </w:tc>
        <w:tc>
          <w:tcPr>
            <w:tcW w:w="2060" w:type="dxa"/>
            <w:vAlign w:val="bottom"/>
          </w:tcPr>
          <w:p>
            <w:pPr>
              <w:jc w:val="right"/>
              <w:spacing w:after="0"/>
              <w:rPr>
                <w:sz w:val="20"/>
                <w:szCs w:val="20"/>
                <w:color w:val="auto"/>
              </w:rPr>
            </w:pPr>
            <w:r>
              <w:rPr>
                <w:rFonts w:ascii="Arial" w:cs="Arial" w:eastAsia="Arial" w:hAnsi="Arial"/>
                <w:sz w:val="18"/>
                <w:szCs w:val="18"/>
                <w:color w:val="auto"/>
              </w:rPr>
              <w:t>7,019,032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rPr>
              <w:t>2nd Quarter 2020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13,046,287</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2020</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125,110</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12,921,177</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August 2020</w:t>
            </w:r>
          </w:p>
        </w:tc>
        <w:tc>
          <w:tcPr>
            <w:tcW w:w="1800" w:type="dxa"/>
            <w:vAlign w:val="bottom"/>
          </w:tcPr>
          <w:p>
            <w:pPr>
              <w:jc w:val="right"/>
              <w:spacing w:after="0"/>
              <w:rPr>
                <w:sz w:val="20"/>
                <w:szCs w:val="20"/>
                <w:color w:val="auto"/>
              </w:rPr>
            </w:pPr>
            <w:r>
              <w:rPr>
                <w:rFonts w:ascii="Arial" w:cs="Arial" w:eastAsia="Arial" w:hAnsi="Arial"/>
                <w:sz w:val="18"/>
                <w:szCs w:val="18"/>
                <w:color w:val="auto"/>
              </w:rPr>
              <w:t>525,295</w:t>
            </w:r>
          </w:p>
        </w:tc>
        <w:tc>
          <w:tcPr>
            <w:tcW w:w="1440" w:type="dxa"/>
            <w:vAlign w:val="bottom"/>
          </w:tcPr>
          <w:p>
            <w:pPr>
              <w:jc w:val="right"/>
              <w:spacing w:after="0"/>
              <w:rPr>
                <w:sz w:val="20"/>
                <w:szCs w:val="20"/>
                <w:color w:val="auto"/>
              </w:rPr>
            </w:pPr>
            <w:r>
              <w:rPr>
                <w:rFonts w:ascii="Arial" w:cs="Arial" w:eastAsia="Arial" w:hAnsi="Arial"/>
                <w:sz w:val="18"/>
                <w:szCs w:val="18"/>
                <w:color w:val="auto"/>
              </w:rPr>
              <w:t>27.38</w:t>
            </w:r>
          </w:p>
        </w:tc>
        <w:tc>
          <w:tcPr>
            <w:tcW w:w="2060" w:type="dxa"/>
            <w:vAlign w:val="bottom"/>
          </w:tcPr>
          <w:p>
            <w:pPr>
              <w:jc w:val="right"/>
              <w:spacing w:after="0"/>
              <w:rPr>
                <w:sz w:val="20"/>
                <w:szCs w:val="20"/>
                <w:color w:val="auto"/>
              </w:rPr>
            </w:pPr>
            <w:r>
              <w:rPr>
                <w:rFonts w:ascii="Arial" w:cs="Arial" w:eastAsia="Arial" w:hAnsi="Arial"/>
                <w:sz w:val="18"/>
                <w:szCs w:val="18"/>
                <w:color w:val="auto"/>
              </w:rPr>
              <w:t>525,295</w:t>
            </w:r>
          </w:p>
        </w:tc>
        <w:tc>
          <w:tcPr>
            <w:tcW w:w="2060" w:type="dxa"/>
            <w:vAlign w:val="bottom"/>
          </w:tcPr>
          <w:p>
            <w:pPr>
              <w:jc w:val="right"/>
              <w:spacing w:after="0"/>
              <w:rPr>
                <w:sz w:val="20"/>
                <w:szCs w:val="20"/>
                <w:color w:val="auto"/>
              </w:rPr>
            </w:pPr>
            <w:r>
              <w:rPr>
                <w:rFonts w:ascii="Arial" w:cs="Arial" w:eastAsia="Arial" w:hAnsi="Arial"/>
                <w:sz w:val="18"/>
                <w:szCs w:val="18"/>
                <w:color w:val="auto"/>
              </w:rPr>
              <w:t>12,395,882</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2020</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525,351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525,351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11,870,531</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color w:val="auto"/>
              </w:rPr>
              <w:t>3rd Quarter 2020 Total</w:t>
            </w:r>
          </w:p>
        </w:tc>
        <w:tc>
          <w:tcPr>
            <w:tcW w:w="1800" w:type="dxa"/>
            <w:vAlign w:val="bottom"/>
          </w:tcPr>
          <w:p>
            <w:pPr>
              <w:jc w:val="right"/>
              <w:spacing w:after="0"/>
              <w:rPr>
                <w:sz w:val="20"/>
                <w:szCs w:val="20"/>
                <w:color w:val="auto"/>
              </w:rPr>
            </w:pPr>
            <w:r>
              <w:rPr>
                <w:rFonts w:ascii="Arial" w:cs="Arial" w:eastAsia="Arial" w:hAnsi="Arial"/>
                <w:sz w:val="18"/>
                <w:szCs w:val="18"/>
                <w:color w:val="auto"/>
              </w:rPr>
              <w:t>1,175,756</w:t>
            </w:r>
          </w:p>
        </w:tc>
        <w:tc>
          <w:tcPr>
            <w:tcW w:w="1440" w:type="dxa"/>
            <w:vAlign w:val="bottom"/>
          </w:tcPr>
          <w:p>
            <w:pPr>
              <w:jc w:val="right"/>
              <w:spacing w:after="0"/>
              <w:rPr>
                <w:sz w:val="20"/>
                <w:szCs w:val="20"/>
                <w:color w:val="auto"/>
              </w:rPr>
            </w:pPr>
            <w:r>
              <w:rPr>
                <w:rFonts w:ascii="Arial" w:cs="Arial" w:eastAsia="Arial" w:hAnsi="Arial"/>
                <w:sz w:val="18"/>
                <w:szCs w:val="18"/>
                <w:color w:val="auto"/>
              </w:rPr>
              <w:t>26.93</w:t>
            </w:r>
          </w:p>
        </w:tc>
        <w:tc>
          <w:tcPr>
            <w:tcW w:w="2060" w:type="dxa"/>
            <w:vAlign w:val="bottom"/>
          </w:tcPr>
          <w:p>
            <w:pPr>
              <w:jc w:val="right"/>
              <w:spacing w:after="0"/>
              <w:rPr>
                <w:sz w:val="20"/>
                <w:szCs w:val="20"/>
                <w:color w:val="auto"/>
              </w:rPr>
            </w:pPr>
            <w:r>
              <w:rPr>
                <w:rFonts w:ascii="Arial" w:cs="Arial" w:eastAsia="Arial" w:hAnsi="Arial"/>
                <w:sz w:val="18"/>
                <w:szCs w:val="18"/>
                <w:color w:val="auto"/>
              </w:rPr>
              <w:t>1,175,756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2020 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8,194,788</w:t>
            </w:r>
          </w:p>
        </w:tc>
        <w:tc>
          <w:tcPr>
            <w:tcW w:w="1440" w:type="dxa"/>
            <w:vAlign w:val="bottom"/>
          </w:tcPr>
          <w:p>
            <w:pPr>
              <w:jc w:val="right"/>
              <w:spacing w:after="0"/>
              <w:rPr>
                <w:sz w:val="20"/>
                <w:szCs w:val="20"/>
                <w:color w:val="auto"/>
              </w:rPr>
            </w:pPr>
            <w:r>
              <w:rPr>
                <w:rFonts w:ascii="Arial" w:cs="Arial" w:eastAsia="Arial" w:hAnsi="Arial"/>
                <w:sz w:val="18"/>
                <w:szCs w:val="18"/>
                <w:color w:val="auto"/>
              </w:rPr>
              <w:t>25.68</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8,194,788</w:t>
            </w:r>
          </w:p>
        </w:tc>
        <w:tc>
          <w:tcPr>
            <w:tcW w:w="2060" w:type="dxa"/>
            <w:vAlign w:val="bottom"/>
          </w:tcPr>
          <w:p>
            <w:pPr>
              <w:jc w:val="right"/>
              <w:spacing w:after="0"/>
              <w:rPr>
                <w:sz w:val="20"/>
                <w:szCs w:val="20"/>
                <w:color w:val="auto"/>
              </w:rPr>
            </w:pPr>
            <w:r>
              <w:rPr>
                <w:rFonts w:ascii="Arial" w:cs="Arial" w:eastAsia="Arial" w:hAnsi="Arial"/>
                <w:sz w:val="18"/>
                <w:szCs w:val="18"/>
                <w:color w:val="auto"/>
              </w:rPr>
              <w:t>11,870,531</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660" w:right="480"/>
        <w:spacing w:after="0" w:line="292" w:lineRule="auto"/>
        <w:rPr>
          <w:sz w:val="20"/>
          <w:szCs w:val="20"/>
          <w:color w:val="auto"/>
        </w:rPr>
      </w:pPr>
      <w:r>
        <w:rPr>
          <w:rFonts w:ascii="Arial" w:cs="Arial" w:eastAsia="Arial" w:hAnsi="Arial"/>
          <w:sz w:val="18"/>
          <w:szCs w:val="18"/>
          <w:color w:val="auto"/>
        </w:rPr>
        <w:t>As of September 30, 2020 the Company has repurchased 135,129,197 shares at a total cost of $2,084,067,848 under its share repurchase plan or as otherwise previously disclosed.</w:t>
      </w:r>
    </w:p>
    <w:p>
      <w:pPr>
        <w:spacing w:after="0" w:line="200" w:lineRule="exact"/>
        <w:rPr>
          <w:sz w:val="20"/>
          <w:szCs w:val="20"/>
          <w:color w:val="auto"/>
        </w:rPr>
      </w:pP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95"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See Exhibit Index on Page </w:t>
      </w:r>
      <w:hyperlink w:anchor="page40">
        <w:r>
          <w:rPr>
            <w:rFonts w:ascii="Arial" w:cs="Arial" w:eastAsia="Arial" w:hAnsi="Arial"/>
            <w:sz w:val="18"/>
            <w:szCs w:val="18"/>
            <w:u w:val="single" w:color="auto"/>
            <w:color w:val="0000FF"/>
          </w:rPr>
          <w:t>41</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GENTEX CORPORATION</w:t>
            </w:r>
          </w:p>
        </w:tc>
      </w:tr>
      <w:tr>
        <w:trPr>
          <w:trHeight w:val="33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November 5, 2020</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R. Downing</w:t>
            </w:r>
          </w:p>
        </w:tc>
      </w:tr>
      <w:tr>
        <w:trPr>
          <w:trHeight w:val="214"/>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Steven R. Downing</w:t>
            </w:r>
          </w:p>
        </w:tc>
      </w:tr>
      <w:tr>
        <w:trPr>
          <w:trHeight w:val="230"/>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(Principal Executive Officer) on behalf of Gentex Corporation</w:t>
            </w:r>
          </w:p>
        </w:tc>
      </w:tr>
      <w:tr>
        <w:trPr>
          <w:trHeight w:val="33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120"/>
              <w:spacing w:after="0"/>
              <w:rPr>
                <w:sz w:val="20"/>
                <w:szCs w:val="20"/>
                <w:color w:val="auto"/>
              </w:rPr>
            </w:pPr>
            <w:r>
              <w:rPr>
                <w:rFonts w:ascii="Arial" w:cs="Arial" w:eastAsia="Arial" w:hAnsi="Arial"/>
                <w:sz w:val="18"/>
                <w:szCs w:val="18"/>
                <w:color w:val="auto"/>
              </w:rPr>
              <w:t>November 5, 2020</w:t>
            </w:r>
          </w:p>
        </w:tc>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4"/>
        </w:trPr>
        <w:tc>
          <w:tcPr>
            <w:tcW w:w="5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Kevin C. Nash</w:t>
            </w:r>
          </w:p>
        </w:tc>
      </w:tr>
      <w:tr>
        <w:trPr>
          <w:trHeight w:val="230"/>
        </w:trPr>
        <w:tc>
          <w:tcPr>
            <w:tcW w:w="5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Vice President, Finance, Chief Financial Officer and Treasurer</w:t>
            </w:r>
          </w:p>
        </w:tc>
      </w:tr>
      <w:tr>
        <w:trPr>
          <w:trHeight w:val="185"/>
        </w:trPr>
        <w:tc>
          <w:tcPr>
            <w:tcW w:w="5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680" w:type="dxa"/>
            <w:vAlign w:val="bottom"/>
          </w:tcPr>
          <w:p>
            <w:pPr>
              <w:ind w:left="20"/>
              <w:spacing w:after="0" w:line="185" w:lineRule="exact"/>
              <w:rPr>
                <w:sz w:val="20"/>
                <w:szCs w:val="20"/>
                <w:color w:val="auto"/>
              </w:rPr>
            </w:pPr>
            <w:r>
              <w:rPr>
                <w:rFonts w:ascii="Arial" w:cs="Arial" w:eastAsia="Arial" w:hAnsi="Arial"/>
                <w:sz w:val="18"/>
                <w:szCs w:val="18"/>
                <w:color w:val="auto"/>
              </w:rPr>
              <w:t>(Principal Financial Officer and Principal Accounting Officer) on behalf of Gentex</w:t>
            </w:r>
          </w:p>
        </w:tc>
      </w:tr>
      <w:tr>
        <w:trPr>
          <w:trHeight w:val="243"/>
        </w:trPr>
        <w:tc>
          <w:tcPr>
            <w:tcW w:w="5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6680" w:type="dxa"/>
            <w:vAlign w:val="bottom"/>
          </w:tcPr>
          <w:p>
            <w:pPr>
              <w:ind w:left="20"/>
              <w:spacing w:after="0"/>
              <w:rPr>
                <w:sz w:val="20"/>
                <w:szCs w:val="20"/>
                <w:color w:val="auto"/>
              </w:rPr>
            </w:pPr>
            <w:r>
              <w:rPr>
                <w:rFonts w:ascii="Arial" w:cs="Arial" w:eastAsia="Arial" w:hAnsi="Arial"/>
                <w:sz w:val="18"/>
                <w:szCs w:val="18"/>
                <w:color w:val="auto"/>
              </w:rPr>
              <w:t>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80" w:type="dxa"/>
            <w:vAlign w:val="bottom"/>
            <w:gridSpan w:val="3"/>
          </w:tcPr>
          <w:p>
            <w:pPr>
              <w:ind w:left="2240"/>
              <w:spacing w:after="0"/>
              <w:rPr>
                <w:sz w:val="20"/>
                <w:szCs w:val="20"/>
                <w:color w:val="auto"/>
              </w:rPr>
            </w:pPr>
            <w:r>
              <w:rPr>
                <w:rFonts w:ascii="Arial" w:cs="Arial" w:eastAsia="Arial" w:hAnsi="Arial"/>
                <w:sz w:val="18"/>
                <w:szCs w:val="18"/>
                <w:b w:val="1"/>
                <w:bCs w:val="1"/>
                <w:color w:val="auto"/>
              </w:rPr>
              <w:t>EXHIBIT INDEX</w:t>
            </w:r>
          </w:p>
        </w:tc>
      </w:tr>
      <w:tr>
        <w:trPr>
          <w:trHeight w:val="384"/>
        </w:trPr>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400" w:type="dxa"/>
            <w:vAlign w:val="bottom"/>
          </w:tcPr>
          <w:p>
            <w:pPr>
              <w:spacing w:after="0"/>
              <w:rPr>
                <w:sz w:val="24"/>
                <w:szCs w:val="24"/>
                <w:color w:val="auto"/>
              </w:rPr>
            </w:pPr>
          </w:p>
        </w:tc>
        <w:tc>
          <w:tcPr>
            <w:tcW w:w="8480" w:type="dxa"/>
            <w:vAlign w:val="bottom"/>
            <w:gridSpan w:val="3"/>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198"/>
        </w:trPr>
        <w:tc>
          <w:tcPr>
            <w:tcW w:w="1320" w:type="dxa"/>
            <w:vAlign w:val="bottom"/>
          </w:tcPr>
          <w:p>
            <w:pPr>
              <w:ind w:left="20"/>
              <w:spacing w:after="0" w:line="198" w:lineRule="exact"/>
              <w:rPr>
                <w:sz w:val="20"/>
                <w:szCs w:val="20"/>
                <w:color w:val="auto"/>
              </w:rPr>
            </w:pPr>
            <w:r>
              <w:rPr>
                <w:rFonts w:ascii="Arial" w:cs="Arial" w:eastAsia="Arial" w:hAnsi="Arial"/>
                <w:sz w:val="18"/>
                <w:szCs w:val="18"/>
                <w:color w:val="auto"/>
              </w:rPr>
              <w:t>31.1</w:t>
            </w:r>
          </w:p>
        </w:tc>
        <w:tc>
          <w:tcPr>
            <w:tcW w:w="9880" w:type="dxa"/>
            <w:vAlign w:val="bottom"/>
            <w:gridSpan w:val="4"/>
          </w:tcPr>
          <w:p>
            <w:pPr>
              <w:spacing w:after="0" w:line="198" w:lineRule="exact"/>
              <w:rPr>
                <w:rFonts w:ascii="Arial" w:cs="Arial" w:eastAsia="Arial" w:hAnsi="Arial"/>
                <w:sz w:val="18"/>
                <w:szCs w:val="18"/>
                <w:color w:val="0000FF"/>
              </w:rPr>
            </w:pPr>
            <w:hyperlink w:anchor="page42">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20" w:type="dxa"/>
            <w:vAlign w:val="bottom"/>
          </w:tcPr>
          <w:p>
            <w:pPr>
              <w:spacing w:after="0"/>
              <w:rPr>
                <w:sz w:val="13"/>
                <w:szCs w:val="13"/>
                <w:color w:val="auto"/>
              </w:rPr>
            </w:pPr>
          </w:p>
        </w:tc>
        <w:tc>
          <w:tcPr>
            <w:tcW w:w="976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(18 U.S.C. 1350).</w:t>
              </w:r>
            </w:hyperlink>
          </w:p>
        </w:tc>
        <w:tc>
          <w:tcPr>
            <w:tcW w:w="1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9880" w:type="dxa"/>
            <w:vAlign w:val="bottom"/>
            <w:gridSpan w:val="4"/>
            <w:shd w:val="clear" w:color="auto" w:fill="CCEEFF"/>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Certificate of the Chief Financial Officer of Gentex Corporation pursuant to Section 302 of the Sarbanes-Oxley Act of 2002</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97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(18 U.S.C. 1350).</w:t>
              </w:r>
            </w:hyperlink>
          </w:p>
        </w:tc>
        <w:tc>
          <w:tcPr>
            <w:tcW w:w="18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ind w:left="1320" w:right="300" w:hanging="1294"/>
        <w:spacing w:after="0" w:line="234" w:lineRule="auto"/>
        <w:tabs>
          <w:tab w:leader="none" w:pos="1320" w:val="left"/>
        </w:tabs>
        <w:numPr>
          <w:ilvl w:val="0"/>
          <w:numId w:val="21"/>
        </w:numPr>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Sarbanes-Oxley Act of 2002 (18 U.S.C. 1350).</w:t>
        </w:r>
      </w:hyperlink>
    </w:p>
    <w:tbl>
      <w:tblPr>
        <w:tblLayout w:type="fixed"/>
        <w:tblInd w:w="0" w:type="dxa"/>
        <w:tblCellMar>
          <w:top w:w="0" w:type="dxa"/>
          <w:left w:w="0" w:type="dxa"/>
          <w:bottom w:w="0" w:type="dxa"/>
          <w:right w:w="0" w:type="dxa"/>
        </w:tblCellMar>
      </w:tblPr>
      <w:tr>
        <w:trPr>
          <w:trHeight w:val="177"/>
        </w:trPr>
        <w:tc>
          <w:tcPr>
            <w:tcW w:w="10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280"/>
              <w:spacing w:after="0" w:line="177"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29"/>
        </w:trPr>
        <w:tc>
          <w:tcPr>
            <w:tcW w:w="1040" w:type="dxa"/>
            <w:vAlign w:val="bottom"/>
            <w:shd w:val="clear" w:color="auto" w:fill="CCEEFF"/>
          </w:tcPr>
          <w:p>
            <w:pPr>
              <w:spacing w:after="0"/>
              <w:rPr>
                <w:sz w:val="19"/>
                <w:szCs w:val="19"/>
                <w:color w:val="auto"/>
              </w:rPr>
            </w:pP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0160" w:type="dxa"/>
            <w:vAlign w:val="bottom"/>
          </w:tcPr>
          <w:p>
            <w:pPr>
              <w:ind w:left="2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92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rFonts w:ascii="Arial" w:cs="Arial" w:eastAsia="Arial" w:hAnsi="Arial"/>
          <w:sz w:val="18"/>
          <w:szCs w:val="18"/>
          <w:color w:val="auto"/>
        </w:rPr>
      </w:pPr>
    </w:p>
    <w:p>
      <w:pPr>
        <w:jc w:val="both"/>
        <w:ind w:left="240" w:hanging="232"/>
        <w:spacing w:after="0" w:line="271"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rFonts w:ascii="Arial" w:cs="Arial" w:eastAsia="Arial" w:hAnsi="Arial"/>
          <w:sz w:val="18"/>
          <w:szCs w:val="18"/>
          <w:color w:val="auto"/>
        </w:rPr>
      </w:pPr>
    </w:p>
    <w:p>
      <w:pPr>
        <w:jc w:val="both"/>
        <w:ind w:left="240" w:hanging="232"/>
        <w:spacing w:after="0" w:line="263"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0" w:lineRule="exact"/>
        <w:rPr>
          <w:rFonts w:ascii="Arial" w:cs="Arial" w:eastAsia="Arial" w:hAnsi="Arial"/>
          <w:sz w:val="18"/>
          <w:szCs w:val="18"/>
          <w:color w:val="auto"/>
        </w:rPr>
      </w:pPr>
    </w:p>
    <w:p>
      <w:pPr>
        <w:jc w:val="both"/>
        <w:ind w:left="660" w:hanging="238"/>
        <w:spacing w:after="0" w:line="271"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4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660" w:hanging="238"/>
        <w:spacing w:after="0" w:line="292" w:lineRule="auto"/>
        <w:tabs>
          <w:tab w:leader="none" w:pos="6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2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71"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9" w:lineRule="exact"/>
        <w:rPr>
          <w:rFonts w:ascii="Arial" w:cs="Arial" w:eastAsia="Arial" w:hAnsi="Arial"/>
          <w:sz w:val="18"/>
          <w:szCs w:val="18"/>
          <w:color w:val="auto"/>
        </w:rPr>
      </w:pPr>
    </w:p>
    <w:p>
      <w:pPr>
        <w:jc w:val="both"/>
        <w:ind w:left="240" w:hanging="232"/>
        <w:spacing w:after="0" w:line="271" w:lineRule="auto"/>
        <w:tabs>
          <w:tab w:leader="none" w:pos="2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9" w:lineRule="exact"/>
        <w:rPr>
          <w:rFonts w:ascii="Arial" w:cs="Arial" w:eastAsia="Arial" w:hAnsi="Arial"/>
          <w:sz w:val="18"/>
          <w:szCs w:val="18"/>
          <w:color w:val="auto"/>
        </w:rPr>
      </w:pPr>
    </w:p>
    <w:p>
      <w:pPr>
        <w:jc w:val="both"/>
        <w:ind w:left="240" w:hanging="232"/>
        <w:spacing w:after="0" w:line="263"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2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0" w:lineRule="exact"/>
        <w:rPr>
          <w:rFonts w:ascii="Arial" w:cs="Arial" w:eastAsia="Arial" w:hAnsi="Arial"/>
          <w:sz w:val="18"/>
          <w:szCs w:val="18"/>
          <w:color w:val="auto"/>
        </w:rPr>
      </w:pPr>
    </w:p>
    <w:p>
      <w:pPr>
        <w:jc w:val="both"/>
        <w:ind w:left="660" w:hanging="238"/>
        <w:spacing w:after="0" w:line="271"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9" w:lineRule="exact"/>
        <w:rPr>
          <w:rFonts w:ascii="Arial" w:cs="Arial" w:eastAsia="Arial" w:hAnsi="Arial"/>
          <w:sz w:val="18"/>
          <w:szCs w:val="18"/>
          <w:color w:val="auto"/>
        </w:rPr>
      </w:pPr>
    </w:p>
    <w:p>
      <w:pPr>
        <w:jc w:val="both"/>
        <w:ind w:left="660" w:hanging="238"/>
        <w:spacing w:after="0" w:line="271" w:lineRule="auto"/>
        <w:tabs>
          <w:tab w:leader="none" w:pos="6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240" w:hanging="232"/>
        <w:spacing w:after="0" w:line="271" w:lineRule="auto"/>
        <w:tabs>
          <w:tab w:leader="none" w:pos="2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660" w:hanging="238"/>
        <w:spacing w:after="0" w:line="292" w:lineRule="auto"/>
        <w:tabs>
          <w:tab w:leader="none" w:pos="6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8"/>
          <w:szCs w:val="18"/>
          <w:color w:val="auto"/>
        </w:rPr>
      </w:pPr>
    </w:p>
    <w:p>
      <w:pPr>
        <w:ind w:left="660" w:hanging="238"/>
        <w:spacing w:after="0" w:line="292" w:lineRule="auto"/>
        <w:tabs>
          <w:tab w:leader="none" w:pos="66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Financial Officer and Treasurer</w:t>
      </w:r>
    </w:p>
    <w:p>
      <w:pPr>
        <w:sectPr>
          <w:pgSz w:w="11900" w:h="16838" w:orient="portrait"/>
          <w:cols w:equalWidth="0" w:num="1">
            <w:col w:w="11240"/>
          </w:cols>
          <w:pgMar w:left="320" w:top="925"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71" w:lineRule="exact"/>
        <w:rPr>
          <w:sz w:val="20"/>
          <w:szCs w:val="20"/>
          <w:color w:val="auto"/>
        </w:rPr>
      </w:pPr>
    </w:p>
    <w:p>
      <w:pPr>
        <w:ind w:left="240" w:hanging="232"/>
        <w:spacing w:after="0" w:line="292" w:lineRule="auto"/>
        <w:tabs>
          <w:tab w:leader="none" w:pos="28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2020, which this statement accompanies,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40" w:right="20" w:hanging="232"/>
        <w:spacing w:after="0" w:line="292" w:lineRule="auto"/>
        <w:tabs>
          <w:tab w:leader="none" w:pos="2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September 30, 2020,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240"/>
      </w:cols>
      <w:pgMar w:left="320" w:top="9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4"/>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4"/>
    </w:lvl>
  </w:abstractNum>
  <w:abstractNum w:abstractNumId="17">
    <w:nsid w:val="628C895D"/>
    <w:multiLevelType w:val="hybridMultilevel"/>
    <w:lvl w:ilvl="0">
      <w:lvlJc w:val="left"/>
      <w:lvlText w:val="(%1)"/>
      <w:numFmt w:val="decimal"/>
      <w:start w:val="15"/>
    </w:lvl>
  </w:abstractNum>
  <w:abstractNum w:abstractNumId="18">
    <w:nsid w:val="333AB105"/>
    <w:multiLevelType w:val="hybridMultilevel"/>
    <w:lvl w:ilvl="0">
      <w:lvlJc w:val="left"/>
      <w:lvlText w:val="(%1)"/>
      <w:numFmt w:val="decimal"/>
      <w:start w:val="16"/>
    </w:lvl>
  </w:abstractNum>
  <w:abstractNum w:abstractNumId="19">
    <w:nsid w:val="721DA317"/>
    <w:multiLevelType w:val="hybridMultilevel"/>
    <w:lvl w:ilvl="0">
      <w:lvlJc w:val="left"/>
      <w:lvlText w:val="(%1)"/>
      <w:numFmt w:val="lowerLetter"/>
      <w:start w:val="3"/>
    </w:lvl>
  </w:abstractNum>
  <w:abstractNum w:abstractNumId="20">
    <w:nsid w:val="2443A858"/>
    <w:multiLevelType w:val="hybridMultilevel"/>
    <w:lvl w:ilvl="0">
      <w:lvlJc w:val="left"/>
      <w:lvlText w:val="%1"/>
      <w:numFmt w:val="decimal"/>
      <w:start w:val="32"/>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2020-11-05T14:36:38Z</dcterms:created>
  <dcterms:modified xsi:type="dcterms:W3CDTF">2020-11-05T14:36:38Z</dcterms:modified>
</cp:coreProperties>
</file>